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16</w:t>
      </w:r>
    </w:p>
    <w:p>
      <w:pPr>
        <w:pStyle w:val="Subtitle"/>
      </w:pPr>
      <w:r>
        <w:t xml:space="preserve">Задачи оптимизации. Модель двух стратегий обслуживания</w:t>
      </w:r>
    </w:p>
    <w:p>
      <w:pPr>
        <w:pStyle w:val="Author"/>
      </w:pPr>
      <w:r>
        <w:t xml:space="preserve">Оширова Юлия, 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9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bookmarkStart w:id="26" w:name="fig:001"/>
    <w:p>
      <w:pPr>
        <w:pStyle w:val="CaptionedFigure"/>
      </w:pPr>
      <w:r>
        <w:drawing>
          <wp:inline>
            <wp:extent cx="3733800" cy="3097413"/>
            <wp:effectExtent b="0" l="0" r="0" t="0"/>
            <wp:docPr descr="Рис. 1: 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первой стратегии обслуживания</w:t>
      </w:r>
    </w:p>
    <w:bookmarkEnd w:id="26"/>
    <w:p>
      <w:pPr>
        <w:pStyle w:val="BodyText"/>
      </w:pPr>
      <w:r>
        <w:t xml:space="preserve">После запуска симуляции получим отчёт (рис. 2).</w:t>
      </w:r>
    </w:p>
    <w:bookmarkStart w:id="30" w:name="fig:002"/>
    <w:p>
      <w:pPr>
        <w:pStyle w:val="CaptionedFigure"/>
      </w:pPr>
      <w:r>
        <w:drawing>
          <wp:inline>
            <wp:extent cx="3733800" cy="4366362"/>
            <wp:effectExtent b="0" l="0" r="0" t="0"/>
            <wp:docPr descr="Рис. 2: Отчёт по модели первой стратегии обслужив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первой стратегии обслуживания</w:t>
      </w:r>
    </w:p>
    <w:bookmarkEnd w:id="30"/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3, 4).</w:t>
      </w:r>
    </w:p>
    <w:bookmarkStart w:id="34" w:name="fig:003"/>
    <w:p>
      <w:pPr>
        <w:pStyle w:val="CaptionedFigure"/>
      </w:pPr>
      <w:r>
        <w:drawing>
          <wp:inline>
            <wp:extent cx="3733800" cy="1575663"/>
            <wp:effectExtent b="0" l="0" r="0" t="0"/>
            <wp:docPr descr="Рис. 3: Модель второй стратегии обслужива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второй стратегии обслуживания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418832"/>
            <wp:effectExtent b="0" l="0" r="0" t="0"/>
            <wp:docPr descr="Рис. 4: Отчет по модели второй стратегии обслужива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 по модели второй стратегии обслуживания</w:t>
      </w:r>
    </w:p>
    <w:bookmarkEnd w:id="38"/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rPr>
          <w:b/>
          <w:bCs/>
        </w:rPr>
        <w:t xml:space="preserve">¿tbl:strategy?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</w:pPr>
            <w:r>
              <w:t xml:space="preserve">2928</w:t>
            </w:r>
          </w:p>
        </w:tc>
        <w:tc>
          <w:tcPr/>
          <w:p>
            <w:pPr>
              <w:pStyle w:val="Compact"/>
            </w:pPr>
            <w:r>
              <w:t xml:space="preserve">2925</w:t>
            </w:r>
          </w:p>
        </w:tc>
        <w:tc>
          <w:tcPr/>
          <w:p>
            <w:pPr>
              <w:pStyle w:val="Compact"/>
            </w:pPr>
            <w:r>
              <w:t xml:space="preserve">5853</w:t>
            </w:r>
          </w:p>
        </w:tc>
        <w:tc>
          <w:tcPr/>
          <w:p>
            <w:pPr>
              <w:pStyle w:val="Compac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</w:pPr>
            <w:r>
              <w:t xml:space="preserve">2540</w:t>
            </w:r>
          </w:p>
        </w:tc>
        <w:tc>
          <w:tcPr/>
          <w:p>
            <w:pPr>
              <w:pStyle w:val="Compact"/>
            </w:pPr>
            <w:r>
              <w:t xml:space="preserve">2536</w:t>
            </w:r>
          </w:p>
        </w:tc>
        <w:tc>
          <w:tcPr/>
          <w:p>
            <w:pPr>
              <w:pStyle w:val="Compact"/>
            </w:pPr>
            <w:r>
              <w:t xml:space="preserve">5076</w:t>
            </w:r>
          </w:p>
        </w:tc>
        <w:tc>
          <w:tcPr/>
          <w:p>
            <w:pPr>
              <w:pStyle w:val="Compac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</w:pPr>
            <w:r>
              <w:t xml:space="preserve">0,997</w:t>
            </w:r>
          </w:p>
        </w:tc>
        <w:tc>
          <w:tcPr/>
          <w:p>
            <w:pPr>
              <w:pStyle w:val="Compact"/>
            </w:pPr>
            <w:r>
              <w:t xml:space="preserve">0,996</w:t>
            </w:r>
          </w:p>
        </w:tc>
        <w:tc>
          <w:tcPr/>
          <w:p>
            <w:pPr>
              <w:pStyle w:val="Compact"/>
            </w:pPr>
            <w:r>
              <w:t xml:space="preserve">0,9965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393</w:t>
            </w:r>
          </w:p>
        </w:tc>
        <w:tc>
          <w:tcPr/>
          <w:p>
            <w:pPr>
              <w:pStyle w:val="Compact"/>
            </w:pPr>
            <w:r>
              <w:t xml:space="preserve">786</w:t>
            </w:r>
          </w:p>
        </w:tc>
        <w:tc>
          <w:tcPr/>
          <w:p>
            <w:pPr>
              <w:pStyle w:val="Compac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</w:pPr>
            <w:r>
              <w:t xml:space="preserve">187,098</w:t>
            </w:r>
          </w:p>
        </w:tc>
        <w:tc>
          <w:tcPr/>
          <w:p>
            <w:pPr>
              <w:pStyle w:val="Compact"/>
            </w:pPr>
            <w:r>
              <w:t xml:space="preserve">187,114</w:t>
            </w:r>
          </w:p>
        </w:tc>
        <w:tc>
          <w:tcPr/>
          <w:p>
            <w:pPr>
              <w:pStyle w:val="Compact"/>
            </w:pPr>
            <w:r>
              <w:t xml:space="preserve">374,212</w:t>
            </w:r>
          </w:p>
        </w:tc>
        <w:tc>
          <w:tcPr/>
          <w:p>
            <w:pPr>
              <w:pStyle w:val="Compac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</w:pPr>
            <w:r>
              <w:t xml:space="preserve">644,107</w:t>
            </w:r>
          </w:p>
        </w:tc>
        <w:tc>
          <w:tcPr/>
          <w:p>
            <w:pPr>
              <w:pStyle w:val="Compact"/>
            </w:pPr>
            <w:r>
              <w:t xml:space="preserve">644,823</w:t>
            </w:r>
          </w:p>
        </w:tc>
        <w:tc>
          <w:tcPr/>
          <w:p>
            <w:pPr>
              <w:pStyle w:val="Compact"/>
            </w:pPr>
            <w:r>
              <w:t xml:space="preserve">644,465</w:t>
            </w:r>
          </w:p>
        </w:tc>
        <w:tc>
          <w:tcPr/>
          <w:p>
            <w:pPr>
              <w:pStyle w:val="Compac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9"/>
    <w:bookmarkStart w:id="80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bookmarkStart w:id="43" w:name="fig:005"/>
    <w:p>
      <w:pPr>
        <w:pStyle w:val="CaptionedFigure"/>
      </w:pPr>
      <w:r>
        <w:drawing>
          <wp:inline>
            <wp:extent cx="3733800" cy="1425493"/>
            <wp:effectExtent b="0" l="0" r="0" t="0"/>
            <wp:docPr descr="Рис. 5: Модель двух стратегий обслуживания с 1 пропускным пунктом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bookmarkEnd w:id="43"/>
    <w:p>
      <w:pPr>
        <w:pStyle w:val="BodyText"/>
      </w:pPr>
      <w:r>
        <w:t xml:space="preserve">После симуляции получим следующий отчет (рис. 5).</w:t>
      </w:r>
    </w:p>
    <w:bookmarkStart w:id="47" w:name="fig:006"/>
    <w:p>
      <w:pPr>
        <w:pStyle w:val="CaptionedFigure"/>
      </w:pPr>
      <w:r>
        <w:drawing>
          <wp:inline>
            <wp:extent cx="3733800" cy="3132273"/>
            <wp:effectExtent b="0" l="0" r="0" t="0"/>
            <wp:docPr descr="Рис. 6: Отчёт по модели двух стратегий обслуживания с 1 пропускным пунктом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bookmarkEnd w:id="47"/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8).</w:t>
      </w:r>
    </w:p>
    <w:bookmarkStart w:id="51" w:name="fig:007"/>
    <w:p>
      <w:pPr>
        <w:pStyle w:val="CaptionedFigure"/>
      </w:pPr>
      <w:r>
        <w:drawing>
          <wp:inline>
            <wp:extent cx="3733800" cy="2517781"/>
            <wp:effectExtent b="0" l="0" r="0" t="0"/>
            <wp:docPr descr="Рис. 7: Модель первой стратегии обслуживания с 3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bookmarkEnd w:id="51"/>
    <w:bookmarkStart w:id="55" w:name="fig:008"/>
    <w:p>
      <w:pPr>
        <w:pStyle w:val="CaptionedFigure"/>
      </w:pPr>
      <w:r>
        <w:drawing>
          <wp:inline>
            <wp:extent cx="3733800" cy="4016235"/>
            <wp:effectExtent b="0" l="0" r="0" t="0"/>
            <wp:docPr descr="Рис. 8: Отчёт по модели первой стратегии обслуживания с 3 пропускными пунктам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bookmarkEnd w:id="55"/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9, 10).</w:t>
      </w:r>
    </w:p>
    <w:bookmarkStart w:id="59" w:name="fig:009"/>
    <w:p>
      <w:pPr>
        <w:pStyle w:val="CaptionedFigure"/>
      </w:pPr>
      <w:r>
        <w:drawing>
          <wp:inline>
            <wp:extent cx="3733800" cy="2764412"/>
            <wp:effectExtent b="0" l="0" r="0" t="0"/>
            <wp:docPr descr="Рис. 9: Модель первой стратегии обслуживания с 4 пропускными пунктам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первой стратегии обслуживания с 4 пропускными пунктами</w:t>
      </w:r>
    </w:p>
    <w:bookmarkEnd w:id="59"/>
    <w:bookmarkStart w:id="63" w:name="fig:010"/>
    <w:p>
      <w:pPr>
        <w:pStyle w:val="CaptionedFigure"/>
      </w:pPr>
      <w:r>
        <w:drawing>
          <wp:inline>
            <wp:extent cx="3733800" cy="2464869"/>
            <wp:effectExtent b="0" l="0" r="0" t="0"/>
            <wp:docPr descr="Рис. 10: Отчёт по модели перв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первой стратегии обслуживания с 4 пропускными пунктами</w:t>
      </w:r>
    </w:p>
    <w:bookmarkEnd w:id="63"/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/>
          <w:iCs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11, 12).</w:t>
      </w:r>
    </w:p>
    <w:bookmarkStart w:id="67" w:name="fig:011"/>
    <w:p>
      <w:pPr>
        <w:pStyle w:val="CaptionedFigure"/>
      </w:pPr>
      <w:r>
        <w:drawing>
          <wp:inline>
            <wp:extent cx="3733800" cy="2206024"/>
            <wp:effectExtent b="0" l="0" r="0" t="0"/>
            <wp:docPr descr="Рис. 11: Модель второй стратегии обслуживания с 3 пропускными пунктами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второй стратегии обслуживания с 3 пропускными пунктами</w:t>
      </w:r>
    </w:p>
    <w:bookmarkEnd w:id="67"/>
    <w:bookmarkStart w:id="71" w:name="fig:012"/>
    <w:p>
      <w:pPr>
        <w:pStyle w:val="CaptionedFigure"/>
      </w:pPr>
      <w:r>
        <w:drawing>
          <wp:inline>
            <wp:extent cx="3733800" cy="2901497"/>
            <wp:effectExtent b="0" l="0" r="0" t="0"/>
            <wp:docPr descr="Рис. 12: Отчёт по модели второй стратегии обслуживания с 3 пропускными пункт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второй стратегии обслуживания с 3 пропускными пунктами</w:t>
      </w:r>
    </w:p>
    <w:bookmarkEnd w:id="71"/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/>
          <w:iCs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11, 12).</w:t>
      </w:r>
    </w:p>
    <w:bookmarkStart w:id="75" w:name="fig:013"/>
    <w:p>
      <w:pPr>
        <w:pStyle w:val="CaptionedFigure"/>
      </w:pPr>
      <w:r>
        <w:drawing>
          <wp:inline>
            <wp:extent cx="3733800" cy="2066702"/>
            <wp:effectExtent b="0" l="0" r="0" t="0"/>
            <wp:docPr descr="Рис. 13: Модель второй стратегии обслуживания с 4 пропускными пунктам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второй стратегии обслуживания с 4 пропускными пунктами</w:t>
      </w:r>
    </w:p>
    <w:bookmarkEnd w:id="75"/>
    <w:bookmarkStart w:id="79" w:name="fig:014"/>
    <w:p>
      <w:pPr>
        <w:pStyle w:val="CaptionedFigure"/>
      </w:pPr>
      <w:r>
        <w:drawing>
          <wp:inline>
            <wp:extent cx="3733800" cy="2531861"/>
            <wp:effectExtent b="0" l="0" r="0" t="0"/>
            <wp:docPr descr="Рис. 14: Отчёт по модели второй стратегии обслуживания с 4 пропускными пункта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Отчёт по модели второй стратегии обслуживания с 4 пропускными пунктами</w:t>
      </w:r>
    </w:p>
    <w:bookmarkEnd w:id="79"/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/>
          <w:iCs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4 при первом</w:t>
      </w:r>
      <w:r>
        <w:t xml:space="preserve">.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6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6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6"/>
        </w:numPr>
      </w:pPr>
      <w:r>
        <w:t xml:space="preserve">изменить модели, чтобы определить оптимальное число пропускных пунктов.</w:t>
      </w:r>
    </w:p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Оширова Юлия, НФИбд-01-22</dc:creator>
  <dc:language>ru-RU</dc:language>
  <cp:keywords/>
  <dcterms:created xsi:type="dcterms:W3CDTF">2025-05-24T13:53:15Z</dcterms:created>
  <dcterms:modified xsi:type="dcterms:W3CDTF">2025-05-24T13:53:15Z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Задачи оптимизации. Модель двух стратегий обслуживания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