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Aptos Display" w:hAnsi="Aptos Display"/>
          <w:b/>
          <w:color w:val="1F4E79"/>
          <w:sz w:val="56"/>
        </w:rPr>
        <w:t>WERKORDER INTEGRATIEANALYSE</w:t>
      </w:r>
    </w:p>
    <w:p>
      <w:pPr>
        <w:spacing w:after="480"/>
      </w:pPr>
      <w:r>
        <w:rPr>
          <w:rFonts w:ascii="Aptos" w:hAnsi="Aptos"/>
          <w:color w:val="5B6573"/>
          <w:sz w:val="30"/>
        </w:rPr>
        <w:t>Huidige informatie-uitwisseling en richting voor herontwerp</w:t>
      </w:r>
    </w:p>
    <w:p>
      <w:pPr>
        <w:spacing w:after="80"/>
      </w:pPr>
      <w:r>
        <w:rPr>
          <w:b/>
          <w:color w:val="243447"/>
        </w:rPr>
        <w:t xml:space="preserve">Onderwerp: </w:t>
      </w:r>
      <w:r>
        <w:rPr>
          <w:color w:val="5B6573"/>
        </w:rPr>
        <w:t>WerkOrder en gerelateerde planning-, uitvoering- en realisatie-informatie</w:t>
      </w:r>
    </w:p>
    <w:p>
      <w:pPr>
        <w:spacing w:after="80"/>
      </w:pPr>
      <w:r>
        <w:rPr>
          <w:b/>
          <w:color w:val="243447"/>
        </w:rPr>
        <w:t xml:space="preserve">Doel: </w:t>
      </w:r>
      <w:r>
        <w:rPr>
          <w:color w:val="5B6573"/>
        </w:rPr>
        <w:t>Besluitvorming over welke informatie-uitwisseling behouden, gestandaardiseerd of beëindigd moet worden</w:t>
      </w:r>
    </w:p>
    <w:p>
      <w:pPr>
        <w:spacing w:after="80"/>
      </w:pPr>
      <w:r>
        <w:rPr>
          <w:b/>
          <w:color w:val="243447"/>
        </w:rPr>
        <w:t xml:space="preserve">Architectuurrichting: </w:t>
      </w:r>
      <w:r>
        <w:rPr>
          <w:color w:val="5B6573"/>
        </w:rPr>
        <w:t>VWI Informatiemodel, BEDDA en 3-tier integraties</w:t>
      </w:r>
    </w:p>
    <w:p>
      <w:pPr>
        <w:spacing w:after="80"/>
      </w:pPr>
      <w:r>
        <w:rPr>
          <w:b/>
          <w:color w:val="243447"/>
        </w:rPr>
        <w:t xml:space="preserve">Status: </w:t>
      </w:r>
      <w:r>
        <w:rPr>
          <w:color w:val="5B6573"/>
        </w:rPr>
        <w:t>Analyse voor businessvalidatie en architectuurbesluitvorming</w:t>
      </w:r>
    </w:p>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Kernboodschap  </w:t>
            </w:r>
            <w:r>
              <w:t>De huidige WerkOrder-ketens wisselen geen uniform object uit. Iedere keten gebruikt een eigen combinatie van kerngegevens, status, planning, uitvoering, realisatie of financiële context. Het herontwerp moet daarom uitgaan van doelgerichte informatieproducten en niet van een één-op-één vervanging van Talend-koppelingen.</w:t>
            </w:r>
          </w:p>
        </w:tc>
      </w:tr>
    </w:tbl>
    <w:p>
      <w:pPr>
        <w:spacing w:after="20"/>
      </w:pPr>
    </w:p>
    <w:p>
      <w:r>
        <w:br w:type="page"/>
      </w:r>
    </w:p>
    <w:p>
      <w:pPr>
        <w:pStyle w:val="Heading1"/>
        <w:keepNext/>
      </w:pPr>
      <w:r>
        <w:t>1. Managementsamenvatting</w:t>
      </w:r>
    </w:p>
    <w:p>
      <w:pPr>
        <w:spacing w:after="140"/>
      </w:pPr>
      <w:r>
        <w:t>Het huidige WerkOrder-landschap ondersteunt verschillende bedrijfsprocessen: werk aanbieden aan planning, een planning terugmelden, werk vrijgeven voor uitvoering, uitvoeringsresultaten verwerken en uren of kosten terugkoppelen. Deze uitwisselingen gebruiken dezelfde WerkOrderidentiteit, maar bevatten niet dezelfde gegevens en hebben ook niet altijd dezelfde auteur.</w:t>
      </w:r>
    </w:p>
    <w:p>
      <w:pPr>
        <w:spacing w:after="140"/>
      </w:pPr>
      <w:r>
        <w:t>Maximo vervult in meerdere ketens de rol van administratieve bron voor de WerkOrder-kern. Quintiq en andere planningstoepassingen voegen planningsinformatie toe. RHM en Smartflow ondersteunen de voorbereiding en uitvoering van werk. AssetCheck, FlexTunnel en vergelijkbare toepassingen voegen inspectie-, schade- of uitvoeringsinformatie toe. Infor en 4PS gebruiken WerkOrderinformatie in combinatie met lifecycle- en financiële processen.</w:t>
      </w:r>
    </w:p>
    <w:p>
      <w:pPr>
        <w:spacing w:after="140"/>
      </w:pPr>
      <w:r>
        <w:t>De bestaande inrichting is sterk gekoppeld aan lokale berichtformaten, databases, bestanden, statussen en technische procesmarkeringen. Daardoor is businessbetekenis verspreid geraakt over verschillende koppelingen. Sommige selecties en fallbackregels lijken functionele keuzes te bevatten, terwijl andere velden alleen nodig zijn om de huidige synchronisatie technisch te laten werken.</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Beslisadvies  </w:t>
            </w:r>
            <w:r>
              <w:t>Behoud de noodzakelijke bedrijfsuitwisseling, maar ontwerp haar opnieuw per capability: WerkOrder-kern, planning, uitvoering, realisatie en financiële context. Leg per segment de auteur, minimale gegevensbehoefte en lifecycle vast voordat een event of API wordt ontworpen.</w:t>
            </w:r>
          </w:p>
        </w:tc>
      </w:tr>
    </w:tbl>
    <w:p>
      <w:pPr>
        <w:spacing w:after="20"/>
      </w:pPr>
    </w:p>
    <w:p>
      <w:pPr>
        <w:pStyle w:val="Heading1"/>
        <w:keepNext/>
      </w:pPr>
      <w:r>
        <w:t>2. Doel en gebruik van dit rapport</w:t>
      </w:r>
    </w:p>
    <w:p>
      <w:pPr>
        <w:spacing w:after="140"/>
      </w:pPr>
      <w:r>
        <w:t>Dit rapport ondersteunt de uitfasering van Talend. Het doel is niet om de huidige interfaces als technisch landschap te conserveren, maar om te bepalen welke informatie-uitwisseling voor de bedrijfsvoering nodig blijft en hoe die in de toekomstige VWI-architectuur kan worden ingericht.</w:t>
      </w:r>
    </w:p>
    <w:p>
      <w:pPr>
        <w:spacing w:after="140"/>
      </w:pPr>
      <w:r>
        <w:t>Het rapport is bedoeld als uitgangspunt voor gezamenlijke besluitvorming door business, applicatiebeheer, data- en integratiearchitectuur. Per keten moet worden besloten:</w:t>
      </w:r>
    </w:p>
    <w:p>
      <w:pPr>
        <w:pStyle w:val="ListBullet"/>
        <w:spacing w:after="60"/>
      </w:pPr>
      <w:r>
        <w:t>welk bedrijfsproces met de uitwisseling wordt ondersteund;</w:t>
      </w:r>
    </w:p>
    <w:p>
      <w:pPr>
        <w:pStyle w:val="ListBullet"/>
        <w:spacing w:after="60"/>
      </w:pPr>
      <w:r>
        <w:t>welk minimaal WerkOrdersegment nodig is;</w:t>
      </w:r>
    </w:p>
    <w:p>
      <w:pPr>
        <w:pStyle w:val="ListBullet"/>
        <w:spacing w:after="60"/>
      </w:pPr>
      <w:r>
        <w:t>welk systeem of domein de informatie bepaalt;</w:t>
      </w:r>
    </w:p>
    <w:p>
      <w:pPr>
        <w:pStyle w:val="ListBullet"/>
        <w:spacing w:after="60"/>
      </w:pPr>
      <w:r>
        <w:t>welke huidige regels functioneel blijven en welke technische erfenis kunnen vervallen;</w:t>
      </w:r>
    </w:p>
    <w:p>
      <w:pPr>
        <w:pStyle w:val="ListBullet"/>
        <w:spacing w:after="60"/>
      </w:pPr>
      <w:r>
        <w:t>of de toekomstige uitwisseling het best past als event, API of een andere beheerde integratie;</w:t>
      </w:r>
    </w:p>
    <w:p>
      <w:pPr>
        <w:pStyle w:val="ListBullet"/>
        <w:spacing w:after="60"/>
      </w:pPr>
      <w:r>
        <w:t>of de keten behouden, vervangen, samengevoegd, uitgefaseerd of nader onderzocht moet worden.</w:t>
      </w:r>
    </w:p>
    <w:p>
      <w:pPr>
        <w:spacing w:after="140"/>
      </w:pPr>
      <w:r>
        <w:t>Het rapport levert daarmee herontwerpinput. Het is nog geen definitief solution design en ook niet het formele VWIIM WerkOrdercontract.</w:t>
      </w:r>
    </w:p>
    <w:p>
      <w:pPr>
        <w:pStyle w:val="Heading1"/>
        <w:keepNext/>
      </w:pPr>
      <w:r>
        <w:t>3. Huidige WerkOrder-uitwisseling</w:t>
      </w:r>
    </w:p>
    <w:p>
      <w:pPr>
        <w:spacing w:after="140"/>
      </w:pPr>
      <w:r>
        <w:t>De huidige ketens kunnen functioneel als volgt worden samengevat. Eén technische keten kan meerdere informatieproducten bevatten; omgekeerd kan dezelfde businessbehoefte door meerdere technische varianten worden ingevuld.</w:t>
      </w:r>
    </w:p>
    <w:tbl>
      <w:tblPr>
        <w:tblStyle w:val="TableGrid"/>
        <w:tblW w:type="dxa" w:w="9360"/>
        <w:tblLayout w:type="fixed"/>
        <w:tblLook w:firstColumn="1" w:firstRow="1" w:lastColumn="0" w:lastRow="0" w:noHBand="0" w:noVBand="1" w:val="04A0"/>
        <w:tblInd w:w="120" w:type="dxa"/>
      </w:tblPr>
      <w:tblGrid>
        <w:gridCol w:w="1600"/>
        <w:gridCol w:w="2250"/>
        <w:gridCol w:w="2700"/>
        <w:gridCol w:w="2810"/>
      </w:tblGrid>
      <w:tr>
        <w:trPr>
          <w:tblHeader w:val="true"/>
        </w:trPr>
        <w:tc>
          <w:tcPr>
            <w:tcW w:type="dxa" w:w="1600"/>
            <w:shd w:fill="1F4E79"/>
            <w:tcMar>
              <w:top w:w="110" w:type="dxa"/>
              <w:start w:w="120" w:type="dxa"/>
              <w:bottom w:w="110" w:type="dxa"/>
              <w:end w:w="120" w:type="dxa"/>
            </w:tcMar>
            <w:vAlign w:val="center"/>
          </w:tcPr>
          <w:p>
            <w:pPr>
              <w:jc w:val="left"/>
            </w:pPr>
            <w:r>
              <w:rPr>
                <w:b/>
                <w:color w:val="FFFFFF"/>
                <w:sz w:val="16"/>
              </w:rPr>
              <w:t>Keten</w:t>
            </w:r>
          </w:p>
        </w:tc>
        <w:tc>
          <w:tcPr>
            <w:tcW w:type="dxa" w:w="2250"/>
            <w:shd w:fill="1F4E79"/>
            <w:tcMar>
              <w:top w:w="110" w:type="dxa"/>
              <w:start w:w="120" w:type="dxa"/>
              <w:bottom w:w="110" w:type="dxa"/>
              <w:end w:w="120" w:type="dxa"/>
            </w:tcMar>
            <w:vAlign w:val="center"/>
          </w:tcPr>
          <w:p>
            <w:pPr>
              <w:jc w:val="left"/>
            </w:pPr>
            <w:r>
              <w:rPr>
                <w:b/>
                <w:color w:val="FFFFFF"/>
                <w:sz w:val="16"/>
              </w:rPr>
              <w:t>Bedrijfsdoel</w:t>
            </w:r>
          </w:p>
        </w:tc>
        <w:tc>
          <w:tcPr>
            <w:tcW w:type="dxa" w:w="2700"/>
            <w:shd w:fill="1F4E79"/>
            <w:tcMar>
              <w:top w:w="110" w:type="dxa"/>
              <w:start w:w="120" w:type="dxa"/>
              <w:bottom w:w="110" w:type="dxa"/>
              <w:end w:w="120" w:type="dxa"/>
            </w:tcMar>
            <w:vAlign w:val="center"/>
          </w:tcPr>
          <w:p>
            <w:pPr>
              <w:jc w:val="left"/>
            </w:pPr>
            <w:r>
              <w:rPr>
                <w:b/>
                <w:color w:val="FFFFFF"/>
                <w:sz w:val="16"/>
              </w:rPr>
              <w:t>WerkOrder-informatie</w:t>
            </w:r>
          </w:p>
        </w:tc>
        <w:tc>
          <w:tcPr>
            <w:tcW w:type="dxa" w:w="2810"/>
            <w:shd w:fill="1F4E79"/>
            <w:tcMar>
              <w:top w:w="110" w:type="dxa"/>
              <w:start w:w="120" w:type="dxa"/>
              <w:bottom w:w="110" w:type="dxa"/>
              <w:end w:w="120" w:type="dxa"/>
            </w:tcMar>
            <w:vAlign w:val="center"/>
          </w:tcPr>
          <w:p>
            <w:pPr>
              <w:jc w:val="left"/>
            </w:pPr>
            <w:r>
              <w:rPr>
                <w:b/>
                <w:color w:val="FFFFFF"/>
                <w:sz w:val="16"/>
              </w:rPr>
              <w:t>Huidige beoordeling</w:t>
            </w:r>
          </w:p>
        </w:tc>
      </w:tr>
      <w:tr>
        <w:tc>
          <w:tcPr>
            <w:tcW w:type="dxa" w:w="1600"/>
            <w:tcMar>
              <w:top w:w="110" w:type="dxa"/>
              <w:start w:w="120" w:type="dxa"/>
              <w:bottom w:w="110" w:type="dxa"/>
              <w:end w:w="120" w:type="dxa"/>
            </w:tcMar>
            <w:vAlign w:val="center"/>
          </w:tcPr>
          <w:p>
            <w:pPr>
              <w:spacing w:after="0"/>
            </w:pPr>
            <w:r>
              <w:rPr>
                <w:sz w:val="16"/>
              </w:rPr>
              <w:t>Maximo ↔ Quintiq</w:t>
            </w:r>
          </w:p>
        </w:tc>
        <w:tc>
          <w:tcPr>
            <w:tcW w:type="dxa" w:w="2250"/>
            <w:tcMar>
              <w:top w:w="110" w:type="dxa"/>
              <w:start w:w="120" w:type="dxa"/>
              <w:bottom w:w="110" w:type="dxa"/>
              <w:end w:w="120" w:type="dxa"/>
            </w:tcMar>
            <w:vAlign w:val="center"/>
          </w:tcPr>
          <w:p>
            <w:pPr>
              <w:spacing w:after="0"/>
            </w:pPr>
            <w:r>
              <w:rPr>
                <w:sz w:val="16"/>
              </w:rPr>
              <w:t>Werk aanbieden aan planning en het plan terugmelden</w:t>
            </w:r>
          </w:p>
        </w:tc>
        <w:tc>
          <w:tcPr>
            <w:tcW w:type="dxa" w:w="2700"/>
            <w:tcMar>
              <w:top w:w="110" w:type="dxa"/>
              <w:start w:w="120" w:type="dxa"/>
              <w:bottom w:w="110" w:type="dxa"/>
              <w:end w:w="120" w:type="dxa"/>
            </w:tcMar>
            <w:vAlign w:val="center"/>
          </w:tcPr>
          <w:p>
            <w:pPr>
              <w:spacing w:after="0"/>
            </w:pPr>
            <w:r>
              <w:rPr>
                <w:sz w:val="16"/>
              </w:rPr>
              <w:t>Kern, gewenste data, locatie, werksoort, rollen en geplande data</w:t>
            </w:r>
          </w:p>
        </w:tc>
        <w:tc>
          <w:tcPr>
            <w:tcW w:type="dxa" w:w="2810"/>
            <w:tcMar>
              <w:top w:w="110" w:type="dxa"/>
              <w:start w:w="120" w:type="dxa"/>
              <w:bottom w:w="110" w:type="dxa"/>
              <w:end w:w="120" w:type="dxa"/>
            </w:tcMar>
            <w:vAlign w:val="center"/>
          </w:tcPr>
          <w:p>
            <w:pPr>
              <w:spacing w:after="0"/>
            </w:pPr>
            <w:r>
              <w:rPr>
                <w:sz w:val="16"/>
              </w:rPr>
              <w:t>Behouden als twee gerichte capabilities: planningsopdracht en planningresultaat</w:t>
            </w:r>
          </w:p>
        </w:tc>
      </w:tr>
      <w:tr>
        <w:tc>
          <w:tcPr>
            <w:tcW w:type="dxa" w:w="1600"/>
            <w:shd w:fill="EEF5FA"/>
            <w:tcMar>
              <w:top w:w="110" w:type="dxa"/>
              <w:start w:w="120" w:type="dxa"/>
              <w:bottom w:w="110" w:type="dxa"/>
              <w:end w:w="120" w:type="dxa"/>
            </w:tcMar>
            <w:vAlign w:val="center"/>
          </w:tcPr>
          <w:p>
            <w:pPr>
              <w:spacing w:after="0"/>
            </w:pPr>
            <w:r>
              <w:rPr>
                <w:sz w:val="16"/>
              </w:rPr>
              <w:t>Maximo → RHM → Smartflow</w:t>
            </w:r>
          </w:p>
        </w:tc>
        <w:tc>
          <w:tcPr>
            <w:tcW w:type="dxa" w:w="2250"/>
            <w:shd w:fill="EEF5FA"/>
            <w:tcMar>
              <w:top w:w="110" w:type="dxa"/>
              <w:start w:w="120" w:type="dxa"/>
              <w:bottom w:w="110" w:type="dxa"/>
              <w:end w:w="120" w:type="dxa"/>
            </w:tcMar>
            <w:vAlign w:val="center"/>
          </w:tcPr>
          <w:p>
            <w:pPr>
              <w:spacing w:after="0"/>
            </w:pPr>
            <w:r>
              <w:rPr>
                <w:sz w:val="16"/>
              </w:rPr>
              <w:t>Werk voorbereiden, vrijgeven en uitvoeren</w:t>
            </w:r>
          </w:p>
        </w:tc>
        <w:tc>
          <w:tcPr>
            <w:tcW w:type="dxa" w:w="2700"/>
            <w:shd w:fill="EEF5FA"/>
            <w:tcMar>
              <w:top w:w="110" w:type="dxa"/>
              <w:start w:w="120" w:type="dxa"/>
              <w:bottom w:w="110" w:type="dxa"/>
              <w:end w:w="120" w:type="dxa"/>
            </w:tcMar>
            <w:vAlign w:val="center"/>
          </w:tcPr>
          <w:p>
            <w:pPr>
              <w:spacing w:after="0"/>
            </w:pPr>
            <w:r>
              <w:rPr>
                <w:sz w:val="16"/>
              </w:rPr>
              <w:t>Kern, status, projectcontext, resources en realisatie</w:t>
            </w:r>
          </w:p>
        </w:tc>
        <w:tc>
          <w:tcPr>
            <w:tcW w:type="dxa" w:w="2810"/>
            <w:shd w:fill="EEF5FA"/>
            <w:tcMar>
              <w:top w:w="110" w:type="dxa"/>
              <w:start w:w="120" w:type="dxa"/>
              <w:bottom w:w="110" w:type="dxa"/>
              <w:end w:w="120" w:type="dxa"/>
            </w:tcMar>
            <w:vAlign w:val="center"/>
          </w:tcPr>
          <w:p>
            <w:pPr>
              <w:spacing w:after="0"/>
            </w:pPr>
            <w:r>
              <w:rPr>
                <w:sz w:val="16"/>
              </w:rPr>
              <w:t>Scheiden in WerkOrder, uitvoeringsopdracht, resourcecontext en realisatie</w:t>
            </w:r>
          </w:p>
        </w:tc>
      </w:tr>
      <w:tr>
        <w:tc>
          <w:tcPr>
            <w:tcW w:type="dxa" w:w="1600"/>
            <w:tcMar>
              <w:top w:w="110" w:type="dxa"/>
              <w:start w:w="120" w:type="dxa"/>
              <w:bottom w:w="110" w:type="dxa"/>
              <w:end w:w="120" w:type="dxa"/>
            </w:tcMar>
            <w:vAlign w:val="center"/>
          </w:tcPr>
          <w:p>
            <w:pPr>
              <w:spacing w:after="0"/>
            </w:pPr>
            <w:r>
              <w:rPr>
                <w:sz w:val="16"/>
              </w:rPr>
              <w:t>Maximo ↔ AssetCheck/VISE</w:t>
            </w:r>
          </w:p>
        </w:tc>
        <w:tc>
          <w:tcPr>
            <w:tcW w:type="dxa" w:w="2250"/>
            <w:tcMar>
              <w:top w:w="110" w:type="dxa"/>
              <w:start w:w="120" w:type="dxa"/>
              <w:bottom w:w="110" w:type="dxa"/>
              <w:end w:w="120" w:type="dxa"/>
            </w:tcMar>
            <w:vAlign w:val="center"/>
          </w:tcPr>
          <w:p>
            <w:pPr>
              <w:spacing w:after="0"/>
            </w:pPr>
            <w:r>
              <w:rPr>
                <w:sz w:val="16"/>
              </w:rPr>
              <w:t>Opdracht, raadpleging en uitvoeringsupdate</w:t>
            </w:r>
          </w:p>
        </w:tc>
        <w:tc>
          <w:tcPr>
            <w:tcW w:type="dxa" w:w="2700"/>
            <w:tcMar>
              <w:top w:w="110" w:type="dxa"/>
              <w:start w:w="120" w:type="dxa"/>
              <w:bottom w:w="110" w:type="dxa"/>
              <w:end w:w="120" w:type="dxa"/>
            </w:tcMar>
            <w:vAlign w:val="center"/>
          </w:tcPr>
          <w:p>
            <w:pPr>
              <w:spacing w:after="0"/>
            </w:pPr>
            <w:r>
              <w:rPr>
                <w:sz w:val="16"/>
              </w:rPr>
              <w:t>WerkOrderreferentie, locatie, service request en uitvoeringsgegevens</w:t>
            </w:r>
          </w:p>
        </w:tc>
        <w:tc>
          <w:tcPr>
            <w:tcW w:type="dxa" w:w="2810"/>
            <w:tcMar>
              <w:top w:w="110" w:type="dxa"/>
              <w:start w:w="120" w:type="dxa"/>
              <w:bottom w:w="110" w:type="dxa"/>
              <w:end w:w="120" w:type="dxa"/>
            </w:tcMar>
            <w:vAlign w:val="center"/>
          </w:tcPr>
          <w:p>
            <w:pPr>
              <w:spacing w:after="0"/>
            </w:pPr>
            <w:r>
              <w:rPr>
                <w:sz w:val="16"/>
              </w:rPr>
              <w:t>Overlap reduceren en echte consumentenbehoefte bevestigen</w:t>
            </w:r>
          </w:p>
        </w:tc>
      </w:tr>
      <w:tr>
        <w:tc>
          <w:tcPr>
            <w:tcW w:type="dxa" w:w="1600"/>
            <w:shd w:fill="EEF5FA"/>
            <w:tcMar>
              <w:top w:w="110" w:type="dxa"/>
              <w:start w:w="120" w:type="dxa"/>
              <w:bottom w:w="110" w:type="dxa"/>
              <w:end w:w="120" w:type="dxa"/>
            </w:tcMar>
            <w:vAlign w:val="center"/>
          </w:tcPr>
          <w:p>
            <w:pPr>
              <w:spacing w:after="0"/>
            </w:pPr>
            <w:r>
              <w:rPr>
                <w:sz w:val="16"/>
              </w:rPr>
              <w:t>Infor/InforOSK ↔ Maximo</w:t>
            </w:r>
          </w:p>
        </w:tc>
        <w:tc>
          <w:tcPr>
            <w:tcW w:type="dxa" w:w="2250"/>
            <w:shd w:fill="EEF5FA"/>
            <w:tcMar>
              <w:top w:w="110" w:type="dxa"/>
              <w:start w:w="120" w:type="dxa"/>
              <w:bottom w:w="110" w:type="dxa"/>
              <w:end w:w="120" w:type="dxa"/>
            </w:tcMar>
            <w:vAlign w:val="center"/>
          </w:tcPr>
          <w:p>
            <w:pPr>
              <w:spacing w:after="0"/>
            </w:pPr>
            <w:r>
              <w:rPr>
                <w:sz w:val="16"/>
              </w:rPr>
              <w:t>Nieuwe of afgesloten orders en financiële terugmelding</w:t>
            </w:r>
          </w:p>
        </w:tc>
        <w:tc>
          <w:tcPr>
            <w:tcW w:type="dxa" w:w="2700"/>
            <w:shd w:fill="EEF5FA"/>
            <w:tcMar>
              <w:top w:w="110" w:type="dxa"/>
              <w:start w:w="120" w:type="dxa"/>
              <w:bottom w:w="110" w:type="dxa"/>
              <w:end w:w="120" w:type="dxa"/>
            </w:tcMar>
            <w:vAlign w:val="center"/>
          </w:tcPr>
          <w:p>
            <w:pPr>
              <w:spacing w:after="0"/>
            </w:pPr>
            <w:r>
              <w:rPr>
                <w:sz w:val="16"/>
              </w:rPr>
              <w:t>Lifecycle, uren en aanvullende kosten</w:t>
            </w:r>
          </w:p>
        </w:tc>
        <w:tc>
          <w:tcPr>
            <w:tcW w:type="dxa" w:w="2810"/>
            <w:shd w:fill="EEF5FA"/>
            <w:tcMar>
              <w:top w:w="110" w:type="dxa"/>
              <w:start w:w="120" w:type="dxa"/>
              <w:bottom w:w="110" w:type="dxa"/>
              <w:end w:w="120" w:type="dxa"/>
            </w:tcMar>
            <w:vAlign w:val="center"/>
          </w:tcPr>
          <w:p>
            <w:pPr>
              <w:spacing w:after="0"/>
            </w:pPr>
            <w:r>
              <w:rPr>
                <w:sz w:val="16"/>
              </w:rPr>
              <w:t>Lifecycle en financiële actuals als afzonderlijke informatieproducten behandelen</w:t>
            </w:r>
          </w:p>
        </w:tc>
      </w:tr>
      <w:tr>
        <w:tc>
          <w:tcPr>
            <w:tcW w:type="dxa" w:w="1600"/>
            <w:tcMar>
              <w:top w:w="110" w:type="dxa"/>
              <w:start w:w="120" w:type="dxa"/>
              <w:bottom w:w="110" w:type="dxa"/>
              <w:end w:w="120" w:type="dxa"/>
            </w:tcMar>
            <w:vAlign w:val="center"/>
          </w:tcPr>
          <w:p>
            <w:pPr>
              <w:spacing w:after="0"/>
            </w:pPr>
            <w:r>
              <w:rPr>
                <w:sz w:val="16"/>
              </w:rPr>
              <w:t>Ortec/Vialis</w:t>
            </w:r>
          </w:p>
        </w:tc>
        <w:tc>
          <w:tcPr>
            <w:tcW w:type="dxa" w:w="2250"/>
            <w:tcMar>
              <w:top w:w="110" w:type="dxa"/>
              <w:start w:w="120" w:type="dxa"/>
              <w:bottom w:w="110" w:type="dxa"/>
              <w:end w:w="120" w:type="dxa"/>
            </w:tcMar>
            <w:vAlign w:val="center"/>
          </w:tcPr>
          <w:p>
            <w:pPr>
              <w:spacing w:after="0"/>
            </w:pPr>
            <w:r>
              <w:rPr>
                <w:sz w:val="16"/>
              </w:rPr>
              <w:t>Planning wijzigen of annuleren</w:t>
            </w:r>
          </w:p>
        </w:tc>
        <w:tc>
          <w:tcPr>
            <w:tcW w:type="dxa" w:w="2700"/>
            <w:tcMar>
              <w:top w:w="110" w:type="dxa"/>
              <w:start w:w="120" w:type="dxa"/>
              <w:bottom w:w="110" w:type="dxa"/>
              <w:end w:w="120" w:type="dxa"/>
            </w:tcMar>
            <w:vAlign w:val="center"/>
          </w:tcPr>
          <w:p>
            <w:pPr>
              <w:spacing w:after="0"/>
            </w:pPr>
            <w:r>
              <w:rPr>
                <w:sz w:val="16"/>
              </w:rPr>
              <w:t>Gepland, gewijzigd, geannuleerd en werkbonupdates</w:t>
            </w:r>
          </w:p>
        </w:tc>
        <w:tc>
          <w:tcPr>
            <w:tcW w:type="dxa" w:w="2810"/>
            <w:tcMar>
              <w:top w:w="110" w:type="dxa"/>
              <w:start w:w="120" w:type="dxa"/>
              <w:bottom w:w="110" w:type="dxa"/>
              <w:end w:w="120" w:type="dxa"/>
            </w:tcMar>
            <w:vAlign w:val="center"/>
          </w:tcPr>
          <w:p>
            <w:pPr>
              <w:spacing w:after="0"/>
            </w:pPr>
            <w:r>
              <w:rPr>
                <w:sz w:val="16"/>
              </w:rPr>
              <w:t>Varianten consolideren naar betekenisvolle planning-state changes</w:t>
            </w:r>
          </w:p>
        </w:tc>
      </w:tr>
      <w:tr>
        <w:tc>
          <w:tcPr>
            <w:tcW w:type="dxa" w:w="1600"/>
            <w:shd w:fill="EEF5FA"/>
            <w:tcMar>
              <w:top w:w="110" w:type="dxa"/>
              <w:start w:w="120" w:type="dxa"/>
              <w:bottom w:w="110" w:type="dxa"/>
              <w:end w:w="120" w:type="dxa"/>
            </w:tcMar>
            <w:vAlign w:val="center"/>
          </w:tcPr>
          <w:p>
            <w:pPr>
              <w:spacing w:after="0"/>
            </w:pPr>
            <w:r>
              <w:rPr>
                <w:sz w:val="16"/>
              </w:rPr>
              <w:t>Maximo → 4PS</w:t>
            </w:r>
          </w:p>
        </w:tc>
        <w:tc>
          <w:tcPr>
            <w:tcW w:type="dxa" w:w="2250"/>
            <w:shd w:fill="EEF5FA"/>
            <w:tcMar>
              <w:top w:w="110" w:type="dxa"/>
              <w:start w:w="120" w:type="dxa"/>
              <w:bottom w:w="110" w:type="dxa"/>
              <w:end w:w="120" w:type="dxa"/>
            </w:tcMar>
            <w:vAlign w:val="center"/>
          </w:tcPr>
          <w:p>
            <w:pPr>
              <w:spacing w:after="0"/>
            </w:pPr>
            <w:r>
              <w:rPr>
                <w:sz w:val="16"/>
              </w:rPr>
              <w:t>Werk koppelen aan project- en financiële administratie</w:t>
            </w:r>
          </w:p>
        </w:tc>
        <w:tc>
          <w:tcPr>
            <w:tcW w:type="dxa" w:w="2700"/>
            <w:shd w:fill="EEF5FA"/>
            <w:tcMar>
              <w:top w:w="110" w:type="dxa"/>
              <w:start w:w="120" w:type="dxa"/>
              <w:bottom w:w="110" w:type="dxa"/>
              <w:end w:w="120" w:type="dxa"/>
            </w:tcMar>
            <w:vAlign w:val="center"/>
          </w:tcPr>
          <w:p>
            <w:pPr>
              <w:spacing w:after="0"/>
            </w:pPr>
            <w:r>
              <w:rPr>
                <w:sz w:val="16"/>
              </w:rPr>
              <w:t>Kern, project, WBS, contract, klant en kostencontext</w:t>
            </w:r>
          </w:p>
        </w:tc>
        <w:tc>
          <w:tcPr>
            <w:tcW w:type="dxa" w:w="2810"/>
            <w:shd w:fill="EEF5FA"/>
            <w:tcMar>
              <w:top w:w="110" w:type="dxa"/>
              <w:start w:w="120" w:type="dxa"/>
              <w:bottom w:w="110" w:type="dxa"/>
              <w:end w:w="120" w:type="dxa"/>
            </w:tcMar>
            <w:vAlign w:val="center"/>
          </w:tcPr>
          <w:p>
            <w:pPr>
              <w:spacing w:after="0"/>
            </w:pPr>
            <w:r>
              <w:rPr>
                <w:sz w:val="16"/>
              </w:rPr>
              <w:t>Doelcontract en minimale behoefte eerst vaststellen</w:t>
            </w:r>
          </w:p>
        </w:tc>
      </w:tr>
      <w:tr>
        <w:tc>
          <w:tcPr>
            <w:tcW w:type="dxa" w:w="1600"/>
            <w:tcMar>
              <w:top w:w="110" w:type="dxa"/>
              <w:start w:w="120" w:type="dxa"/>
              <w:bottom w:w="110" w:type="dxa"/>
              <w:end w:w="120" w:type="dxa"/>
            </w:tcMar>
            <w:vAlign w:val="center"/>
          </w:tcPr>
          <w:p>
            <w:pPr>
              <w:spacing w:after="0"/>
            </w:pPr>
            <w:r>
              <w:rPr>
                <w:sz w:val="16"/>
              </w:rPr>
              <w:t>FlexTunnel ↔ Maximo</w:t>
            </w:r>
          </w:p>
        </w:tc>
        <w:tc>
          <w:tcPr>
            <w:tcW w:type="dxa" w:w="2250"/>
            <w:tcMar>
              <w:top w:w="110" w:type="dxa"/>
              <w:start w:w="120" w:type="dxa"/>
              <w:bottom w:w="110" w:type="dxa"/>
              <w:end w:w="120" w:type="dxa"/>
            </w:tcMar>
            <w:vAlign w:val="center"/>
          </w:tcPr>
          <w:p>
            <w:pPr>
              <w:spacing w:after="0"/>
            </w:pPr>
            <w:r>
              <w:rPr>
                <w:sz w:val="16"/>
              </w:rPr>
              <w:t>Inspectie, schade en uitvoering aan werk relateren</w:t>
            </w:r>
          </w:p>
        </w:tc>
        <w:tc>
          <w:tcPr>
            <w:tcW w:type="dxa" w:w="2700"/>
            <w:tcMar>
              <w:top w:w="110" w:type="dxa"/>
              <w:start w:w="120" w:type="dxa"/>
              <w:bottom w:w="110" w:type="dxa"/>
              <w:end w:w="120" w:type="dxa"/>
            </w:tcMar>
            <w:vAlign w:val="center"/>
          </w:tcPr>
          <w:p>
            <w:pPr>
              <w:spacing w:after="0"/>
            </w:pPr>
            <w:r>
              <w:rPr>
                <w:sz w:val="16"/>
              </w:rPr>
              <w:t>WerkOrderreferentie, status, plandata, schade en resultaat</w:t>
            </w:r>
          </w:p>
        </w:tc>
        <w:tc>
          <w:tcPr>
            <w:tcW w:type="dxa" w:w="2810"/>
            <w:tcMar>
              <w:top w:w="110" w:type="dxa"/>
              <w:start w:w="120" w:type="dxa"/>
              <w:bottom w:w="110" w:type="dxa"/>
              <w:end w:w="120" w:type="dxa"/>
            </w:tcMar>
            <w:vAlign w:val="center"/>
          </w:tcPr>
          <w:p>
            <w:pPr>
              <w:spacing w:after="0"/>
            </w:pPr>
            <w:r>
              <w:rPr>
                <w:sz w:val="16"/>
              </w:rPr>
              <w:t>Niet alles in WerkOrder opnemen; zelfstandige objecten relateren</w:t>
            </w:r>
          </w:p>
        </w:tc>
      </w:tr>
    </w:tbl>
    <w:p>
      <w:pPr>
        <w:spacing w:after="20"/>
      </w:pPr>
    </w:p>
    <w:p>
      <w:pPr>
        <w:pStyle w:val="Heading1"/>
        <w:keepNext/>
      </w:pPr>
      <w:r>
        <w:t>4. Welke WerkOrder-informatie wordt uitgewisseld?</w:t>
      </w:r>
    </w:p>
    <w:p>
      <w:pPr>
        <w:spacing w:after="140"/>
      </w:pPr>
      <w:r>
        <w:t>Over de ketens heen ontstaat een samenhangend maar versnipperd informatiebeeld. Niet iedere consument heeft alle segmenten nodig.</w:t>
      </w:r>
    </w:p>
    <w:tbl>
      <w:tblPr>
        <w:tblStyle w:val="TableGrid"/>
        <w:tblW w:type="dxa" w:w="9360"/>
        <w:tblLayout w:type="fixed"/>
        <w:tblLook w:firstColumn="1" w:firstRow="1" w:lastColumn="0" w:lastRow="0" w:noHBand="0" w:noVBand="1" w:val="04A0"/>
        <w:tblInd w:w="120" w:type="dxa"/>
      </w:tblPr>
      <w:tblGrid>
        <w:gridCol w:w="1800"/>
        <w:gridCol w:w="4050"/>
        <w:gridCol w:w="3510"/>
      </w:tblGrid>
      <w:tr>
        <w:trPr>
          <w:tblHeader w:val="true"/>
        </w:trPr>
        <w:tc>
          <w:tcPr>
            <w:tcW w:type="dxa" w:w="1800"/>
            <w:shd w:fill="1F4E79"/>
            <w:tcMar>
              <w:top w:w="110" w:type="dxa"/>
              <w:start w:w="120" w:type="dxa"/>
              <w:bottom w:w="110" w:type="dxa"/>
              <w:end w:w="120" w:type="dxa"/>
            </w:tcMar>
            <w:vAlign w:val="center"/>
          </w:tcPr>
          <w:p>
            <w:pPr>
              <w:jc w:val="left"/>
            </w:pPr>
            <w:r>
              <w:rPr>
                <w:b/>
                <w:color w:val="FFFFFF"/>
                <w:sz w:val="16"/>
              </w:rPr>
              <w:t>Segment</w:t>
            </w:r>
          </w:p>
        </w:tc>
        <w:tc>
          <w:tcPr>
            <w:tcW w:type="dxa" w:w="4050"/>
            <w:shd w:fill="1F4E79"/>
            <w:tcMar>
              <w:top w:w="110" w:type="dxa"/>
              <w:start w:w="120" w:type="dxa"/>
              <w:bottom w:w="110" w:type="dxa"/>
              <w:end w:w="120" w:type="dxa"/>
            </w:tcMar>
            <w:vAlign w:val="center"/>
          </w:tcPr>
          <w:p>
            <w:pPr>
              <w:jc w:val="left"/>
            </w:pPr>
            <w:r>
              <w:rPr>
                <w:b/>
                <w:color w:val="FFFFFF"/>
                <w:sz w:val="16"/>
              </w:rPr>
              <w:t>Inhoud</w:t>
            </w:r>
          </w:p>
        </w:tc>
        <w:tc>
          <w:tcPr>
            <w:tcW w:type="dxa" w:w="3510"/>
            <w:shd w:fill="1F4E79"/>
            <w:tcMar>
              <w:top w:w="110" w:type="dxa"/>
              <w:start w:w="120" w:type="dxa"/>
              <w:bottom w:w="110" w:type="dxa"/>
              <w:end w:w="120" w:type="dxa"/>
            </w:tcMar>
            <w:vAlign w:val="center"/>
          </w:tcPr>
          <w:p>
            <w:pPr>
              <w:jc w:val="left"/>
            </w:pPr>
            <w:r>
              <w:rPr>
                <w:b/>
                <w:color w:val="FFFFFF"/>
                <w:sz w:val="16"/>
              </w:rPr>
              <w:t>Voornaamste gebruik</w:t>
            </w:r>
          </w:p>
        </w:tc>
      </w:tr>
      <w:tr>
        <w:tc>
          <w:tcPr>
            <w:tcW w:type="dxa" w:w="1800"/>
            <w:tcMar>
              <w:top w:w="110" w:type="dxa"/>
              <w:start w:w="120" w:type="dxa"/>
              <w:bottom w:w="110" w:type="dxa"/>
              <w:end w:w="120" w:type="dxa"/>
            </w:tcMar>
            <w:vAlign w:val="center"/>
          </w:tcPr>
          <w:p>
            <w:pPr>
              <w:spacing w:after="0"/>
            </w:pPr>
            <w:r>
              <w:rPr>
                <w:sz w:val="16"/>
              </w:rPr>
              <w:t>Identiteit</w:t>
            </w:r>
          </w:p>
        </w:tc>
        <w:tc>
          <w:tcPr>
            <w:tcW w:type="dxa" w:w="4050"/>
            <w:tcMar>
              <w:top w:w="110" w:type="dxa"/>
              <w:start w:w="120" w:type="dxa"/>
              <w:bottom w:w="110" w:type="dxa"/>
              <w:end w:w="120" w:type="dxa"/>
            </w:tcMar>
            <w:vAlign w:val="center"/>
          </w:tcPr>
          <w:p>
            <w:pPr>
              <w:spacing w:after="0"/>
            </w:pPr>
            <w:r>
              <w:rPr>
                <w:sz w:val="16"/>
              </w:rPr>
              <w:t>WerkOrdernummer, externe identificaties en bron-/sitecontext</w:t>
            </w:r>
          </w:p>
        </w:tc>
        <w:tc>
          <w:tcPr>
            <w:tcW w:type="dxa" w:w="3510"/>
            <w:tcMar>
              <w:top w:w="110" w:type="dxa"/>
              <w:start w:w="120" w:type="dxa"/>
              <w:bottom w:w="110" w:type="dxa"/>
              <w:end w:w="120" w:type="dxa"/>
            </w:tcMar>
            <w:vAlign w:val="center"/>
          </w:tcPr>
          <w:p>
            <w:pPr>
              <w:spacing w:after="0"/>
            </w:pPr>
            <w:r>
              <w:rPr>
                <w:sz w:val="16"/>
              </w:rPr>
              <w:t>Herkennen en correleren van dezelfde WerkOrder over systemen heen</w:t>
            </w:r>
          </w:p>
        </w:tc>
      </w:tr>
      <w:tr>
        <w:tc>
          <w:tcPr>
            <w:tcW w:type="dxa" w:w="1800"/>
            <w:shd w:fill="EEF5FA"/>
            <w:tcMar>
              <w:top w:w="110" w:type="dxa"/>
              <w:start w:w="120" w:type="dxa"/>
              <w:bottom w:w="110" w:type="dxa"/>
              <w:end w:w="120" w:type="dxa"/>
            </w:tcMar>
            <w:vAlign w:val="center"/>
          </w:tcPr>
          <w:p>
            <w:pPr>
              <w:spacing w:after="0"/>
            </w:pPr>
            <w:r>
              <w:rPr>
                <w:sz w:val="16"/>
              </w:rPr>
              <w:t>Omschrijving</w:t>
            </w:r>
          </w:p>
        </w:tc>
        <w:tc>
          <w:tcPr>
            <w:tcW w:type="dxa" w:w="4050"/>
            <w:shd w:fill="EEF5FA"/>
            <w:tcMar>
              <w:top w:w="110" w:type="dxa"/>
              <w:start w:w="120" w:type="dxa"/>
              <w:bottom w:w="110" w:type="dxa"/>
              <w:end w:w="120" w:type="dxa"/>
            </w:tcMar>
            <w:vAlign w:val="center"/>
          </w:tcPr>
          <w:p>
            <w:pPr>
              <w:spacing w:after="0"/>
            </w:pPr>
            <w:r>
              <w:rPr>
                <w:sz w:val="16"/>
              </w:rPr>
              <w:t>Titel, beschrijving en opmerkingen</w:t>
            </w:r>
          </w:p>
        </w:tc>
        <w:tc>
          <w:tcPr>
            <w:tcW w:type="dxa" w:w="3510"/>
            <w:shd w:fill="EEF5FA"/>
            <w:tcMar>
              <w:top w:w="110" w:type="dxa"/>
              <w:start w:w="120" w:type="dxa"/>
              <w:bottom w:w="110" w:type="dxa"/>
              <w:end w:w="120" w:type="dxa"/>
            </w:tcMar>
            <w:vAlign w:val="center"/>
          </w:tcPr>
          <w:p>
            <w:pPr>
              <w:spacing w:after="0"/>
            </w:pPr>
            <w:r>
              <w:rPr>
                <w:sz w:val="16"/>
              </w:rPr>
              <w:t>Plannen, beoordelen en uitvoeren van het werk</w:t>
            </w:r>
          </w:p>
        </w:tc>
      </w:tr>
      <w:tr>
        <w:tc>
          <w:tcPr>
            <w:tcW w:type="dxa" w:w="1800"/>
            <w:tcMar>
              <w:top w:w="110" w:type="dxa"/>
              <w:start w:w="120" w:type="dxa"/>
              <w:bottom w:w="110" w:type="dxa"/>
              <w:end w:w="120" w:type="dxa"/>
            </w:tcMar>
            <w:vAlign w:val="center"/>
          </w:tcPr>
          <w:p>
            <w:pPr>
              <w:spacing w:after="0"/>
            </w:pPr>
            <w:r>
              <w:rPr>
                <w:sz w:val="16"/>
              </w:rPr>
              <w:t>Lifecycle</w:t>
            </w:r>
          </w:p>
        </w:tc>
        <w:tc>
          <w:tcPr>
            <w:tcW w:type="dxa" w:w="4050"/>
            <w:tcMar>
              <w:top w:w="110" w:type="dxa"/>
              <w:start w:w="120" w:type="dxa"/>
              <w:bottom w:w="110" w:type="dxa"/>
              <w:end w:w="120" w:type="dxa"/>
            </w:tcMar>
            <w:vAlign w:val="center"/>
          </w:tcPr>
          <w:p>
            <w:pPr>
              <w:spacing w:after="0"/>
            </w:pPr>
            <w:r>
              <w:rPr>
                <w:sz w:val="16"/>
              </w:rPr>
              <w:t>Status, statusdatum, wijzigingsmoment en historie</w:t>
            </w:r>
          </w:p>
        </w:tc>
        <w:tc>
          <w:tcPr>
            <w:tcW w:type="dxa" w:w="3510"/>
            <w:tcMar>
              <w:top w:w="110" w:type="dxa"/>
              <w:start w:w="120" w:type="dxa"/>
              <w:bottom w:w="110" w:type="dxa"/>
              <w:end w:w="120" w:type="dxa"/>
            </w:tcMar>
            <w:vAlign w:val="center"/>
          </w:tcPr>
          <w:p>
            <w:pPr>
              <w:spacing w:after="0"/>
            </w:pPr>
            <w:r>
              <w:rPr>
                <w:sz w:val="16"/>
              </w:rPr>
              <w:t>Bepalen waar de WerkOrder zich in het proces bevindt</w:t>
            </w:r>
          </w:p>
        </w:tc>
      </w:tr>
      <w:tr>
        <w:tc>
          <w:tcPr>
            <w:tcW w:type="dxa" w:w="1800"/>
            <w:shd w:fill="EEF5FA"/>
            <w:tcMar>
              <w:top w:w="110" w:type="dxa"/>
              <w:start w:w="120" w:type="dxa"/>
              <w:bottom w:w="110" w:type="dxa"/>
              <w:end w:w="120" w:type="dxa"/>
            </w:tcMar>
            <w:vAlign w:val="center"/>
          </w:tcPr>
          <w:p>
            <w:pPr>
              <w:spacing w:after="0"/>
            </w:pPr>
            <w:r>
              <w:rPr>
                <w:sz w:val="16"/>
              </w:rPr>
              <w:t>Planning</w:t>
            </w:r>
          </w:p>
        </w:tc>
        <w:tc>
          <w:tcPr>
            <w:tcW w:type="dxa" w:w="4050"/>
            <w:shd w:fill="EEF5FA"/>
            <w:tcMar>
              <w:top w:w="110" w:type="dxa"/>
              <w:start w:w="120" w:type="dxa"/>
              <w:bottom w:w="110" w:type="dxa"/>
              <w:end w:w="120" w:type="dxa"/>
            </w:tcMar>
            <w:vAlign w:val="center"/>
          </w:tcPr>
          <w:p>
            <w:pPr>
              <w:spacing w:after="0"/>
            </w:pPr>
            <w:r>
              <w:rPr>
                <w:sz w:val="16"/>
              </w:rPr>
              <w:t>Gewenste en geplande start/einddatum, duur en planningresultaat</w:t>
            </w:r>
          </w:p>
        </w:tc>
        <w:tc>
          <w:tcPr>
            <w:tcW w:type="dxa" w:w="3510"/>
            <w:shd w:fill="EEF5FA"/>
            <w:tcMar>
              <w:top w:w="110" w:type="dxa"/>
              <w:start w:w="120" w:type="dxa"/>
              <w:bottom w:w="110" w:type="dxa"/>
              <w:end w:w="120" w:type="dxa"/>
            </w:tcMar>
            <w:vAlign w:val="center"/>
          </w:tcPr>
          <w:p>
            <w:pPr>
              <w:spacing w:after="0"/>
            </w:pPr>
            <w:r>
              <w:rPr>
                <w:sz w:val="16"/>
              </w:rPr>
              <w:t>Capaciteit plannen en planning terugmelden</w:t>
            </w:r>
          </w:p>
        </w:tc>
      </w:tr>
      <w:tr>
        <w:tc>
          <w:tcPr>
            <w:tcW w:type="dxa" w:w="1800"/>
            <w:tcMar>
              <w:top w:w="110" w:type="dxa"/>
              <w:start w:w="120" w:type="dxa"/>
              <w:bottom w:w="110" w:type="dxa"/>
              <w:end w:w="120" w:type="dxa"/>
            </w:tcMar>
            <w:vAlign w:val="center"/>
          </w:tcPr>
          <w:p>
            <w:pPr>
              <w:spacing w:after="0"/>
            </w:pPr>
            <w:r>
              <w:rPr>
                <w:sz w:val="16"/>
              </w:rPr>
              <w:t>Organisatie en locatie</w:t>
            </w:r>
          </w:p>
        </w:tc>
        <w:tc>
          <w:tcPr>
            <w:tcW w:type="dxa" w:w="4050"/>
            <w:tcMar>
              <w:top w:w="110" w:type="dxa"/>
              <w:start w:w="120" w:type="dxa"/>
              <w:bottom w:w="110" w:type="dxa"/>
              <w:end w:w="120" w:type="dxa"/>
            </w:tcMar>
            <w:vAlign w:val="center"/>
          </w:tcPr>
          <w:p>
            <w:pPr>
              <w:spacing w:after="0"/>
            </w:pPr>
            <w:r>
              <w:rPr>
                <w:sz w:val="16"/>
              </w:rPr>
              <w:t>Organisatie, site, objectlocatie en geografische context</w:t>
            </w:r>
          </w:p>
        </w:tc>
        <w:tc>
          <w:tcPr>
            <w:tcW w:type="dxa" w:w="3510"/>
            <w:tcMar>
              <w:top w:w="110" w:type="dxa"/>
              <w:start w:w="120" w:type="dxa"/>
              <w:bottom w:w="110" w:type="dxa"/>
              <w:end w:w="120" w:type="dxa"/>
            </w:tcMar>
            <w:vAlign w:val="center"/>
          </w:tcPr>
          <w:p>
            <w:pPr>
              <w:spacing w:after="0"/>
            </w:pPr>
            <w:r>
              <w:rPr>
                <w:sz w:val="16"/>
              </w:rPr>
              <w:t>Werk aan de juiste organisatorische en fysieke context koppelen</w:t>
            </w:r>
          </w:p>
        </w:tc>
      </w:tr>
      <w:tr>
        <w:tc>
          <w:tcPr>
            <w:tcW w:type="dxa" w:w="1800"/>
            <w:shd w:fill="EEF5FA"/>
            <w:tcMar>
              <w:top w:w="110" w:type="dxa"/>
              <w:start w:w="120" w:type="dxa"/>
              <w:bottom w:w="110" w:type="dxa"/>
              <w:end w:w="120" w:type="dxa"/>
            </w:tcMar>
            <w:vAlign w:val="center"/>
          </w:tcPr>
          <w:p>
            <w:pPr>
              <w:spacing w:after="0"/>
            </w:pPr>
            <w:r>
              <w:rPr>
                <w:sz w:val="16"/>
              </w:rPr>
              <w:t>Classificatie</w:t>
            </w:r>
          </w:p>
        </w:tc>
        <w:tc>
          <w:tcPr>
            <w:tcW w:type="dxa" w:w="4050"/>
            <w:shd w:fill="EEF5FA"/>
            <w:tcMar>
              <w:top w:w="110" w:type="dxa"/>
              <w:start w:w="120" w:type="dxa"/>
              <w:bottom w:w="110" w:type="dxa"/>
              <w:end w:w="120" w:type="dxa"/>
            </w:tcMar>
            <w:vAlign w:val="center"/>
          </w:tcPr>
          <w:p>
            <w:pPr>
              <w:spacing w:after="0"/>
            </w:pPr>
            <w:r>
              <w:rPr>
                <w:sz w:val="16"/>
              </w:rPr>
              <w:t>Werksoort, technische discipline en lokale typecodes</w:t>
            </w:r>
          </w:p>
        </w:tc>
        <w:tc>
          <w:tcPr>
            <w:tcW w:type="dxa" w:w="3510"/>
            <w:shd w:fill="EEF5FA"/>
            <w:tcMar>
              <w:top w:w="110" w:type="dxa"/>
              <w:start w:w="120" w:type="dxa"/>
              <w:bottom w:w="110" w:type="dxa"/>
              <w:end w:w="120" w:type="dxa"/>
            </w:tcMar>
            <w:vAlign w:val="center"/>
          </w:tcPr>
          <w:p>
            <w:pPr>
              <w:spacing w:after="0"/>
            </w:pPr>
            <w:r>
              <w:rPr>
                <w:sz w:val="16"/>
              </w:rPr>
              <w:t>Routeren, plannen en bepalen van benodigde expertise</w:t>
            </w:r>
          </w:p>
        </w:tc>
      </w:tr>
      <w:tr>
        <w:tc>
          <w:tcPr>
            <w:tcW w:type="dxa" w:w="1800"/>
            <w:tcMar>
              <w:top w:w="110" w:type="dxa"/>
              <w:start w:w="120" w:type="dxa"/>
              <w:bottom w:w="110" w:type="dxa"/>
              <w:end w:w="120" w:type="dxa"/>
            </w:tcMar>
            <w:vAlign w:val="center"/>
          </w:tcPr>
          <w:p>
            <w:pPr>
              <w:spacing w:after="0"/>
            </w:pPr>
            <w:r>
              <w:rPr>
                <w:sz w:val="16"/>
              </w:rPr>
              <w:t>Hiërarchie</w:t>
            </w:r>
          </w:p>
        </w:tc>
        <w:tc>
          <w:tcPr>
            <w:tcW w:type="dxa" w:w="4050"/>
            <w:tcMar>
              <w:top w:w="110" w:type="dxa"/>
              <w:start w:w="120" w:type="dxa"/>
              <w:bottom w:w="110" w:type="dxa"/>
              <w:end w:w="120" w:type="dxa"/>
            </w:tcMar>
            <w:vAlign w:val="center"/>
          </w:tcPr>
          <w:p>
            <w:pPr>
              <w:spacing w:after="0"/>
            </w:pPr>
            <w:r>
              <w:rPr>
                <w:sz w:val="16"/>
              </w:rPr>
              <w:t>Parent-childrelatie en eventuele taakstructuur</w:t>
            </w:r>
          </w:p>
        </w:tc>
        <w:tc>
          <w:tcPr>
            <w:tcW w:type="dxa" w:w="3510"/>
            <w:tcMar>
              <w:top w:w="110" w:type="dxa"/>
              <w:start w:w="120" w:type="dxa"/>
              <w:bottom w:w="110" w:type="dxa"/>
              <w:end w:w="120" w:type="dxa"/>
            </w:tcMar>
            <w:vAlign w:val="center"/>
          </w:tcPr>
          <w:p>
            <w:pPr>
              <w:spacing w:after="0"/>
            </w:pPr>
            <w:r>
              <w:rPr>
                <w:sz w:val="16"/>
              </w:rPr>
              <w:t>Samenhang tussen hoofdwerk en deelopdrachten behouden</w:t>
            </w:r>
          </w:p>
        </w:tc>
      </w:tr>
      <w:tr>
        <w:tc>
          <w:tcPr>
            <w:tcW w:type="dxa" w:w="1800"/>
            <w:shd w:fill="EEF5FA"/>
            <w:tcMar>
              <w:top w:w="110" w:type="dxa"/>
              <w:start w:w="120" w:type="dxa"/>
              <w:bottom w:w="110" w:type="dxa"/>
              <w:end w:w="120" w:type="dxa"/>
            </w:tcMar>
            <w:vAlign w:val="center"/>
          </w:tcPr>
          <w:p>
            <w:pPr>
              <w:spacing w:after="0"/>
            </w:pPr>
            <w:r>
              <w:rPr>
                <w:sz w:val="16"/>
              </w:rPr>
              <w:t>Project en contract</w:t>
            </w:r>
          </w:p>
        </w:tc>
        <w:tc>
          <w:tcPr>
            <w:tcW w:type="dxa" w:w="4050"/>
            <w:shd w:fill="EEF5FA"/>
            <w:tcMar>
              <w:top w:w="110" w:type="dxa"/>
              <w:start w:w="120" w:type="dxa"/>
              <w:bottom w:w="110" w:type="dxa"/>
              <w:end w:w="120" w:type="dxa"/>
            </w:tcMar>
            <w:vAlign w:val="center"/>
          </w:tcPr>
          <w:p>
            <w:pPr>
              <w:spacing w:after="0"/>
            </w:pPr>
            <w:r>
              <w:rPr>
                <w:sz w:val="16"/>
              </w:rPr>
              <w:t>Projectnummer, monitoringcode, WBS, contract en klantcontext</w:t>
            </w:r>
          </w:p>
        </w:tc>
        <w:tc>
          <w:tcPr>
            <w:tcW w:type="dxa" w:w="3510"/>
            <w:shd w:fill="EEF5FA"/>
            <w:tcMar>
              <w:top w:w="110" w:type="dxa"/>
              <w:start w:w="120" w:type="dxa"/>
              <w:bottom w:w="110" w:type="dxa"/>
              <w:end w:w="120" w:type="dxa"/>
            </w:tcMar>
            <w:vAlign w:val="center"/>
          </w:tcPr>
          <w:p>
            <w:pPr>
              <w:spacing w:after="0"/>
            </w:pPr>
            <w:r>
              <w:rPr>
                <w:sz w:val="16"/>
              </w:rPr>
              <w:t>Werk verbinden met opdracht, budget en verantwoording</w:t>
            </w:r>
          </w:p>
        </w:tc>
      </w:tr>
      <w:tr>
        <w:tc>
          <w:tcPr>
            <w:tcW w:type="dxa" w:w="1800"/>
            <w:tcMar>
              <w:top w:w="110" w:type="dxa"/>
              <w:start w:w="120" w:type="dxa"/>
              <w:bottom w:w="110" w:type="dxa"/>
              <w:end w:w="120" w:type="dxa"/>
            </w:tcMar>
            <w:vAlign w:val="center"/>
          </w:tcPr>
          <w:p>
            <w:pPr>
              <w:spacing w:after="0"/>
            </w:pPr>
            <w:r>
              <w:rPr>
                <w:sz w:val="16"/>
              </w:rPr>
              <w:t>Rollen en resources</w:t>
            </w:r>
          </w:p>
        </w:tc>
        <w:tc>
          <w:tcPr>
            <w:tcW w:type="dxa" w:w="4050"/>
            <w:tcMar>
              <w:top w:w="110" w:type="dxa"/>
              <w:start w:w="120" w:type="dxa"/>
              <w:bottom w:w="110" w:type="dxa"/>
              <w:end w:w="120" w:type="dxa"/>
            </w:tcMar>
            <w:vAlign w:val="center"/>
          </w:tcPr>
          <w:p>
            <w:pPr>
              <w:spacing w:after="0"/>
            </w:pPr>
            <w:r>
              <w:rPr>
                <w:sz w:val="16"/>
              </w:rPr>
              <w:t>Verantwoordelijke, uitvoerders, medewerkers, machines en kwalificaties</w:t>
            </w:r>
          </w:p>
        </w:tc>
        <w:tc>
          <w:tcPr>
            <w:tcW w:type="dxa" w:w="3510"/>
            <w:tcMar>
              <w:top w:w="110" w:type="dxa"/>
              <w:start w:w="120" w:type="dxa"/>
              <w:bottom w:w="110" w:type="dxa"/>
              <w:end w:w="120" w:type="dxa"/>
            </w:tcMar>
            <w:vAlign w:val="center"/>
          </w:tcPr>
          <w:p>
            <w:pPr>
              <w:spacing w:after="0"/>
            </w:pPr>
            <w:r>
              <w:rPr>
                <w:sz w:val="16"/>
              </w:rPr>
              <w:t>Werk toewijzen en uitvoerbaarheid ondersteunen</w:t>
            </w:r>
          </w:p>
        </w:tc>
      </w:tr>
      <w:tr>
        <w:tc>
          <w:tcPr>
            <w:tcW w:type="dxa" w:w="1800"/>
            <w:shd w:fill="EEF5FA"/>
            <w:tcMar>
              <w:top w:w="110" w:type="dxa"/>
              <w:start w:w="120" w:type="dxa"/>
              <w:bottom w:w="110" w:type="dxa"/>
              <w:end w:w="120" w:type="dxa"/>
            </w:tcMar>
            <w:vAlign w:val="center"/>
          </w:tcPr>
          <w:p>
            <w:pPr>
              <w:spacing w:after="0"/>
            </w:pPr>
            <w:r>
              <w:rPr>
                <w:sz w:val="16"/>
              </w:rPr>
              <w:t>Uitvoering en realisatie</w:t>
            </w:r>
          </w:p>
        </w:tc>
        <w:tc>
          <w:tcPr>
            <w:tcW w:type="dxa" w:w="4050"/>
            <w:shd w:fill="EEF5FA"/>
            <w:tcMar>
              <w:top w:w="110" w:type="dxa"/>
              <w:start w:w="120" w:type="dxa"/>
              <w:bottom w:w="110" w:type="dxa"/>
              <w:end w:w="120" w:type="dxa"/>
            </w:tcMar>
            <w:vAlign w:val="center"/>
          </w:tcPr>
          <w:p>
            <w:pPr>
              <w:spacing w:after="0"/>
            </w:pPr>
            <w:r>
              <w:rPr>
                <w:sz w:val="16"/>
              </w:rPr>
              <w:t>Resultaat, voortgang, schade, werkelijke data en gerealiseerde inzet</w:t>
            </w:r>
          </w:p>
        </w:tc>
        <w:tc>
          <w:tcPr>
            <w:tcW w:type="dxa" w:w="3510"/>
            <w:shd w:fill="EEF5FA"/>
            <w:tcMar>
              <w:top w:w="110" w:type="dxa"/>
              <w:start w:w="120" w:type="dxa"/>
              <w:bottom w:w="110" w:type="dxa"/>
              <w:end w:w="120" w:type="dxa"/>
            </w:tcMar>
            <w:vAlign w:val="center"/>
          </w:tcPr>
          <w:p>
            <w:pPr>
              <w:spacing w:after="0"/>
            </w:pPr>
            <w:r>
              <w:rPr>
                <w:sz w:val="16"/>
              </w:rPr>
              <w:t>Terugmelden wat daadwerkelijk is uitgevoerd</w:t>
            </w:r>
          </w:p>
        </w:tc>
      </w:tr>
      <w:tr>
        <w:tc>
          <w:tcPr>
            <w:tcW w:type="dxa" w:w="1800"/>
            <w:tcMar>
              <w:top w:w="110" w:type="dxa"/>
              <w:start w:w="120" w:type="dxa"/>
              <w:bottom w:w="110" w:type="dxa"/>
              <w:end w:w="120" w:type="dxa"/>
            </w:tcMar>
            <w:vAlign w:val="center"/>
          </w:tcPr>
          <w:p>
            <w:pPr>
              <w:spacing w:after="0"/>
            </w:pPr>
            <w:r>
              <w:rPr>
                <w:sz w:val="16"/>
              </w:rPr>
              <w:t>Financieel</w:t>
            </w:r>
          </w:p>
        </w:tc>
        <w:tc>
          <w:tcPr>
            <w:tcW w:type="dxa" w:w="4050"/>
            <w:tcMar>
              <w:top w:w="110" w:type="dxa"/>
              <w:start w:w="120" w:type="dxa"/>
              <w:bottom w:w="110" w:type="dxa"/>
              <w:end w:w="120" w:type="dxa"/>
            </w:tcMar>
            <w:vAlign w:val="center"/>
          </w:tcPr>
          <w:p>
            <w:pPr>
              <w:spacing w:after="0"/>
            </w:pPr>
            <w:r>
              <w:rPr>
                <w:sz w:val="16"/>
              </w:rPr>
              <w:t>Uren, aanvullende kosten en kostengerelateerde context</w:t>
            </w:r>
          </w:p>
        </w:tc>
        <w:tc>
          <w:tcPr>
            <w:tcW w:type="dxa" w:w="3510"/>
            <w:tcMar>
              <w:top w:w="110" w:type="dxa"/>
              <w:start w:w="120" w:type="dxa"/>
              <w:bottom w:w="110" w:type="dxa"/>
              <w:end w:w="120" w:type="dxa"/>
            </w:tcMar>
            <w:vAlign w:val="center"/>
          </w:tcPr>
          <w:p>
            <w:pPr>
              <w:spacing w:after="0"/>
            </w:pPr>
            <w:r>
              <w:rPr>
                <w:sz w:val="16"/>
              </w:rPr>
              <w:t>Financiële verwerking en rapportage</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Ontwerpprincipe  </w:t>
            </w:r>
            <w:r>
              <w:t>Publiceer niet standaard de volledige WerkOrder. Bepaal per businessgebeurtenis of vraag welk minimaal segment nodig is en verbind aangrenzende objecten via een stabiele WerkOrderidentiteit.</w:t>
            </w:r>
          </w:p>
        </w:tc>
      </w:tr>
    </w:tbl>
    <w:p>
      <w:pPr>
        <w:spacing w:after="20"/>
      </w:pPr>
    </w:p>
    <w:p>
      <w:pPr>
        <w:pStyle w:val="Heading2"/>
        <w:keepNext/>
      </w:pPr>
      <w:r>
        <w:t>4.1 Hoe ziet een WerkOrder eruit per systeem?</w:t>
      </w:r>
    </w:p>
    <w:p>
      <w:pPr>
        <w:spacing w:after="140"/>
      </w:pPr>
      <w:r>
        <w:t>De betekenis van WerkOrder verschilt per applicatie. Maximo bevat de breedste administratieve representatie. Andere systemen gebruiken meestal een doelgerichte doorsnede en voegen soms eigen informatie toe. Onderstaande vergelijking beschrijft het functionele beeld dat voor het herontwerp relevant is.</w:t>
      </w:r>
    </w:p>
    <w:tbl>
      <w:tblPr>
        <w:tblStyle w:val="TableGrid"/>
        <w:tblW w:type="dxa" w:w="9360"/>
        <w:tblLayout w:type="fixed"/>
        <w:tblLook w:firstColumn="1" w:firstRow="1" w:lastColumn="0" w:lastRow="0" w:noHBand="0" w:noVBand="1" w:val="04A0"/>
        <w:tblInd w:w="120" w:type="dxa"/>
      </w:tblPr>
      <w:tblGrid>
        <w:gridCol w:w="1150"/>
        <w:gridCol w:w="2530"/>
        <w:gridCol w:w="3410"/>
        <w:gridCol w:w="2270"/>
      </w:tblGrid>
      <w:tr>
        <w:trPr>
          <w:tblHeader w:val="true"/>
        </w:trPr>
        <w:tc>
          <w:tcPr>
            <w:tcW w:type="dxa" w:w="1150"/>
            <w:shd w:fill="1F4E79"/>
            <w:tcMar>
              <w:top w:w="110" w:type="dxa"/>
              <w:start w:w="120" w:type="dxa"/>
              <w:bottom w:w="110" w:type="dxa"/>
              <w:end w:w="120" w:type="dxa"/>
            </w:tcMar>
            <w:vAlign w:val="center"/>
          </w:tcPr>
          <w:p>
            <w:pPr>
              <w:jc w:val="left"/>
            </w:pPr>
            <w:r>
              <w:rPr>
                <w:b/>
                <w:color w:val="FFFFFF"/>
                <w:sz w:val="15"/>
              </w:rPr>
              <w:t>Systeem</w:t>
            </w:r>
          </w:p>
        </w:tc>
        <w:tc>
          <w:tcPr>
            <w:tcW w:type="dxa" w:w="2530"/>
            <w:shd w:fill="1F4E79"/>
            <w:tcMar>
              <w:top w:w="110" w:type="dxa"/>
              <w:start w:w="120" w:type="dxa"/>
              <w:bottom w:w="110" w:type="dxa"/>
              <w:end w:w="120" w:type="dxa"/>
            </w:tcMar>
            <w:vAlign w:val="center"/>
          </w:tcPr>
          <w:p>
            <w:pPr>
              <w:jc w:val="left"/>
            </w:pPr>
            <w:r>
              <w:rPr>
                <w:b/>
                <w:color w:val="FFFFFF"/>
                <w:sz w:val="15"/>
              </w:rPr>
              <w:t>WerkOrderbeeld</w:t>
            </w:r>
          </w:p>
        </w:tc>
        <w:tc>
          <w:tcPr>
            <w:tcW w:type="dxa" w:w="3410"/>
            <w:shd w:fill="1F4E79"/>
            <w:tcMar>
              <w:top w:w="110" w:type="dxa"/>
              <w:start w:w="120" w:type="dxa"/>
              <w:bottom w:w="110" w:type="dxa"/>
              <w:end w:w="120" w:type="dxa"/>
            </w:tcMar>
            <w:vAlign w:val="center"/>
          </w:tcPr>
          <w:p>
            <w:pPr>
              <w:jc w:val="left"/>
            </w:pPr>
            <w:r>
              <w:rPr>
                <w:b/>
                <w:color w:val="FFFFFF"/>
                <w:sz w:val="15"/>
              </w:rPr>
              <w:t>Belangrijkste informatie</w:t>
            </w:r>
          </w:p>
        </w:tc>
        <w:tc>
          <w:tcPr>
            <w:tcW w:type="dxa" w:w="2270"/>
            <w:shd w:fill="1F4E79"/>
            <w:tcMar>
              <w:top w:w="110" w:type="dxa"/>
              <w:start w:w="120" w:type="dxa"/>
              <w:bottom w:w="110" w:type="dxa"/>
              <w:end w:w="120" w:type="dxa"/>
            </w:tcMar>
            <w:vAlign w:val="center"/>
          </w:tcPr>
          <w:p>
            <w:pPr>
              <w:jc w:val="left"/>
            </w:pPr>
            <w:r>
              <w:rPr>
                <w:b/>
                <w:color w:val="FFFFFF"/>
                <w:sz w:val="15"/>
              </w:rPr>
              <w:t>Rol in de informatie</w:t>
            </w:r>
          </w:p>
        </w:tc>
      </w:tr>
      <w:tr>
        <w:tc>
          <w:tcPr>
            <w:tcW w:type="dxa" w:w="1150"/>
            <w:tcMar>
              <w:top w:w="110" w:type="dxa"/>
              <w:start w:w="120" w:type="dxa"/>
              <w:bottom w:w="110" w:type="dxa"/>
              <w:end w:w="120" w:type="dxa"/>
            </w:tcMar>
            <w:vAlign w:val="center"/>
          </w:tcPr>
          <w:p>
            <w:pPr>
              <w:spacing w:after="0"/>
            </w:pPr>
            <w:r>
              <w:rPr>
                <w:sz w:val="15"/>
              </w:rPr>
              <w:t>Maximo</w:t>
            </w:r>
          </w:p>
        </w:tc>
        <w:tc>
          <w:tcPr>
            <w:tcW w:type="dxa" w:w="2530"/>
            <w:tcMar>
              <w:top w:w="110" w:type="dxa"/>
              <w:start w:w="120" w:type="dxa"/>
              <w:bottom w:w="110" w:type="dxa"/>
              <w:end w:w="120" w:type="dxa"/>
            </w:tcMar>
            <w:vAlign w:val="center"/>
          </w:tcPr>
          <w:p>
            <w:pPr>
              <w:spacing w:after="0"/>
            </w:pPr>
            <w:r>
              <w:rPr>
                <w:sz w:val="15"/>
              </w:rPr>
              <w:t>Brede administratieve WerkOrder en centrale referentie voor meerdere ketens</w:t>
            </w:r>
          </w:p>
        </w:tc>
        <w:tc>
          <w:tcPr>
            <w:tcW w:type="dxa" w:w="3410"/>
            <w:tcMar>
              <w:top w:w="110" w:type="dxa"/>
              <w:start w:w="120" w:type="dxa"/>
              <w:bottom w:w="110" w:type="dxa"/>
              <w:end w:w="120" w:type="dxa"/>
            </w:tcMar>
            <w:vAlign w:val="center"/>
          </w:tcPr>
          <w:p>
            <w:pPr>
              <w:spacing w:after="0"/>
            </w:pPr>
            <w:r>
              <w:rPr>
                <w:sz w:val="15"/>
              </w:rPr>
              <w:t>WONUM, omschrijving, status en statusdatum, gewenste en geplande data, duur, organisatie, site, locatie, werksoort, parent, project-/kostencontext en rollen</w:t>
            </w:r>
          </w:p>
        </w:tc>
        <w:tc>
          <w:tcPr>
            <w:tcW w:type="dxa" w:w="2270"/>
            <w:tcMar>
              <w:top w:w="110" w:type="dxa"/>
              <w:start w:w="120" w:type="dxa"/>
              <w:bottom w:w="110" w:type="dxa"/>
              <w:end w:w="120" w:type="dxa"/>
            </w:tcMar>
            <w:vAlign w:val="center"/>
          </w:tcPr>
          <w:p>
            <w:pPr>
              <w:spacing w:after="0"/>
            </w:pPr>
            <w:r>
              <w:rPr>
                <w:sz w:val="15"/>
              </w:rPr>
              <w:t>Lijkt bron voor kern en lifecycle; formeel ownership moet nog worden bevestigd</w:t>
            </w:r>
          </w:p>
        </w:tc>
      </w:tr>
      <w:tr>
        <w:tc>
          <w:tcPr>
            <w:tcW w:type="dxa" w:w="1150"/>
            <w:shd w:fill="EEF5FA"/>
            <w:tcMar>
              <w:top w:w="110" w:type="dxa"/>
              <w:start w:w="120" w:type="dxa"/>
              <w:bottom w:w="110" w:type="dxa"/>
              <w:end w:w="120" w:type="dxa"/>
            </w:tcMar>
            <w:vAlign w:val="center"/>
          </w:tcPr>
          <w:p>
            <w:pPr>
              <w:spacing w:after="0"/>
            </w:pPr>
            <w:r>
              <w:rPr>
                <w:sz w:val="15"/>
              </w:rPr>
              <w:t>Quintiq</w:t>
            </w:r>
          </w:p>
        </w:tc>
        <w:tc>
          <w:tcPr>
            <w:tcW w:type="dxa" w:w="2530"/>
            <w:shd w:fill="EEF5FA"/>
            <w:tcMar>
              <w:top w:w="110" w:type="dxa"/>
              <w:start w:w="120" w:type="dxa"/>
              <w:bottom w:w="110" w:type="dxa"/>
              <w:end w:w="120" w:type="dxa"/>
            </w:tcMar>
            <w:vAlign w:val="center"/>
          </w:tcPr>
          <w:p>
            <w:pPr>
              <w:spacing w:after="0"/>
            </w:pPr>
            <w:r>
              <w:rPr>
                <w:sz w:val="15"/>
              </w:rPr>
              <w:t>Te plannen werk plus capaciteitstaken en planningresultaat</w:t>
            </w:r>
          </w:p>
        </w:tc>
        <w:tc>
          <w:tcPr>
            <w:tcW w:type="dxa" w:w="3410"/>
            <w:shd w:fill="EEF5FA"/>
            <w:tcMar>
              <w:top w:w="110" w:type="dxa"/>
              <w:start w:w="120" w:type="dxa"/>
              <w:bottom w:w="110" w:type="dxa"/>
              <w:end w:w="120" w:type="dxa"/>
            </w:tcMar>
            <w:vAlign w:val="center"/>
          </w:tcPr>
          <w:p>
            <w:pPr>
              <w:spacing w:after="0"/>
            </w:pPr>
            <w:r>
              <w:rPr>
                <w:sz w:val="15"/>
              </w:rPr>
              <w:t>WerkOrderreferentie, gewenste data, locatie, werksoort en context; terugmelding van geplande start/einde en afgeleide planningswaarden</w:t>
            </w:r>
          </w:p>
        </w:tc>
        <w:tc>
          <w:tcPr>
            <w:tcW w:type="dxa" w:w="2270"/>
            <w:shd w:fill="EEF5FA"/>
            <w:tcMar>
              <w:top w:w="110" w:type="dxa"/>
              <w:start w:w="120" w:type="dxa"/>
              <w:bottom w:w="110" w:type="dxa"/>
              <w:end w:w="120" w:type="dxa"/>
            </w:tcMar>
            <w:vAlign w:val="center"/>
          </w:tcPr>
          <w:p>
            <w:pPr>
              <w:spacing w:after="0"/>
            </w:pPr>
            <w:r>
              <w:rPr>
                <w:sz w:val="15"/>
              </w:rPr>
              <w:t>Consument van planningsopdracht en kandidaat-auteur van planningresultaat</w:t>
            </w:r>
          </w:p>
        </w:tc>
      </w:tr>
      <w:tr>
        <w:tc>
          <w:tcPr>
            <w:tcW w:type="dxa" w:w="1150"/>
            <w:tcMar>
              <w:top w:w="110" w:type="dxa"/>
              <w:start w:w="120" w:type="dxa"/>
              <w:bottom w:w="110" w:type="dxa"/>
              <w:end w:w="120" w:type="dxa"/>
            </w:tcMar>
            <w:vAlign w:val="center"/>
          </w:tcPr>
          <w:p>
            <w:pPr>
              <w:spacing w:after="0"/>
            </w:pPr>
            <w:r>
              <w:rPr>
                <w:sz w:val="15"/>
              </w:rPr>
              <w:t>RHM</w:t>
            </w:r>
          </w:p>
        </w:tc>
        <w:tc>
          <w:tcPr>
            <w:tcW w:type="dxa" w:w="2530"/>
            <w:tcMar>
              <w:top w:w="110" w:type="dxa"/>
              <w:start w:w="120" w:type="dxa"/>
              <w:bottom w:w="110" w:type="dxa"/>
              <w:end w:w="120" w:type="dxa"/>
            </w:tcMar>
            <w:vAlign w:val="center"/>
          </w:tcPr>
          <w:p>
            <w:pPr>
              <w:spacing w:after="0"/>
            </w:pPr>
            <w:r>
              <w:rPr>
                <w:sz w:val="15"/>
              </w:rPr>
              <w:t>Compacte WerkOrder-kern als basis voor uitvoering</w:t>
            </w:r>
          </w:p>
        </w:tc>
        <w:tc>
          <w:tcPr>
            <w:tcW w:type="dxa" w:w="3410"/>
            <w:tcMar>
              <w:top w:w="110" w:type="dxa"/>
              <w:start w:w="120" w:type="dxa"/>
              <w:bottom w:w="110" w:type="dxa"/>
              <w:end w:w="120" w:type="dxa"/>
            </w:tcMar>
            <w:vAlign w:val="center"/>
          </w:tcPr>
          <w:p>
            <w:pPr>
              <w:spacing w:after="0"/>
            </w:pPr>
            <w:r>
              <w:rPr>
                <w:sz w:val="15"/>
              </w:rPr>
              <w:t>WorkOrderNr, OrgId, SiteId, Description, Status, StatusDate, Parent, ProjectNr en MonitoringCode</w:t>
            </w:r>
          </w:p>
        </w:tc>
        <w:tc>
          <w:tcPr>
            <w:tcW w:type="dxa" w:w="2270"/>
            <w:tcMar>
              <w:top w:w="110" w:type="dxa"/>
              <w:start w:w="120" w:type="dxa"/>
              <w:bottom w:w="110" w:type="dxa"/>
              <w:end w:w="120" w:type="dxa"/>
            </w:tcMar>
            <w:vAlign w:val="center"/>
          </w:tcPr>
          <w:p>
            <w:pPr>
              <w:spacing w:after="0"/>
            </w:pPr>
            <w:r>
              <w:rPr>
                <w:sz w:val="15"/>
              </w:rPr>
              <w:t>Tussenliggende proces-/uitvoeringscontext; niet automatisch eigenaar van de WerkOrder-kern</w:t>
            </w:r>
          </w:p>
        </w:tc>
      </w:tr>
      <w:tr>
        <w:tc>
          <w:tcPr>
            <w:tcW w:type="dxa" w:w="1150"/>
            <w:shd w:fill="EEF5FA"/>
            <w:tcMar>
              <w:top w:w="110" w:type="dxa"/>
              <w:start w:w="120" w:type="dxa"/>
              <w:bottom w:w="110" w:type="dxa"/>
              <w:end w:w="120" w:type="dxa"/>
            </w:tcMar>
            <w:vAlign w:val="center"/>
          </w:tcPr>
          <w:p>
            <w:pPr>
              <w:spacing w:after="0"/>
            </w:pPr>
            <w:r>
              <w:rPr>
                <w:sz w:val="15"/>
              </w:rPr>
              <w:t>Smartflow</w:t>
            </w:r>
          </w:p>
        </w:tc>
        <w:tc>
          <w:tcPr>
            <w:tcW w:type="dxa" w:w="2530"/>
            <w:shd w:fill="EEF5FA"/>
            <w:tcMar>
              <w:top w:w="110" w:type="dxa"/>
              <w:start w:w="120" w:type="dxa"/>
              <w:bottom w:w="110" w:type="dxa"/>
              <w:end w:w="120" w:type="dxa"/>
            </w:tcMar>
            <w:vAlign w:val="center"/>
          </w:tcPr>
          <w:p>
            <w:pPr>
              <w:spacing w:after="0"/>
            </w:pPr>
            <w:r>
              <w:rPr>
                <w:sz w:val="15"/>
              </w:rPr>
              <w:t>Uitvoerbare opdracht gekoppeld aan planning en resources</w:t>
            </w:r>
          </w:p>
        </w:tc>
        <w:tc>
          <w:tcPr>
            <w:tcW w:type="dxa" w:w="3410"/>
            <w:shd w:fill="EEF5FA"/>
            <w:tcMar>
              <w:top w:w="110" w:type="dxa"/>
              <w:start w:w="120" w:type="dxa"/>
              <w:bottom w:w="110" w:type="dxa"/>
              <w:end w:w="120" w:type="dxa"/>
            </w:tcMar>
            <w:vAlign w:val="center"/>
          </w:tcPr>
          <w:p>
            <w:pPr>
              <w:spacing w:after="0"/>
            </w:pPr>
            <w:r>
              <w:rPr>
                <w:sz w:val="15"/>
              </w:rPr>
              <w:t>WerkOrderNr, omschrijving, status, project-/monitoringcontext, planning, medewerkers, machines en kwalificaties</w:t>
            </w:r>
          </w:p>
        </w:tc>
        <w:tc>
          <w:tcPr>
            <w:tcW w:type="dxa" w:w="2270"/>
            <w:shd w:fill="EEF5FA"/>
            <w:tcMar>
              <w:top w:w="110" w:type="dxa"/>
              <w:start w:w="120" w:type="dxa"/>
              <w:bottom w:w="110" w:type="dxa"/>
              <w:end w:w="120" w:type="dxa"/>
            </w:tcMar>
            <w:vAlign w:val="center"/>
          </w:tcPr>
          <w:p>
            <w:pPr>
              <w:spacing w:after="0"/>
            </w:pPr>
            <w:r>
              <w:rPr>
                <w:sz w:val="15"/>
              </w:rPr>
              <w:t>Consument van uitvoeringsopdracht; kandidaat-auteur van realisatie en uitvoeringsresultaat</w:t>
            </w:r>
          </w:p>
        </w:tc>
      </w:tr>
      <w:tr>
        <w:tc>
          <w:tcPr>
            <w:tcW w:type="dxa" w:w="1150"/>
            <w:tcMar>
              <w:top w:w="110" w:type="dxa"/>
              <w:start w:w="120" w:type="dxa"/>
              <w:bottom w:w="110" w:type="dxa"/>
              <w:end w:w="120" w:type="dxa"/>
            </w:tcMar>
            <w:vAlign w:val="center"/>
          </w:tcPr>
          <w:p>
            <w:pPr>
              <w:spacing w:after="0"/>
            </w:pPr>
            <w:r>
              <w:rPr>
                <w:sz w:val="15"/>
              </w:rPr>
              <w:t>AssetCheck/VISE</w:t>
            </w:r>
          </w:p>
        </w:tc>
        <w:tc>
          <w:tcPr>
            <w:tcW w:type="dxa" w:w="2530"/>
            <w:tcMar>
              <w:top w:w="110" w:type="dxa"/>
              <w:start w:w="120" w:type="dxa"/>
              <w:bottom w:w="110" w:type="dxa"/>
              <w:end w:w="120" w:type="dxa"/>
            </w:tcMar>
            <w:vAlign w:val="center"/>
          </w:tcPr>
          <w:p>
            <w:pPr>
              <w:spacing w:after="0"/>
            </w:pPr>
            <w:r>
              <w:rPr>
                <w:sz w:val="15"/>
              </w:rPr>
              <w:t>Opvraagbare of uitvoerbare WerkOrder met locatie- en updatefuncties</w:t>
            </w:r>
          </w:p>
        </w:tc>
        <w:tc>
          <w:tcPr>
            <w:tcW w:type="dxa" w:w="3410"/>
            <w:tcMar>
              <w:top w:w="110" w:type="dxa"/>
              <w:start w:w="120" w:type="dxa"/>
              <w:bottom w:w="110" w:type="dxa"/>
              <w:end w:w="120" w:type="dxa"/>
            </w:tcMar>
            <w:vAlign w:val="center"/>
          </w:tcPr>
          <w:p>
            <w:pPr>
              <w:spacing w:after="0"/>
            </w:pPr>
            <w:r>
              <w:rPr>
                <w:sz w:val="15"/>
              </w:rPr>
              <w:t>WerkOrderreferentie, locatie, service request, opdracht- en uitvoeringsupdates; exacte actieve payload nog niet volledig bekend</w:t>
            </w:r>
          </w:p>
        </w:tc>
        <w:tc>
          <w:tcPr>
            <w:tcW w:type="dxa" w:w="2270"/>
            <w:tcMar>
              <w:top w:w="110" w:type="dxa"/>
              <w:start w:w="120" w:type="dxa"/>
              <w:bottom w:w="110" w:type="dxa"/>
              <w:end w:w="120" w:type="dxa"/>
            </w:tcMar>
            <w:vAlign w:val="center"/>
          </w:tcPr>
          <w:p>
            <w:pPr>
              <w:spacing w:after="0"/>
            </w:pPr>
            <w:r>
              <w:rPr>
                <w:sz w:val="15"/>
              </w:rPr>
              <w:t>Consument en producent van uitvoerings-/inspectie-updates; actieve scope moet worden bevestigd</w:t>
            </w:r>
          </w:p>
        </w:tc>
      </w:tr>
      <w:tr>
        <w:tc>
          <w:tcPr>
            <w:tcW w:type="dxa" w:w="1150"/>
            <w:shd w:fill="EEF5FA"/>
            <w:tcMar>
              <w:top w:w="110" w:type="dxa"/>
              <w:start w:w="120" w:type="dxa"/>
              <w:bottom w:w="110" w:type="dxa"/>
              <w:end w:w="120" w:type="dxa"/>
            </w:tcMar>
            <w:vAlign w:val="center"/>
          </w:tcPr>
          <w:p>
            <w:pPr>
              <w:spacing w:after="0"/>
            </w:pPr>
            <w:r>
              <w:rPr>
                <w:sz w:val="15"/>
              </w:rPr>
              <w:t>Infor/InforOSK</w:t>
            </w:r>
          </w:p>
        </w:tc>
        <w:tc>
          <w:tcPr>
            <w:tcW w:type="dxa" w:w="2530"/>
            <w:shd w:fill="EEF5FA"/>
            <w:tcMar>
              <w:top w:w="110" w:type="dxa"/>
              <w:start w:w="120" w:type="dxa"/>
              <w:bottom w:w="110" w:type="dxa"/>
              <w:end w:w="120" w:type="dxa"/>
            </w:tcMar>
            <w:vAlign w:val="center"/>
          </w:tcPr>
          <w:p>
            <w:pPr>
              <w:spacing w:after="0"/>
            </w:pPr>
            <w:r>
              <w:rPr>
                <w:sz w:val="15"/>
              </w:rPr>
              <w:t>Werkbon rond ontstaan/afsluiten en financiële terugmelding</w:t>
            </w:r>
          </w:p>
        </w:tc>
        <w:tc>
          <w:tcPr>
            <w:tcW w:type="dxa" w:w="3410"/>
            <w:shd w:fill="EEF5FA"/>
            <w:tcMar>
              <w:top w:w="110" w:type="dxa"/>
              <w:start w:w="120" w:type="dxa"/>
              <w:bottom w:w="110" w:type="dxa"/>
              <w:end w:w="120" w:type="dxa"/>
            </w:tcMar>
            <w:vAlign w:val="center"/>
          </w:tcPr>
          <w:p>
            <w:pPr>
              <w:spacing w:after="0"/>
            </w:pPr>
            <w:r>
              <w:rPr>
                <w:sz w:val="15"/>
              </w:rPr>
              <w:t>WONUM, omschrijving, BC, lokale organisatie-/activitycodes; terugmelding van normale uren en aanvullende kosten via WONUM/JOBNUM</w:t>
            </w:r>
          </w:p>
        </w:tc>
        <w:tc>
          <w:tcPr>
            <w:tcW w:type="dxa" w:w="2270"/>
            <w:shd w:fill="EEF5FA"/>
            <w:tcMar>
              <w:top w:w="110" w:type="dxa"/>
              <w:start w:w="120" w:type="dxa"/>
              <w:bottom w:w="110" w:type="dxa"/>
              <w:end w:w="120" w:type="dxa"/>
            </w:tcMar>
            <w:vAlign w:val="center"/>
          </w:tcPr>
          <w:p>
            <w:pPr>
              <w:spacing w:after="0"/>
            </w:pPr>
            <w:r>
              <w:rPr>
                <w:sz w:val="15"/>
              </w:rPr>
              <w:t>Consument van lifecycle; producent of doorgever van uren- en kostenactuals</w:t>
            </w:r>
          </w:p>
        </w:tc>
      </w:tr>
      <w:tr>
        <w:tc>
          <w:tcPr>
            <w:tcW w:type="dxa" w:w="1150"/>
            <w:tcMar>
              <w:top w:w="110" w:type="dxa"/>
              <w:start w:w="120" w:type="dxa"/>
              <w:bottom w:w="110" w:type="dxa"/>
              <w:end w:w="120" w:type="dxa"/>
            </w:tcMar>
            <w:vAlign w:val="center"/>
          </w:tcPr>
          <w:p>
            <w:pPr>
              <w:spacing w:after="0"/>
            </w:pPr>
            <w:r>
              <w:rPr>
                <w:sz w:val="15"/>
              </w:rPr>
              <w:t>Ortec/Vialis</w:t>
            </w:r>
          </w:p>
        </w:tc>
        <w:tc>
          <w:tcPr>
            <w:tcW w:type="dxa" w:w="2530"/>
            <w:tcMar>
              <w:top w:w="110" w:type="dxa"/>
              <w:start w:w="120" w:type="dxa"/>
              <w:bottom w:w="110" w:type="dxa"/>
              <w:end w:w="120" w:type="dxa"/>
            </w:tcMar>
            <w:vAlign w:val="center"/>
          </w:tcPr>
          <w:p>
            <w:pPr>
              <w:spacing w:after="0"/>
            </w:pPr>
            <w:r>
              <w:rPr>
                <w:sz w:val="15"/>
              </w:rPr>
              <w:t>WerkOrder als planningseenheid en werkbonupdate</w:t>
            </w:r>
          </w:p>
        </w:tc>
        <w:tc>
          <w:tcPr>
            <w:tcW w:type="dxa" w:w="3410"/>
            <w:tcMar>
              <w:top w:w="110" w:type="dxa"/>
              <w:start w:w="120" w:type="dxa"/>
              <w:bottom w:w="110" w:type="dxa"/>
              <w:end w:w="120" w:type="dxa"/>
            </w:tcMar>
            <w:vAlign w:val="center"/>
          </w:tcPr>
          <w:p>
            <w:pPr>
              <w:spacing w:after="0"/>
            </w:pPr>
            <w:r>
              <w:rPr>
                <w:sz w:val="15"/>
              </w:rPr>
              <w:t>Categorieën gepland direct, gepland indirect, gewijzigd en geannuleerd; details van het huidige actieve contract zijn niet volledig vastgesteld</w:t>
            </w:r>
          </w:p>
        </w:tc>
        <w:tc>
          <w:tcPr>
            <w:tcW w:type="dxa" w:w="2270"/>
            <w:tcMar>
              <w:top w:w="110" w:type="dxa"/>
              <w:start w:w="120" w:type="dxa"/>
              <w:bottom w:w="110" w:type="dxa"/>
              <w:end w:w="120" w:type="dxa"/>
            </w:tcMar>
            <w:vAlign w:val="center"/>
          </w:tcPr>
          <w:p>
            <w:pPr>
              <w:spacing w:after="0"/>
            </w:pPr>
            <w:r>
              <w:rPr>
                <w:sz w:val="15"/>
              </w:rPr>
              <w:t>Planningconsument en mogelijk producent van planning-state changes</w:t>
            </w:r>
          </w:p>
        </w:tc>
      </w:tr>
      <w:tr>
        <w:tc>
          <w:tcPr>
            <w:tcW w:type="dxa" w:w="1150"/>
            <w:shd w:fill="EEF5FA"/>
            <w:tcMar>
              <w:top w:w="110" w:type="dxa"/>
              <w:start w:w="120" w:type="dxa"/>
              <w:bottom w:w="110" w:type="dxa"/>
              <w:end w:w="120" w:type="dxa"/>
            </w:tcMar>
            <w:vAlign w:val="center"/>
          </w:tcPr>
          <w:p>
            <w:pPr>
              <w:spacing w:after="0"/>
            </w:pPr>
            <w:r>
              <w:rPr>
                <w:sz w:val="15"/>
              </w:rPr>
              <w:t>4PS</w:t>
            </w:r>
          </w:p>
        </w:tc>
        <w:tc>
          <w:tcPr>
            <w:tcW w:type="dxa" w:w="2530"/>
            <w:shd w:fill="EEF5FA"/>
            <w:tcMar>
              <w:top w:w="110" w:type="dxa"/>
              <w:start w:w="120" w:type="dxa"/>
              <w:bottom w:w="110" w:type="dxa"/>
              <w:end w:w="120" w:type="dxa"/>
            </w:tcMar>
            <w:vAlign w:val="center"/>
          </w:tcPr>
          <w:p>
            <w:pPr>
              <w:spacing w:after="0"/>
            </w:pPr>
            <w:r>
              <w:rPr>
                <w:sz w:val="15"/>
              </w:rPr>
              <w:t>WerkOrder gekoppeld aan project- en financiële administratie</w:t>
            </w:r>
          </w:p>
        </w:tc>
        <w:tc>
          <w:tcPr>
            <w:tcW w:type="dxa" w:w="3410"/>
            <w:shd w:fill="EEF5FA"/>
            <w:tcMar>
              <w:top w:w="110" w:type="dxa"/>
              <w:start w:w="120" w:type="dxa"/>
              <w:bottom w:w="110" w:type="dxa"/>
              <w:end w:w="120" w:type="dxa"/>
            </w:tcMar>
            <w:vAlign w:val="center"/>
          </w:tcPr>
          <w:p>
            <w:pPr>
              <w:spacing w:after="0"/>
            </w:pPr>
            <w:r>
              <w:rPr>
                <w:sz w:val="15"/>
              </w:rPr>
              <w:t>Aan bronzijde zijn kern, status, planning, locatie, project, WBS, contract, klant en kosten beschikbaar; het werkelijk benodigde doelprofiel is nog onbekend</w:t>
            </w:r>
          </w:p>
        </w:tc>
        <w:tc>
          <w:tcPr>
            <w:tcW w:type="dxa" w:w="2270"/>
            <w:shd w:fill="EEF5FA"/>
            <w:tcMar>
              <w:top w:w="110" w:type="dxa"/>
              <w:start w:w="120" w:type="dxa"/>
              <w:bottom w:w="110" w:type="dxa"/>
              <w:end w:w="120" w:type="dxa"/>
            </w:tcMar>
            <w:vAlign w:val="center"/>
          </w:tcPr>
          <w:p>
            <w:pPr>
              <w:spacing w:after="0"/>
            </w:pPr>
            <w:r>
              <w:rPr>
                <w:sz w:val="15"/>
              </w:rPr>
              <w:t>Waarschijnlijke consument van kern plus project-/financecontext</w:t>
            </w:r>
          </w:p>
        </w:tc>
      </w:tr>
      <w:tr>
        <w:tc>
          <w:tcPr>
            <w:tcW w:type="dxa" w:w="1150"/>
            <w:tcMar>
              <w:top w:w="110" w:type="dxa"/>
              <w:start w:w="120" w:type="dxa"/>
              <w:bottom w:w="110" w:type="dxa"/>
              <w:end w:w="120" w:type="dxa"/>
            </w:tcMar>
            <w:vAlign w:val="center"/>
          </w:tcPr>
          <w:p>
            <w:pPr>
              <w:spacing w:after="0"/>
            </w:pPr>
            <w:r>
              <w:rPr>
                <w:sz w:val="15"/>
              </w:rPr>
              <w:t>FlexTunnel</w:t>
            </w:r>
          </w:p>
        </w:tc>
        <w:tc>
          <w:tcPr>
            <w:tcW w:type="dxa" w:w="2530"/>
            <w:tcMar>
              <w:top w:w="110" w:type="dxa"/>
              <w:start w:w="120" w:type="dxa"/>
              <w:bottom w:w="110" w:type="dxa"/>
              <w:end w:w="120" w:type="dxa"/>
            </w:tcMar>
            <w:vAlign w:val="center"/>
          </w:tcPr>
          <w:p>
            <w:pPr>
              <w:spacing w:after="0"/>
            </w:pPr>
            <w:r>
              <w:rPr>
                <w:sz w:val="15"/>
              </w:rPr>
              <w:t>Service-/uitvoeringsorder verbonden met tunnelinspectie en schade</w:t>
            </w:r>
          </w:p>
        </w:tc>
        <w:tc>
          <w:tcPr>
            <w:tcW w:type="dxa" w:w="3410"/>
            <w:tcMar>
              <w:top w:w="110" w:type="dxa"/>
              <w:start w:w="120" w:type="dxa"/>
              <w:bottom w:w="110" w:type="dxa"/>
              <w:end w:w="120" w:type="dxa"/>
            </w:tcMar>
            <w:vAlign w:val="center"/>
          </w:tcPr>
          <w:p>
            <w:pPr>
              <w:spacing w:after="0"/>
            </w:pPr>
            <w:r>
              <w:rPr>
                <w:sz w:val="15"/>
              </w:rPr>
              <w:t>WerkOrderreferentie, status, plandata, resultaat, schadecode, equipment en medewerkers</w:t>
            </w:r>
          </w:p>
        </w:tc>
        <w:tc>
          <w:tcPr>
            <w:tcW w:type="dxa" w:w="2270"/>
            <w:tcMar>
              <w:top w:w="110" w:type="dxa"/>
              <w:start w:w="120" w:type="dxa"/>
              <w:bottom w:w="110" w:type="dxa"/>
              <w:end w:w="120" w:type="dxa"/>
            </w:tcMar>
            <w:vAlign w:val="center"/>
          </w:tcPr>
          <w:p>
            <w:pPr>
              <w:spacing w:after="0"/>
            </w:pPr>
            <w:r>
              <w:rPr>
                <w:sz w:val="15"/>
              </w:rPr>
              <w:t>Consument van WerkOrdercontext en kandidaat-producent van inspectie-/uitvoeringsresultaat</w:t>
            </w:r>
          </w:p>
        </w:tc>
      </w:tr>
    </w:tbl>
    <w:p>
      <w:pPr>
        <w:spacing w:after="20"/>
      </w:pPr>
    </w:p>
    <w:p>
      <w:pPr>
        <w:pStyle w:val="Heading2"/>
        <w:keepNext/>
      </w:pPr>
      <w:r>
        <w:t>4.2 Hoe verandert dezelfde WerkOrder door de keten?</w:t>
      </w:r>
    </w:p>
    <w:p>
      <w:pPr>
        <w:spacing w:after="140"/>
      </w:pPr>
      <w:r>
        <w:t>Dezelfde WerkOrder krijgt per processtap een ander informatieprofiel. De WerkOrder wordt dus niet simpelweg ongewijzigd doorgestuurd.</w:t>
      </w:r>
    </w:p>
    <w:tbl>
      <w:tblPr>
        <w:tblStyle w:val="TableGrid"/>
        <w:tblW w:type="dxa" w:w="9360"/>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1F4E79"/>
            <w:tcMar>
              <w:top w:w="110" w:type="dxa"/>
              <w:start w:w="120" w:type="dxa"/>
              <w:bottom w:w="110" w:type="dxa"/>
              <w:end w:w="120" w:type="dxa"/>
            </w:tcMar>
            <w:vAlign w:val="center"/>
          </w:tcPr>
          <w:p>
            <w:pPr>
              <w:jc w:val="left"/>
            </w:pPr>
            <w:r>
              <w:rPr>
                <w:b/>
                <w:color w:val="FFFFFF"/>
                <w:sz w:val="16"/>
              </w:rPr>
              <w:t>Processtap</w:t>
            </w:r>
          </w:p>
        </w:tc>
        <w:tc>
          <w:tcPr>
            <w:tcW w:type="dxa" w:w="3000"/>
            <w:shd w:fill="1F4E79"/>
            <w:tcMar>
              <w:top w:w="110" w:type="dxa"/>
              <w:start w:w="120" w:type="dxa"/>
              <w:bottom w:w="110" w:type="dxa"/>
              <w:end w:w="120" w:type="dxa"/>
            </w:tcMar>
            <w:vAlign w:val="center"/>
          </w:tcPr>
          <w:p>
            <w:pPr>
              <w:jc w:val="left"/>
            </w:pPr>
            <w:r>
              <w:rPr>
                <w:b/>
                <w:color w:val="FFFFFF"/>
                <w:sz w:val="16"/>
              </w:rPr>
              <w:t>Wat blijft gelijk?</w:t>
            </w:r>
          </w:p>
        </w:tc>
        <w:tc>
          <w:tcPr>
            <w:tcW w:type="dxa" w:w="4260"/>
            <w:shd w:fill="1F4E79"/>
            <w:tcMar>
              <w:top w:w="110" w:type="dxa"/>
              <w:start w:w="120" w:type="dxa"/>
              <w:bottom w:w="110" w:type="dxa"/>
              <w:end w:w="120" w:type="dxa"/>
            </w:tcMar>
            <w:vAlign w:val="center"/>
          </w:tcPr>
          <w:p>
            <w:pPr>
              <w:jc w:val="left"/>
            </w:pPr>
            <w:r>
              <w:rPr>
                <w:b/>
                <w:color w:val="FFFFFF"/>
                <w:sz w:val="16"/>
              </w:rPr>
              <w:t>Wat wordt toegevoegd of gewijzigd?</w:t>
            </w:r>
          </w:p>
        </w:tc>
      </w:tr>
      <w:tr>
        <w:tc>
          <w:tcPr>
            <w:tcW w:type="dxa" w:w="2100"/>
            <w:tcMar>
              <w:top w:w="110" w:type="dxa"/>
              <w:start w:w="120" w:type="dxa"/>
              <w:bottom w:w="110" w:type="dxa"/>
              <w:end w:w="120" w:type="dxa"/>
            </w:tcMar>
            <w:vAlign w:val="center"/>
          </w:tcPr>
          <w:p>
            <w:pPr>
              <w:spacing w:after="0"/>
            </w:pPr>
            <w:r>
              <w:rPr>
                <w:sz w:val="16"/>
              </w:rPr>
              <w:t>Registratie in Maximo</w:t>
            </w:r>
          </w:p>
        </w:tc>
        <w:tc>
          <w:tcPr>
            <w:tcW w:type="dxa" w:w="3000"/>
            <w:tcMar>
              <w:top w:w="110" w:type="dxa"/>
              <w:start w:w="120" w:type="dxa"/>
              <w:bottom w:w="110" w:type="dxa"/>
              <w:end w:w="120" w:type="dxa"/>
            </w:tcMar>
            <w:vAlign w:val="center"/>
          </w:tcPr>
          <w:p>
            <w:pPr>
              <w:spacing w:after="0"/>
            </w:pPr>
            <w:r>
              <w:rPr>
                <w:sz w:val="16"/>
              </w:rPr>
              <w:t>WerkOrdernummer als primaire businessreferentie</w:t>
            </w:r>
          </w:p>
        </w:tc>
        <w:tc>
          <w:tcPr>
            <w:tcW w:type="dxa" w:w="4260"/>
            <w:tcMar>
              <w:top w:w="110" w:type="dxa"/>
              <w:start w:w="120" w:type="dxa"/>
              <w:bottom w:w="110" w:type="dxa"/>
              <w:end w:w="120" w:type="dxa"/>
            </w:tcMar>
            <w:vAlign w:val="center"/>
          </w:tcPr>
          <w:p>
            <w:pPr>
              <w:spacing w:after="0"/>
            </w:pPr>
            <w:r>
              <w:rPr>
                <w:sz w:val="16"/>
              </w:rPr>
              <w:t>Kern, omschrijving, lifecycle, gewenste data, locatie, classificatie en administratieve context</w:t>
            </w:r>
          </w:p>
        </w:tc>
      </w:tr>
      <w:tr>
        <w:tc>
          <w:tcPr>
            <w:tcW w:type="dxa" w:w="2100"/>
            <w:shd w:fill="EEF5FA"/>
            <w:tcMar>
              <w:top w:w="110" w:type="dxa"/>
              <w:start w:w="120" w:type="dxa"/>
              <w:bottom w:w="110" w:type="dxa"/>
              <w:end w:w="120" w:type="dxa"/>
            </w:tcMar>
            <w:vAlign w:val="center"/>
          </w:tcPr>
          <w:p>
            <w:pPr>
              <w:spacing w:after="0"/>
            </w:pPr>
            <w:r>
              <w:rPr>
                <w:sz w:val="16"/>
              </w:rPr>
              <w:t>Aanbieding aan planning</w:t>
            </w:r>
          </w:p>
        </w:tc>
        <w:tc>
          <w:tcPr>
            <w:tcW w:type="dxa" w:w="3000"/>
            <w:shd w:fill="EEF5FA"/>
            <w:tcMar>
              <w:top w:w="110" w:type="dxa"/>
              <w:start w:w="120" w:type="dxa"/>
              <w:bottom w:w="110" w:type="dxa"/>
              <w:end w:w="120" w:type="dxa"/>
            </w:tcMar>
            <w:vAlign w:val="center"/>
          </w:tcPr>
          <w:p>
            <w:pPr>
              <w:spacing w:after="0"/>
            </w:pPr>
            <w:r>
              <w:rPr>
                <w:sz w:val="16"/>
              </w:rPr>
              <w:t>WerkOrdernummer, omschrijving en relevante context</w:t>
            </w:r>
          </w:p>
        </w:tc>
        <w:tc>
          <w:tcPr>
            <w:tcW w:type="dxa" w:w="4260"/>
            <w:shd w:fill="EEF5FA"/>
            <w:tcMar>
              <w:top w:w="110" w:type="dxa"/>
              <w:start w:w="120" w:type="dxa"/>
              <w:bottom w:w="110" w:type="dxa"/>
              <w:end w:w="120" w:type="dxa"/>
            </w:tcMar>
            <w:vAlign w:val="center"/>
          </w:tcPr>
          <w:p>
            <w:pPr>
              <w:spacing w:after="0"/>
            </w:pPr>
            <w:r>
              <w:rPr>
                <w:sz w:val="16"/>
              </w:rPr>
              <w:t>Alleen de velden die nodig zijn om werk te kunnen plannen</w:t>
            </w:r>
          </w:p>
        </w:tc>
      </w:tr>
      <w:tr>
        <w:tc>
          <w:tcPr>
            <w:tcW w:type="dxa" w:w="2100"/>
            <w:tcMar>
              <w:top w:w="110" w:type="dxa"/>
              <w:start w:w="120" w:type="dxa"/>
              <w:bottom w:w="110" w:type="dxa"/>
              <w:end w:w="120" w:type="dxa"/>
            </w:tcMar>
            <w:vAlign w:val="center"/>
          </w:tcPr>
          <w:p>
            <w:pPr>
              <w:spacing w:after="0"/>
            </w:pPr>
            <w:r>
              <w:rPr>
                <w:sz w:val="16"/>
              </w:rPr>
              <w:t>Planningresultaat</w:t>
            </w:r>
          </w:p>
        </w:tc>
        <w:tc>
          <w:tcPr>
            <w:tcW w:type="dxa" w:w="3000"/>
            <w:tcMar>
              <w:top w:w="110" w:type="dxa"/>
              <w:start w:w="120" w:type="dxa"/>
              <w:bottom w:w="110" w:type="dxa"/>
              <w:end w:w="120" w:type="dxa"/>
            </w:tcMar>
            <w:vAlign w:val="center"/>
          </w:tcPr>
          <w:p>
            <w:pPr>
              <w:spacing w:after="0"/>
            </w:pPr>
            <w:r>
              <w:rPr>
                <w:sz w:val="16"/>
              </w:rPr>
              <w:t>Dezelfde WerkOrderreferentie</w:t>
            </w:r>
          </w:p>
        </w:tc>
        <w:tc>
          <w:tcPr>
            <w:tcW w:type="dxa" w:w="4260"/>
            <w:tcMar>
              <w:top w:w="110" w:type="dxa"/>
              <w:start w:w="120" w:type="dxa"/>
              <w:bottom w:w="110" w:type="dxa"/>
              <w:end w:w="120" w:type="dxa"/>
            </w:tcMar>
            <w:vAlign w:val="center"/>
          </w:tcPr>
          <w:p>
            <w:pPr>
              <w:spacing w:after="0"/>
            </w:pPr>
            <w:r>
              <w:rPr>
                <w:sz w:val="16"/>
              </w:rPr>
              <w:t>Geplande start/einde, duur, capaciteitstoewijzing of andere planningsuitkomst</w:t>
            </w:r>
          </w:p>
        </w:tc>
      </w:tr>
      <w:tr>
        <w:tc>
          <w:tcPr>
            <w:tcW w:type="dxa" w:w="2100"/>
            <w:shd w:fill="EEF5FA"/>
            <w:tcMar>
              <w:top w:w="110" w:type="dxa"/>
              <w:start w:w="120" w:type="dxa"/>
              <w:bottom w:w="110" w:type="dxa"/>
              <w:end w:w="120" w:type="dxa"/>
            </w:tcMar>
            <w:vAlign w:val="center"/>
          </w:tcPr>
          <w:p>
            <w:pPr>
              <w:spacing w:after="0"/>
            </w:pPr>
            <w:r>
              <w:rPr>
                <w:sz w:val="16"/>
              </w:rPr>
              <w:t>Vrijgave voor uitvoering</w:t>
            </w:r>
          </w:p>
        </w:tc>
        <w:tc>
          <w:tcPr>
            <w:tcW w:type="dxa" w:w="3000"/>
            <w:shd w:fill="EEF5FA"/>
            <w:tcMar>
              <w:top w:w="110" w:type="dxa"/>
              <w:start w:w="120" w:type="dxa"/>
              <w:bottom w:w="110" w:type="dxa"/>
              <w:end w:w="120" w:type="dxa"/>
            </w:tcMar>
            <w:vAlign w:val="center"/>
          </w:tcPr>
          <w:p>
            <w:pPr>
              <w:spacing w:after="0"/>
            </w:pPr>
            <w:r>
              <w:rPr>
                <w:sz w:val="16"/>
              </w:rPr>
              <w:t>Identiteit, omschrijving, status en locatie</w:t>
            </w:r>
          </w:p>
        </w:tc>
        <w:tc>
          <w:tcPr>
            <w:tcW w:type="dxa" w:w="4260"/>
            <w:shd w:fill="EEF5FA"/>
            <w:tcMar>
              <w:top w:w="110" w:type="dxa"/>
              <w:start w:w="120" w:type="dxa"/>
              <w:bottom w:w="110" w:type="dxa"/>
              <w:end w:w="120" w:type="dxa"/>
            </w:tcMar>
            <w:vAlign w:val="center"/>
          </w:tcPr>
          <w:p>
            <w:pPr>
              <w:spacing w:after="0"/>
            </w:pPr>
            <w:r>
              <w:rPr>
                <w:sz w:val="16"/>
              </w:rPr>
              <w:t>Uitvoeringscontext, projectcontext, resources, kwalificaties en instructies</w:t>
            </w:r>
          </w:p>
        </w:tc>
      </w:tr>
      <w:tr>
        <w:tc>
          <w:tcPr>
            <w:tcW w:type="dxa" w:w="2100"/>
            <w:tcMar>
              <w:top w:w="110" w:type="dxa"/>
              <w:start w:w="120" w:type="dxa"/>
              <w:bottom w:w="110" w:type="dxa"/>
              <w:end w:w="120" w:type="dxa"/>
            </w:tcMar>
            <w:vAlign w:val="center"/>
          </w:tcPr>
          <w:p>
            <w:pPr>
              <w:spacing w:after="0"/>
            </w:pPr>
            <w:r>
              <w:rPr>
                <w:sz w:val="16"/>
              </w:rPr>
              <w:t>Realisatie</w:t>
            </w:r>
          </w:p>
        </w:tc>
        <w:tc>
          <w:tcPr>
            <w:tcW w:type="dxa" w:w="3000"/>
            <w:tcMar>
              <w:top w:w="110" w:type="dxa"/>
              <w:start w:w="120" w:type="dxa"/>
              <w:bottom w:w="110" w:type="dxa"/>
              <w:end w:w="120" w:type="dxa"/>
            </w:tcMar>
            <w:vAlign w:val="center"/>
          </w:tcPr>
          <w:p>
            <w:pPr>
              <w:spacing w:after="0"/>
            </w:pPr>
            <w:r>
              <w:rPr>
                <w:sz w:val="16"/>
              </w:rPr>
              <w:t>WerkOrderreferentie voor correlatie</w:t>
            </w:r>
          </w:p>
        </w:tc>
        <w:tc>
          <w:tcPr>
            <w:tcW w:type="dxa" w:w="4260"/>
            <w:tcMar>
              <w:top w:w="110" w:type="dxa"/>
              <w:start w:w="120" w:type="dxa"/>
              <w:bottom w:w="110" w:type="dxa"/>
              <w:end w:w="120" w:type="dxa"/>
            </w:tcMar>
            <w:vAlign w:val="center"/>
          </w:tcPr>
          <w:p>
            <w:pPr>
              <w:spacing w:after="0"/>
            </w:pPr>
            <w:r>
              <w:rPr>
                <w:sz w:val="16"/>
              </w:rPr>
              <w:t>Werkelijke data, resultaat, inzet, uren, schade of voortgang</w:t>
            </w:r>
          </w:p>
        </w:tc>
      </w:tr>
      <w:tr>
        <w:tc>
          <w:tcPr>
            <w:tcW w:type="dxa" w:w="2100"/>
            <w:shd w:fill="EEF5FA"/>
            <w:tcMar>
              <w:top w:w="110" w:type="dxa"/>
              <w:start w:w="120" w:type="dxa"/>
              <w:bottom w:w="110" w:type="dxa"/>
              <w:end w:w="120" w:type="dxa"/>
            </w:tcMar>
            <w:vAlign w:val="center"/>
          </w:tcPr>
          <w:p>
            <w:pPr>
              <w:spacing w:after="0"/>
            </w:pPr>
            <w:r>
              <w:rPr>
                <w:sz w:val="16"/>
              </w:rPr>
              <w:t>Financiële verwerking</w:t>
            </w:r>
          </w:p>
        </w:tc>
        <w:tc>
          <w:tcPr>
            <w:tcW w:type="dxa" w:w="3000"/>
            <w:shd w:fill="EEF5FA"/>
            <w:tcMar>
              <w:top w:w="110" w:type="dxa"/>
              <w:start w:w="120" w:type="dxa"/>
              <w:bottom w:w="110" w:type="dxa"/>
              <w:end w:w="120" w:type="dxa"/>
            </w:tcMar>
            <w:vAlign w:val="center"/>
          </w:tcPr>
          <w:p>
            <w:pPr>
              <w:spacing w:after="0"/>
            </w:pPr>
            <w:r>
              <w:rPr>
                <w:sz w:val="16"/>
              </w:rPr>
              <w:t>WerkOrder- of jobreferentie</w:t>
            </w:r>
          </w:p>
        </w:tc>
        <w:tc>
          <w:tcPr>
            <w:tcW w:type="dxa" w:w="4260"/>
            <w:shd w:fill="EEF5FA"/>
            <w:tcMar>
              <w:top w:w="110" w:type="dxa"/>
              <w:start w:w="120" w:type="dxa"/>
              <w:bottom w:w="110" w:type="dxa"/>
              <w:end w:w="120" w:type="dxa"/>
            </w:tcMar>
            <w:vAlign w:val="center"/>
          </w:tcPr>
          <w:p>
            <w:pPr>
              <w:spacing w:after="0"/>
            </w:pPr>
            <w:r>
              <w:rPr>
                <w:sz w:val="16"/>
              </w:rPr>
              <w:t>Kosten, uren, WBS-, contract-, klant- en projectcontext</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Gevolg voor VWIIM  </w:t>
            </w:r>
            <w:r>
              <w:t>Het common model moet de stabiele WerkOrder-kern definiëren en duidelijke relaties leggen naar planning, uitvoering, realisatie en financiën. Niet ieder lokaal veld hoort als attribuut in het centrale WerkOrderobject.</w:t>
            </w:r>
          </w:p>
        </w:tc>
      </w:tr>
    </w:tbl>
    <w:p>
      <w:pPr>
        <w:spacing w:after="20"/>
      </w:pPr>
    </w:p>
    <w:p>
      <w:pPr>
        <w:pStyle w:val="Heading1"/>
        <w:keepNext/>
      </w:pPr>
      <w:r>
        <w:t>5. Analyse per keten</w:t>
      </w:r>
    </w:p>
    <w:p>
      <w:pPr>
        <w:pStyle w:val="Heading2"/>
        <w:keepNext/>
      </w:pPr>
      <w:r>
        <w:t>5.1 Maximo en Quintiq: planning als afzonderlijke capability</w:t>
      </w:r>
    </w:p>
    <w:p>
      <w:pPr>
        <w:spacing w:after="140"/>
      </w:pPr>
      <w:r>
        <w:t>Maximo levert aan Quintiq een brede, planninggerichte WerkOrderdoorsnede. Naast nummer, omschrijving en status gaat het om gewenste begin- en einddata, locatie, werksoort, organisatiecontext, opmerkingen en verantwoordelijke rollen. Quintiq meldt vervolgens het planningresultaat terug, waaronder geplande start en einde en aanvullende planningsinformatie.</w:t>
      </w:r>
    </w:p>
    <w:p>
      <w:pPr>
        <w:spacing w:after="140"/>
      </w:pPr>
      <w:r>
        <w:t>De heen- en terugrichting hebben een verschillend doel en een verschillende auteur. Maximo biedt het te plannen werk aan; het planningsdomein bepaalt het planningresultaat. Selecties rond vrijgave, beschikbare capaciteit en fallbackdata moeten als expliciete domeinregels worden gevalideerd en mogen niet verborgen blijven in de integratielaag.</w:t>
      </w:r>
    </w:p>
    <w:p>
      <w:pPr>
        <w:spacing w:after="140"/>
      </w:pPr>
      <w:r>
        <w:t>Toekomstige richting: een gerichte planningsopdracht en een afzonderlijk planningresultaat, beide gebaseerd op het VWIIM en voorzien van een stabiele WerkOrderreferentie.</w:t>
      </w:r>
    </w:p>
    <w:p>
      <w:pPr>
        <w:pStyle w:val="Heading2"/>
        <w:keepNext/>
      </w:pPr>
      <w:r>
        <w:t>5.2 RHM en Smartflow: uitvoering en realisatie</w:t>
      </w:r>
    </w:p>
    <w:p>
      <w:pPr>
        <w:spacing w:after="140"/>
      </w:pPr>
      <w:r>
        <w:t>De informatie richting RHM bestaat uit een compacte WerkOrder-kern met nummer, organisatie, site, omschrijving, status, parentrelatie en project- of monitoringcontext. Richting Smartflow wordt dit aangevuld met informatie die nodig is om het werk uit te voeren, zoals planning, medewerkers, machines en kwalificaties. Vanuit het uitvoeringsproces komt realisatie terug.</w:t>
      </w:r>
    </w:p>
    <w:p>
      <w:pPr>
        <w:spacing w:after="140"/>
      </w:pPr>
      <w:r>
        <w:t>WerkOrder-kern, uitvoeringsopdracht, resourcecontext en realisatie zijn afzonderlijke verantwoordelijkheden. Technische synchronisatiemarkeringen horen niet in het toekomstige common model. Ook moet worden vastgesteld of een verwijdering werkelijk een technische delete is, of functioneel een annulering of intrekking betekent.</w:t>
      </w:r>
    </w:p>
    <w:p>
      <w:pPr>
        <w:spacing w:after="140"/>
      </w:pPr>
      <w:r>
        <w:t>Binnen de beschikbare uitvoeringshistorie is de Maximo-naar-RHM-keten in productie actief. Voor het Smartflow-deel is de continuïteit nog niet overtuigend aangetoond; de beschikbare acceptatiehistorie bevat veel mislukte uitvoeringen.</w:t>
      </w:r>
    </w:p>
    <w:p>
      <w:pPr>
        <w:pStyle w:val="Heading2"/>
        <w:keepNext/>
      </w:pPr>
      <w:r>
        <w:t>5.3 AssetCheck en VISE: opdracht, raadpleging en update</w:t>
      </w:r>
    </w:p>
    <w:p>
      <w:pPr>
        <w:spacing w:after="140"/>
      </w:pPr>
      <w:r>
        <w:t>Deze keten combineert meerdere behoeften: WerkOrders raadplegen, een opdracht aanbieden, locaties opvragen, service requests verwerken en uitvoeringsupdates terugsturen. De huidige varianten overlappen en bevatten ook kopieën en oudere onderdelen.</w:t>
      </w:r>
    </w:p>
    <w:p>
      <w:pPr>
        <w:spacing w:after="140"/>
      </w:pPr>
      <w:r>
        <w:t>De toekomstige inrichting moet deze behoeften uit elkaar halen. Een gerichte query-API kan passend zijn wanneer een gebruiker direct actuele gegevens nodig heeft. Statuswijzigingen en uitvoeringsupdates passen beter als betekenisvolle events. Voor migratie moet eerst worden bevestigd welke payload de actieve consument werkelijk nodig heeft.</w:t>
      </w:r>
    </w:p>
    <w:p>
      <w:pPr>
        <w:pStyle w:val="Heading2"/>
        <w:keepNext/>
      </w:pPr>
      <w:r>
        <w:t>5.4 Infor en InforOSK: lifecycle en financiële feedback</w:t>
      </w:r>
    </w:p>
    <w:p>
      <w:pPr>
        <w:spacing w:after="140"/>
      </w:pPr>
      <w:r>
        <w:t>Richting Infor worden nieuwe en afgesloten WerkOrders onderscheiden. In de terugrichting worden uren en aanvullende kosten aan de WerkOrder gekoppeld. Daarmee combineert de huidige keten twee verschillende informatieproducten: lifecycle en financiële realisatie.</w:t>
      </w:r>
    </w:p>
    <w:p>
      <w:pPr>
        <w:spacing w:after="140"/>
      </w:pPr>
      <w:r>
        <w:t>Vaste organisatie-, locatie- en activitycodes kunnen een lokale doelvertaling of een echte domeinregel zijn. Lokale codes moeten in de adapter blijven, tenzij de business bevestigt dat zij organisatiebrede betekenis hebben.</w:t>
      </w:r>
    </w:p>
    <w:p>
      <w:pPr>
        <w:pStyle w:val="Heading2"/>
        <w:keepNext/>
      </w:pPr>
      <w:r>
        <w:t>5.5 Ortec en Vialis: meerdere vormen van planningswijziging</w:t>
      </w:r>
    </w:p>
    <w:p>
      <w:pPr>
        <w:spacing w:after="140"/>
      </w:pPr>
      <w:r>
        <w:t>De huidige inrichting onderscheidt geplande directe en indirecte WerkOrders, gewijzigde orders, annuleringen en werkbonupdates. Deze categorieën vormen een bruikbaar vertrekpunt, maar hoeven niet allemaal een afzonderlijk toekomstig event te worden. Direct of indirect kan bijvoorbeeld een attribuut zijn van dezelfde planninggebeurtenis.</w:t>
      </w:r>
    </w:p>
    <w:p>
      <w:pPr>
        <w:spacing w:after="140"/>
      </w:pPr>
      <w:r>
        <w:t>De bestaande varianten moeten worden geconsolideerd rond een klein aantal betekenisvolle state changes. Consumentspecifieke SOAP-, file- of JMS-formaten horen thuis in adapters en niet in het common contract.</w:t>
      </w:r>
    </w:p>
    <w:p>
      <w:pPr>
        <w:pStyle w:val="Heading2"/>
        <w:keepNext/>
      </w:pPr>
      <w:r>
        <w:t>5.6 4PS: WerkOrder en project-financiële context</w:t>
      </w:r>
    </w:p>
    <w:p>
      <w:pPr>
        <w:spacing w:after="140"/>
      </w:pPr>
      <w:r>
        <w:t>De bronstructuur bevat een brede combinatie van WerkOrder-kern, status, planning, locatie, project, WBS, contract, klant en kosteninformatie. Dat betekent niet automatisch dat 4PS al deze gegevens nodig heeft of ontvangt.</w:t>
      </w:r>
    </w:p>
    <w:p>
      <w:pPr>
        <w:spacing w:after="140"/>
      </w:pPr>
      <w:r>
        <w:t>Voor het herontwerp moet eerst de minimale consumentenbehoefte worden vastgesteld. WerkOrder-kern en lifecycle moeten worden gescheiden van project- en financiële context. Een volledige Maximo-structuur publiceren als generiek event zou onnodige koppeling en datavolume creëren.</w:t>
      </w:r>
    </w:p>
    <w:p>
      <w:pPr>
        <w:pStyle w:val="Heading2"/>
        <w:keepNext/>
      </w:pPr>
      <w:r>
        <w:t>5.7 FlexTunnel en realisatieketens</w:t>
      </w:r>
    </w:p>
    <w:p>
      <w:pPr>
        <w:spacing w:after="140"/>
      </w:pPr>
      <w:r>
        <w:t>FlexTunnel en aangrenzende uitvoeringsketens combineren een WerkOrderreferentie met plandata, resultaat, schade, equipment, medewerkers en uren. Een deel van deze informatie beschrijft niet de WerkOrder zelf, maar inspectie, schade, resource assignment of realisatie.</w:t>
      </w:r>
    </w:p>
    <w:p>
      <w:pPr>
        <w:spacing w:after="140"/>
      </w:pPr>
      <w:r>
        <w:t>Deze onderwerpen moeten waar passend als zelfstandige businessobjecten worden gemodelleerd. De WerkOrder vormt de verbindende context via business key en correlation ID.</w:t>
      </w:r>
    </w:p>
    <w:p>
      <w:pPr>
        <w:pStyle w:val="Heading1"/>
        <w:keepNext/>
      </w:pPr>
      <w:r>
        <w:t>6. Businesslogica en technische erfenis</w:t>
      </w:r>
    </w:p>
    <w:p>
      <w:pPr>
        <w:spacing w:after="140"/>
      </w:pPr>
      <w:r>
        <w:t>De huidige integraties bevatten zowel functionele beslissingen als technische synchronisatielogica. Dat onderscheid is belangrijk: functionele regels moeten eigenaarschap, uitleg en tests krijgen; technische mechanismen moeten bij de migratie worden vervangen door standaard platformcapaciteiten.</w:t>
      </w:r>
    </w:p>
    <w:tbl>
      <w:tblPr>
        <w:tblStyle w:val="TableGrid"/>
        <w:tblW w:type="dxa" w:w="9360"/>
        <w:tblLayout w:type="fixed"/>
        <w:tblLook w:firstColumn="1" w:firstRow="1" w:lastColumn="0" w:lastRow="0" w:noHBand="0" w:noVBand="1" w:val="04A0"/>
        <w:tblInd w:w="120" w:type="dxa"/>
      </w:tblPr>
      <w:tblGrid>
        <w:gridCol w:w="3000"/>
        <w:gridCol w:w="2520"/>
        <w:gridCol w:w="3840"/>
      </w:tblGrid>
      <w:tr>
        <w:trPr>
          <w:tblHeader w:val="true"/>
        </w:trPr>
        <w:tc>
          <w:tcPr>
            <w:tcW w:type="dxa" w:w="3000"/>
            <w:shd w:fill="1F4E79"/>
            <w:tcMar>
              <w:top w:w="110" w:type="dxa"/>
              <w:start w:w="120" w:type="dxa"/>
              <w:bottom w:w="110" w:type="dxa"/>
              <w:end w:w="120" w:type="dxa"/>
            </w:tcMar>
            <w:vAlign w:val="center"/>
          </w:tcPr>
          <w:p>
            <w:pPr>
              <w:jc w:val="left"/>
            </w:pPr>
            <w:r>
              <w:rPr>
                <w:b/>
                <w:color w:val="FFFFFF"/>
                <w:sz w:val="16"/>
              </w:rPr>
              <w:t>Huidig patroon</w:t>
            </w:r>
          </w:p>
        </w:tc>
        <w:tc>
          <w:tcPr>
            <w:tcW w:type="dxa" w:w="2520"/>
            <w:shd w:fill="1F4E79"/>
            <w:tcMar>
              <w:top w:w="110" w:type="dxa"/>
              <w:start w:w="120" w:type="dxa"/>
              <w:bottom w:w="110" w:type="dxa"/>
              <w:end w:w="120" w:type="dxa"/>
            </w:tcMar>
            <w:vAlign w:val="center"/>
          </w:tcPr>
          <w:p>
            <w:pPr>
              <w:jc w:val="left"/>
            </w:pPr>
            <w:r>
              <w:rPr>
                <w:b/>
                <w:color w:val="FFFFFF"/>
                <w:sz w:val="16"/>
              </w:rPr>
              <w:t>Duiding</w:t>
            </w:r>
          </w:p>
        </w:tc>
        <w:tc>
          <w:tcPr>
            <w:tcW w:type="dxa" w:w="3840"/>
            <w:shd w:fill="1F4E79"/>
            <w:tcMar>
              <w:top w:w="110" w:type="dxa"/>
              <w:start w:w="120" w:type="dxa"/>
              <w:bottom w:w="110" w:type="dxa"/>
              <w:end w:w="120" w:type="dxa"/>
            </w:tcMar>
            <w:vAlign w:val="center"/>
          </w:tcPr>
          <w:p>
            <w:pPr>
              <w:jc w:val="left"/>
            </w:pPr>
            <w:r>
              <w:rPr>
                <w:b/>
                <w:color w:val="FFFFFF"/>
                <w:sz w:val="16"/>
              </w:rPr>
              <w:t>Behandeling in herontwerp</w:t>
            </w:r>
          </w:p>
        </w:tc>
      </w:tr>
      <w:tr>
        <w:tc>
          <w:tcPr>
            <w:tcW w:type="dxa" w:w="3000"/>
            <w:tcMar>
              <w:top w:w="110" w:type="dxa"/>
              <w:start w:w="120" w:type="dxa"/>
              <w:bottom w:w="110" w:type="dxa"/>
              <w:end w:w="120" w:type="dxa"/>
            </w:tcMar>
            <w:vAlign w:val="center"/>
          </w:tcPr>
          <w:p>
            <w:pPr>
              <w:spacing w:after="0"/>
            </w:pPr>
            <w:r>
              <w:rPr>
                <w:sz w:val="16"/>
              </w:rPr>
              <w:t>Selectie op status, vrijgegeven capaciteit en delete-indicatie</w:t>
            </w:r>
          </w:p>
        </w:tc>
        <w:tc>
          <w:tcPr>
            <w:tcW w:type="dxa" w:w="2520"/>
            <w:tcMar>
              <w:top w:w="110" w:type="dxa"/>
              <w:start w:w="120" w:type="dxa"/>
              <w:bottom w:w="110" w:type="dxa"/>
              <w:end w:w="120" w:type="dxa"/>
            </w:tcMar>
            <w:vAlign w:val="center"/>
          </w:tcPr>
          <w:p>
            <w:pPr>
              <w:spacing w:after="0"/>
            </w:pPr>
            <w:r>
              <w:rPr>
                <w:sz w:val="16"/>
              </w:rPr>
              <w:t>Waarschijnlijk functionele selectie</w:t>
            </w:r>
          </w:p>
        </w:tc>
        <w:tc>
          <w:tcPr>
            <w:tcW w:type="dxa" w:w="3840"/>
            <w:tcMar>
              <w:top w:w="110" w:type="dxa"/>
              <w:start w:w="120" w:type="dxa"/>
              <w:bottom w:w="110" w:type="dxa"/>
              <w:end w:w="120" w:type="dxa"/>
            </w:tcMar>
            <w:vAlign w:val="center"/>
          </w:tcPr>
          <w:p>
            <w:pPr>
              <w:spacing w:after="0"/>
            </w:pPr>
            <w:r>
              <w:rPr>
                <w:sz w:val="16"/>
              </w:rPr>
              <w:t>Door business owner bevestigen en als domeinregel beheren</w:t>
            </w:r>
          </w:p>
        </w:tc>
      </w:tr>
      <w:tr>
        <w:tc>
          <w:tcPr>
            <w:tcW w:type="dxa" w:w="3000"/>
            <w:shd w:fill="EEF5FA"/>
            <w:tcMar>
              <w:top w:w="110" w:type="dxa"/>
              <w:start w:w="120" w:type="dxa"/>
              <w:bottom w:w="110" w:type="dxa"/>
              <w:end w:w="120" w:type="dxa"/>
            </w:tcMar>
            <w:vAlign w:val="center"/>
          </w:tcPr>
          <w:p>
            <w:pPr>
              <w:spacing w:after="0"/>
            </w:pPr>
            <w:r>
              <w:rPr>
                <w:sz w:val="16"/>
              </w:rPr>
              <w:t>Keuze van eerste/laatste planningstaak en fallbackdata</w:t>
            </w:r>
          </w:p>
        </w:tc>
        <w:tc>
          <w:tcPr>
            <w:tcW w:type="dxa" w:w="2520"/>
            <w:shd w:fill="EEF5FA"/>
            <w:tcMar>
              <w:top w:w="110" w:type="dxa"/>
              <w:start w:w="120" w:type="dxa"/>
              <w:bottom w:w="110" w:type="dxa"/>
              <w:end w:w="120" w:type="dxa"/>
            </w:tcMar>
            <w:vAlign w:val="center"/>
          </w:tcPr>
          <w:p>
            <w:pPr>
              <w:spacing w:after="0"/>
            </w:pPr>
            <w:r>
              <w:rPr>
                <w:sz w:val="16"/>
              </w:rPr>
              <w:t>Functionele regel of historische workaround</w:t>
            </w:r>
          </w:p>
        </w:tc>
        <w:tc>
          <w:tcPr>
            <w:tcW w:type="dxa" w:w="3840"/>
            <w:shd w:fill="EEF5FA"/>
            <w:tcMar>
              <w:top w:w="110" w:type="dxa"/>
              <w:start w:w="120" w:type="dxa"/>
              <w:bottom w:w="110" w:type="dxa"/>
              <w:end w:w="120" w:type="dxa"/>
            </w:tcMar>
            <w:vAlign w:val="center"/>
          </w:tcPr>
          <w:p>
            <w:pPr>
              <w:spacing w:after="0"/>
            </w:pPr>
            <w:r>
              <w:rPr>
                <w:sz w:val="16"/>
              </w:rPr>
              <w:t>Betekenis expliciet maken en uitzonderingen testen</w:t>
            </w:r>
          </w:p>
        </w:tc>
      </w:tr>
      <w:tr>
        <w:tc>
          <w:tcPr>
            <w:tcW w:type="dxa" w:w="3000"/>
            <w:tcMar>
              <w:top w:w="110" w:type="dxa"/>
              <w:start w:w="120" w:type="dxa"/>
              <w:bottom w:w="110" w:type="dxa"/>
              <w:end w:w="120" w:type="dxa"/>
            </w:tcMar>
            <w:vAlign w:val="center"/>
          </w:tcPr>
          <w:p>
            <w:pPr>
              <w:spacing w:after="0"/>
            </w:pPr>
            <w:r>
              <w:rPr>
                <w:sz w:val="16"/>
              </w:rPr>
              <w:t>Nieuw, gewijzigd, gepland, geannuleerd en afgesloten</w:t>
            </w:r>
          </w:p>
        </w:tc>
        <w:tc>
          <w:tcPr>
            <w:tcW w:type="dxa" w:w="2520"/>
            <w:tcMar>
              <w:top w:w="110" w:type="dxa"/>
              <w:start w:w="120" w:type="dxa"/>
              <w:bottom w:w="110" w:type="dxa"/>
              <w:end w:w="120" w:type="dxa"/>
            </w:tcMar>
            <w:vAlign w:val="center"/>
          </w:tcPr>
          <w:p>
            <w:pPr>
              <w:spacing w:after="0"/>
            </w:pPr>
            <w:r>
              <w:rPr>
                <w:sz w:val="16"/>
              </w:rPr>
              <w:t>Lifecycle-semantiek</w:t>
            </w:r>
          </w:p>
        </w:tc>
        <w:tc>
          <w:tcPr>
            <w:tcW w:type="dxa" w:w="3840"/>
            <w:tcMar>
              <w:top w:w="110" w:type="dxa"/>
              <w:start w:w="120" w:type="dxa"/>
              <w:bottom w:w="110" w:type="dxa"/>
              <w:end w:w="120" w:type="dxa"/>
            </w:tcMar>
            <w:vAlign w:val="center"/>
          </w:tcPr>
          <w:p>
            <w:pPr>
              <w:spacing w:after="0"/>
            </w:pPr>
            <w:r>
              <w:rPr>
                <w:sz w:val="16"/>
              </w:rPr>
              <w:t>Uniforme state changes en definities vastleggen</w:t>
            </w:r>
          </w:p>
        </w:tc>
      </w:tr>
      <w:tr>
        <w:tc>
          <w:tcPr>
            <w:tcW w:type="dxa" w:w="3000"/>
            <w:shd w:fill="EEF5FA"/>
            <w:tcMar>
              <w:top w:w="110" w:type="dxa"/>
              <w:start w:w="120" w:type="dxa"/>
              <w:bottom w:w="110" w:type="dxa"/>
              <w:end w:w="120" w:type="dxa"/>
            </w:tcMar>
            <w:vAlign w:val="center"/>
          </w:tcPr>
          <w:p>
            <w:pPr>
              <w:spacing w:after="0"/>
            </w:pPr>
            <w:r>
              <w:rPr>
                <w:sz w:val="16"/>
              </w:rPr>
              <w:t>Last-run timestamps, processed flags en procestabellen</w:t>
            </w:r>
          </w:p>
        </w:tc>
        <w:tc>
          <w:tcPr>
            <w:tcW w:type="dxa" w:w="2520"/>
            <w:shd w:fill="EEF5FA"/>
            <w:tcMar>
              <w:top w:w="110" w:type="dxa"/>
              <w:start w:w="120" w:type="dxa"/>
              <w:bottom w:w="110" w:type="dxa"/>
              <w:end w:w="120" w:type="dxa"/>
            </w:tcMar>
            <w:vAlign w:val="center"/>
          </w:tcPr>
          <w:p>
            <w:pPr>
              <w:spacing w:after="0"/>
            </w:pPr>
            <w:r>
              <w:rPr>
                <w:sz w:val="16"/>
              </w:rPr>
              <w:t>Technische synchronisatiestate</w:t>
            </w:r>
          </w:p>
        </w:tc>
        <w:tc>
          <w:tcPr>
            <w:tcW w:type="dxa" w:w="3840"/>
            <w:shd w:fill="EEF5FA"/>
            <w:tcMar>
              <w:top w:w="110" w:type="dxa"/>
              <w:start w:w="120" w:type="dxa"/>
              <w:bottom w:w="110" w:type="dxa"/>
              <w:end w:w="120" w:type="dxa"/>
            </w:tcMar>
            <w:vAlign w:val="center"/>
          </w:tcPr>
          <w:p>
            <w:pPr>
              <w:spacing w:after="0"/>
            </w:pPr>
            <w:r>
              <w:rPr>
                <w:sz w:val="16"/>
              </w:rPr>
              <w:t>Vervangen door checkpoints, idempotentie en beheerde eventverwerking</w:t>
            </w:r>
          </w:p>
        </w:tc>
      </w:tr>
      <w:tr>
        <w:tc>
          <w:tcPr>
            <w:tcW w:type="dxa" w:w="3000"/>
            <w:tcMar>
              <w:top w:w="110" w:type="dxa"/>
              <w:start w:w="120" w:type="dxa"/>
              <w:bottom w:w="110" w:type="dxa"/>
              <w:end w:w="120" w:type="dxa"/>
            </w:tcMar>
            <w:vAlign w:val="center"/>
          </w:tcPr>
          <w:p>
            <w:pPr>
              <w:spacing w:after="0"/>
            </w:pPr>
            <w:r>
              <w:rPr>
                <w:sz w:val="16"/>
              </w:rPr>
              <w:t>Bestandsmappen voor input, processed en failed</w:t>
            </w:r>
          </w:p>
        </w:tc>
        <w:tc>
          <w:tcPr>
            <w:tcW w:type="dxa" w:w="2520"/>
            <w:tcMar>
              <w:top w:w="110" w:type="dxa"/>
              <w:start w:w="120" w:type="dxa"/>
              <w:bottom w:w="110" w:type="dxa"/>
              <w:end w:w="120" w:type="dxa"/>
            </w:tcMar>
            <w:vAlign w:val="center"/>
          </w:tcPr>
          <w:p>
            <w:pPr>
              <w:spacing w:after="0"/>
            </w:pPr>
            <w:r>
              <w:rPr>
                <w:sz w:val="16"/>
              </w:rPr>
              <w:t>Historische buffering en retry</w:t>
            </w:r>
          </w:p>
        </w:tc>
        <w:tc>
          <w:tcPr>
            <w:tcW w:type="dxa" w:w="3840"/>
            <w:tcMar>
              <w:top w:w="110" w:type="dxa"/>
              <w:start w:w="120" w:type="dxa"/>
              <w:bottom w:w="110" w:type="dxa"/>
              <w:end w:w="120" w:type="dxa"/>
            </w:tcMar>
            <w:vAlign w:val="center"/>
          </w:tcPr>
          <w:p>
            <w:pPr>
              <w:spacing w:after="0"/>
            </w:pPr>
            <w:r>
              <w:rPr>
                <w:sz w:val="16"/>
              </w:rPr>
              <w:t>Vervangen door beheerde messaging, DLQ en replay</w:t>
            </w:r>
          </w:p>
        </w:tc>
      </w:tr>
      <w:tr>
        <w:tc>
          <w:tcPr>
            <w:tcW w:type="dxa" w:w="3000"/>
            <w:shd w:fill="EEF5FA"/>
            <w:tcMar>
              <w:top w:w="110" w:type="dxa"/>
              <w:start w:w="120" w:type="dxa"/>
              <w:bottom w:w="110" w:type="dxa"/>
              <w:end w:w="120" w:type="dxa"/>
            </w:tcMar>
            <w:vAlign w:val="center"/>
          </w:tcPr>
          <w:p>
            <w:pPr>
              <w:spacing w:after="0"/>
            </w:pPr>
            <w:r>
              <w:rPr>
                <w:sz w:val="16"/>
              </w:rPr>
              <w:t>Vaste lokale codes</w:t>
            </w:r>
          </w:p>
        </w:tc>
        <w:tc>
          <w:tcPr>
            <w:tcW w:type="dxa" w:w="2520"/>
            <w:shd w:fill="EEF5FA"/>
            <w:tcMar>
              <w:top w:w="110" w:type="dxa"/>
              <w:start w:w="120" w:type="dxa"/>
              <w:bottom w:w="110" w:type="dxa"/>
              <w:end w:w="120" w:type="dxa"/>
            </w:tcMar>
            <w:vAlign w:val="center"/>
          </w:tcPr>
          <w:p>
            <w:pPr>
              <w:spacing w:after="0"/>
            </w:pPr>
            <w:r>
              <w:rPr>
                <w:sz w:val="16"/>
              </w:rPr>
              <w:t>Doelvertaling of domeinregel</w:t>
            </w:r>
          </w:p>
        </w:tc>
        <w:tc>
          <w:tcPr>
            <w:tcW w:type="dxa" w:w="3840"/>
            <w:shd w:fill="EEF5FA"/>
            <w:tcMar>
              <w:top w:w="110" w:type="dxa"/>
              <w:start w:w="120" w:type="dxa"/>
              <w:bottom w:w="110" w:type="dxa"/>
              <w:end w:w="120" w:type="dxa"/>
            </w:tcMar>
            <w:vAlign w:val="center"/>
          </w:tcPr>
          <w:p>
            <w:pPr>
              <w:spacing w:after="0"/>
            </w:pPr>
            <w:r>
              <w:rPr>
                <w:sz w:val="16"/>
              </w:rPr>
              <w:t>Betekenis en eigenaar valideren; niet zonder reden opnemen in VWIIM</w:t>
            </w:r>
          </w:p>
        </w:tc>
      </w:tr>
      <w:tr>
        <w:tc>
          <w:tcPr>
            <w:tcW w:type="dxa" w:w="3000"/>
            <w:tcMar>
              <w:top w:w="110" w:type="dxa"/>
              <w:start w:w="120" w:type="dxa"/>
              <w:bottom w:w="110" w:type="dxa"/>
              <w:end w:w="120" w:type="dxa"/>
            </w:tcMar>
            <w:vAlign w:val="center"/>
          </w:tcPr>
          <w:p>
            <w:pPr>
              <w:spacing w:after="0"/>
            </w:pPr>
            <w:r>
              <w:rPr>
                <w:sz w:val="16"/>
              </w:rPr>
              <w:t>XML/JSON/SOAP- en datumconversies</w:t>
            </w:r>
          </w:p>
        </w:tc>
        <w:tc>
          <w:tcPr>
            <w:tcW w:type="dxa" w:w="2520"/>
            <w:tcMar>
              <w:top w:w="110" w:type="dxa"/>
              <w:start w:w="120" w:type="dxa"/>
              <w:bottom w:w="110" w:type="dxa"/>
              <w:end w:w="120" w:type="dxa"/>
            </w:tcMar>
            <w:vAlign w:val="center"/>
          </w:tcPr>
          <w:p>
            <w:pPr>
              <w:spacing w:after="0"/>
            </w:pPr>
            <w:r>
              <w:rPr>
                <w:sz w:val="16"/>
              </w:rPr>
              <w:t>Technische transformatie</w:t>
            </w:r>
          </w:p>
        </w:tc>
        <w:tc>
          <w:tcPr>
            <w:tcW w:type="dxa" w:w="3840"/>
            <w:tcMar>
              <w:top w:w="110" w:type="dxa"/>
              <w:start w:w="120" w:type="dxa"/>
              <w:bottom w:w="110" w:type="dxa"/>
              <w:end w:w="120" w:type="dxa"/>
            </w:tcMar>
            <w:vAlign w:val="center"/>
          </w:tcPr>
          <w:p>
            <w:pPr>
              <w:spacing w:after="0"/>
            </w:pPr>
            <w:r>
              <w:rPr>
                <w:sz w:val="16"/>
              </w:rPr>
              <w:t>In bron- en consumeradapters houden</w:t>
            </w:r>
          </w:p>
        </w:tc>
      </w:tr>
      <w:tr>
        <w:tc>
          <w:tcPr>
            <w:tcW w:type="dxa" w:w="3000"/>
            <w:shd w:fill="EEF5FA"/>
            <w:tcMar>
              <w:top w:w="110" w:type="dxa"/>
              <w:start w:w="120" w:type="dxa"/>
              <w:bottom w:w="110" w:type="dxa"/>
              <w:end w:w="120" w:type="dxa"/>
            </w:tcMar>
            <w:vAlign w:val="center"/>
          </w:tcPr>
          <w:p>
            <w:pPr>
              <w:spacing w:after="0"/>
            </w:pPr>
            <w:r>
              <w:rPr>
                <w:sz w:val="16"/>
              </w:rPr>
              <w:t>Lokale logging- en monitoringtabellen</w:t>
            </w:r>
          </w:p>
        </w:tc>
        <w:tc>
          <w:tcPr>
            <w:tcW w:type="dxa" w:w="2520"/>
            <w:shd w:fill="EEF5FA"/>
            <w:tcMar>
              <w:top w:w="110" w:type="dxa"/>
              <w:start w:w="120" w:type="dxa"/>
              <w:bottom w:w="110" w:type="dxa"/>
              <w:end w:w="120" w:type="dxa"/>
            </w:tcMar>
            <w:vAlign w:val="center"/>
          </w:tcPr>
          <w:p>
            <w:pPr>
              <w:spacing w:after="0"/>
            </w:pPr>
            <w:r>
              <w:rPr>
                <w:sz w:val="16"/>
              </w:rPr>
              <w:t>Technische observability</w:t>
            </w:r>
          </w:p>
        </w:tc>
        <w:tc>
          <w:tcPr>
            <w:tcW w:type="dxa" w:w="3840"/>
            <w:shd w:fill="EEF5FA"/>
            <w:tcMar>
              <w:top w:w="110" w:type="dxa"/>
              <w:start w:w="120" w:type="dxa"/>
              <w:bottom w:w="110" w:type="dxa"/>
              <w:end w:w="120" w:type="dxa"/>
            </w:tcMar>
            <w:vAlign w:val="center"/>
          </w:tcPr>
          <w:p>
            <w:pPr>
              <w:spacing w:after="0"/>
            </w:pPr>
            <w:r>
              <w:rPr>
                <w:sz w:val="16"/>
              </w:rPr>
              <w:t>Centraliseren in tracing, metrics en alerts</w:t>
            </w:r>
          </w:p>
        </w:tc>
      </w:tr>
    </w:tbl>
    <w:p>
      <w:pPr>
        <w:spacing w:after="20"/>
      </w:pPr>
    </w:p>
    <w:p>
      <w:pPr>
        <w:pStyle w:val="Heading1"/>
        <w:keepNext/>
      </w:pPr>
      <w:r>
        <w:t>7. Voorgestelde toekomstige inrichting</w:t>
      </w:r>
    </w:p>
    <w:p>
      <w:pPr>
        <w:spacing w:after="140"/>
      </w:pPr>
      <w:r>
        <w:t>De toekomstige inrichting moet een gemeenschappelijke betekenislaag bieden zonder alle huidige bronvelden in één groot bericht te bundelen. De integratielaag verzorgt transport, mapping, contractvalidatie, routing, beveiliging, idempotentie, observability en herstel. De verantwoordelijke businessdomeinen bepalen betekenis, statusovergangen en ownership.</w:t>
      </w:r>
    </w:p>
    <w:p>
      <w:pPr>
        <w:pStyle w:val="ListNumber"/>
        <w:spacing w:after="80"/>
      </w:pPr>
      <w:r>
        <w:t>Bronadapter — vertaalt de lokale Maximo-, Quintiq-, RHM-, Smartflow- of andere bronstructuur naar een beheerd broncontract.</w:t>
      </w:r>
    </w:p>
    <w:p>
      <w:pPr>
        <w:pStyle w:val="ListNumber"/>
        <w:spacing w:after="80"/>
      </w:pPr>
      <w:r>
        <w:t>VWIIM/common layer — definieert de WerkOrder-kern en expliciete relaties naar Planning, Location, ResourceAssignment, ExecutionResult en FinancialContext.</w:t>
      </w:r>
    </w:p>
    <w:p>
      <w:pPr>
        <w:pStyle w:val="ListNumber"/>
        <w:spacing w:after="80"/>
      </w:pPr>
      <w:r>
        <w:t>BEDDA-publicatie — publiceert alleen extern relevante state changes met een uniforme header, event-id, correlation ID en external identifiers.</w:t>
      </w:r>
    </w:p>
    <w:p>
      <w:pPr>
        <w:pStyle w:val="ListNumber"/>
        <w:spacing w:after="80"/>
      </w:pPr>
      <w:r>
        <w:t>Consumeradapter — vertaalt het canonieke segment naar de minimale doelstructuur; lokale codes en protocollen blijven buiten het common model.</w:t>
      </w:r>
    </w:p>
    <w:p>
      <w:pPr>
        <w:pStyle w:val="ListNumber"/>
        <w:spacing w:after="80"/>
      </w:pPr>
      <w:r>
        <w:t>Platformcapaciteiten — leveren API-management, messaging, schema- en contractbeheer, DLQ/retry, replay, tracing en monitoring.</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D9EAF7"/>
          </w:tcPr>
          <w:p>
            <w:pPr>
              <w:spacing w:after="0"/>
            </w:pPr>
            <w:r>
              <w:rPr>
                <w:b/>
                <w:color w:val="1F4E79"/>
              </w:rPr>
              <w:t xml:space="preserve">Belangrijke grens  </w:t>
            </w:r>
            <w:r>
              <w:t>Een WerkOrdernummer is een business key of external identifier. Het is niet hetzelfde als de technische event-id. Meerdere gebeurtenissen over dezelfde WerkOrder krijgen ieder een eigen event-id en delen waar nodig dezelfde correlation ID.</w:t>
            </w:r>
          </w:p>
        </w:tc>
      </w:tr>
    </w:tbl>
    <w:p>
      <w:pPr>
        <w:spacing w:after="20"/>
      </w:pPr>
    </w:p>
    <w:p>
      <w:pPr>
        <w:pStyle w:val="Heading2"/>
        <w:keepNext/>
      </w:pPr>
      <w:r>
        <w:t>7.1 Kandidaat-gebeurtenissen voor validatie</w:t>
      </w:r>
    </w:p>
    <w:tbl>
      <w:tblPr>
        <w:tblStyle w:val="TableGrid"/>
        <w:tblW w:type="dxa" w:w="9360"/>
        <w:tblLayout w:type="fixed"/>
        <w:tblLook w:firstColumn="1" w:firstRow="1" w:lastColumn="0" w:lastRow="0" w:noHBand="0" w:noVBand="1" w:val="04A0"/>
        <w:tblInd w:w="120" w:type="dxa"/>
      </w:tblPr>
      <w:tblGrid>
        <w:gridCol w:w="2750"/>
        <w:gridCol w:w="3350"/>
        <w:gridCol w:w="3260"/>
      </w:tblGrid>
      <w:tr>
        <w:trPr>
          <w:tblHeader w:val="true"/>
        </w:trPr>
        <w:tc>
          <w:tcPr>
            <w:tcW w:type="dxa" w:w="2750"/>
            <w:shd w:fill="1F4E79"/>
            <w:tcMar>
              <w:top w:w="110" w:type="dxa"/>
              <w:start w:w="120" w:type="dxa"/>
              <w:bottom w:w="110" w:type="dxa"/>
              <w:end w:w="120" w:type="dxa"/>
            </w:tcMar>
            <w:vAlign w:val="center"/>
          </w:tcPr>
          <w:p>
            <w:pPr>
              <w:jc w:val="left"/>
            </w:pPr>
            <w:r>
              <w:rPr>
                <w:b/>
                <w:color w:val="FFFFFF"/>
                <w:sz w:val="16"/>
              </w:rPr>
              <w:t>Kandidaat</w:t>
            </w:r>
          </w:p>
        </w:tc>
        <w:tc>
          <w:tcPr>
            <w:tcW w:type="dxa" w:w="3350"/>
            <w:shd w:fill="1F4E79"/>
            <w:tcMar>
              <w:top w:w="110" w:type="dxa"/>
              <w:start w:w="120" w:type="dxa"/>
              <w:bottom w:w="110" w:type="dxa"/>
              <w:end w:w="120" w:type="dxa"/>
            </w:tcMar>
            <w:vAlign w:val="center"/>
          </w:tcPr>
          <w:p>
            <w:pPr>
              <w:jc w:val="left"/>
            </w:pPr>
            <w:r>
              <w:rPr>
                <w:b/>
                <w:color w:val="FFFFFF"/>
                <w:sz w:val="16"/>
              </w:rPr>
              <w:t>Betekenis</w:t>
            </w:r>
          </w:p>
        </w:tc>
        <w:tc>
          <w:tcPr>
            <w:tcW w:type="dxa" w:w="3260"/>
            <w:shd w:fill="1F4E79"/>
            <w:tcMar>
              <w:top w:w="110" w:type="dxa"/>
              <w:start w:w="120" w:type="dxa"/>
              <w:bottom w:w="110" w:type="dxa"/>
              <w:end w:w="120" w:type="dxa"/>
            </w:tcMar>
            <w:vAlign w:val="center"/>
          </w:tcPr>
          <w:p>
            <w:pPr>
              <w:jc w:val="left"/>
            </w:pPr>
            <w:r>
              <w:rPr>
                <w:b/>
                <w:color w:val="FFFFFF"/>
                <w:sz w:val="16"/>
              </w:rPr>
              <w:t>Nog te besluiten</w:t>
            </w:r>
          </w:p>
        </w:tc>
      </w:tr>
      <w:tr>
        <w:tc>
          <w:tcPr>
            <w:tcW w:type="dxa" w:w="2750"/>
            <w:tcMar>
              <w:top w:w="110" w:type="dxa"/>
              <w:start w:w="120" w:type="dxa"/>
              <w:bottom w:w="110" w:type="dxa"/>
              <w:end w:w="120" w:type="dxa"/>
            </w:tcMar>
            <w:vAlign w:val="center"/>
          </w:tcPr>
          <w:p>
            <w:pPr>
              <w:spacing w:after="0"/>
            </w:pPr>
            <w:r>
              <w:rPr>
                <w:sz w:val="16"/>
              </w:rPr>
              <w:t>WorkOrderCreated</w:t>
            </w:r>
          </w:p>
        </w:tc>
        <w:tc>
          <w:tcPr>
            <w:tcW w:type="dxa" w:w="3350"/>
            <w:tcMar>
              <w:top w:w="110" w:type="dxa"/>
              <w:start w:w="120" w:type="dxa"/>
              <w:bottom w:w="110" w:type="dxa"/>
              <w:end w:w="120" w:type="dxa"/>
            </w:tcMar>
            <w:vAlign w:val="center"/>
          </w:tcPr>
          <w:p>
            <w:pPr>
              <w:spacing w:after="0"/>
            </w:pPr>
            <w:r>
              <w:rPr>
                <w:sz w:val="16"/>
              </w:rPr>
              <w:t>Een nieuwe WerkOrder is beschikbaar voor relevante afnemers</w:t>
            </w:r>
          </w:p>
        </w:tc>
        <w:tc>
          <w:tcPr>
            <w:tcW w:type="dxa" w:w="3260"/>
            <w:tcMar>
              <w:top w:w="110" w:type="dxa"/>
              <w:start w:w="120" w:type="dxa"/>
              <w:bottom w:w="110" w:type="dxa"/>
              <w:end w:w="120" w:type="dxa"/>
            </w:tcMar>
            <w:vAlign w:val="center"/>
          </w:tcPr>
          <w:p>
            <w:pPr>
              <w:spacing w:after="0"/>
            </w:pPr>
            <w:r>
              <w:rPr>
                <w:sz w:val="16"/>
              </w:rPr>
              <w:t>Wie publiceert en welke afnemers hebben creatie echt nodig?</w:t>
            </w:r>
          </w:p>
        </w:tc>
      </w:tr>
      <w:tr>
        <w:tc>
          <w:tcPr>
            <w:tcW w:type="dxa" w:w="2750"/>
            <w:shd w:fill="EEF5FA"/>
            <w:tcMar>
              <w:top w:w="110" w:type="dxa"/>
              <w:start w:w="120" w:type="dxa"/>
              <w:bottom w:w="110" w:type="dxa"/>
              <w:end w:w="120" w:type="dxa"/>
            </w:tcMar>
            <w:vAlign w:val="center"/>
          </w:tcPr>
          <w:p>
            <w:pPr>
              <w:spacing w:after="0"/>
            </w:pPr>
            <w:r>
              <w:rPr>
                <w:sz w:val="16"/>
              </w:rPr>
              <w:t>WorkOrderReleasedForPlanning</w:t>
            </w:r>
          </w:p>
        </w:tc>
        <w:tc>
          <w:tcPr>
            <w:tcW w:type="dxa" w:w="3350"/>
            <w:shd w:fill="EEF5FA"/>
            <w:tcMar>
              <w:top w:w="110" w:type="dxa"/>
              <w:start w:w="120" w:type="dxa"/>
              <w:bottom w:w="110" w:type="dxa"/>
              <w:end w:w="120" w:type="dxa"/>
            </w:tcMar>
            <w:vAlign w:val="center"/>
          </w:tcPr>
          <w:p>
            <w:pPr>
              <w:spacing w:after="0"/>
            </w:pPr>
            <w:r>
              <w:rPr>
                <w:sz w:val="16"/>
              </w:rPr>
              <w:t>Werk is gereed om gepland te worden</w:t>
            </w:r>
          </w:p>
        </w:tc>
        <w:tc>
          <w:tcPr>
            <w:tcW w:type="dxa" w:w="3260"/>
            <w:shd w:fill="EEF5FA"/>
            <w:tcMar>
              <w:top w:w="110" w:type="dxa"/>
              <w:start w:w="120" w:type="dxa"/>
              <w:bottom w:w="110" w:type="dxa"/>
              <w:end w:w="120" w:type="dxa"/>
            </w:tcMar>
            <w:vAlign w:val="center"/>
          </w:tcPr>
          <w:p>
            <w:pPr>
              <w:spacing w:after="0"/>
            </w:pPr>
            <w:r>
              <w:rPr>
                <w:sz w:val="16"/>
              </w:rPr>
              <w:t>Welke vrijgaveregel en minimale planningscontext gelden?</w:t>
            </w:r>
          </w:p>
        </w:tc>
      </w:tr>
      <w:tr>
        <w:tc>
          <w:tcPr>
            <w:tcW w:type="dxa" w:w="2750"/>
            <w:tcMar>
              <w:top w:w="110" w:type="dxa"/>
              <w:start w:w="120" w:type="dxa"/>
              <w:bottom w:w="110" w:type="dxa"/>
              <w:end w:w="120" w:type="dxa"/>
            </w:tcMar>
            <w:vAlign w:val="center"/>
          </w:tcPr>
          <w:p>
            <w:pPr>
              <w:spacing w:after="0"/>
            </w:pPr>
            <w:r>
              <w:rPr>
                <w:sz w:val="16"/>
              </w:rPr>
              <w:t>WorkOrderPlanned</w:t>
            </w:r>
          </w:p>
        </w:tc>
        <w:tc>
          <w:tcPr>
            <w:tcW w:type="dxa" w:w="3350"/>
            <w:tcMar>
              <w:top w:w="110" w:type="dxa"/>
              <w:start w:w="120" w:type="dxa"/>
              <w:bottom w:w="110" w:type="dxa"/>
              <w:end w:w="120" w:type="dxa"/>
            </w:tcMar>
            <w:vAlign w:val="center"/>
          </w:tcPr>
          <w:p>
            <w:pPr>
              <w:spacing w:after="0"/>
            </w:pPr>
            <w:r>
              <w:rPr>
                <w:sz w:val="16"/>
              </w:rPr>
              <w:t>Een planningresultaat is vastgesteld</w:t>
            </w:r>
          </w:p>
        </w:tc>
        <w:tc>
          <w:tcPr>
            <w:tcW w:type="dxa" w:w="3260"/>
            <w:tcMar>
              <w:top w:w="110" w:type="dxa"/>
              <w:start w:w="120" w:type="dxa"/>
              <w:bottom w:w="110" w:type="dxa"/>
              <w:end w:w="120" w:type="dxa"/>
            </w:tcMar>
            <w:vAlign w:val="center"/>
          </w:tcPr>
          <w:p>
            <w:pPr>
              <w:spacing w:after="0"/>
            </w:pPr>
            <w:r>
              <w:rPr>
                <w:sz w:val="16"/>
              </w:rPr>
              <w:t>Wie is auteur van de planvelden?</w:t>
            </w:r>
          </w:p>
        </w:tc>
      </w:tr>
      <w:tr>
        <w:tc>
          <w:tcPr>
            <w:tcW w:type="dxa" w:w="2750"/>
            <w:shd w:fill="EEF5FA"/>
            <w:tcMar>
              <w:top w:w="110" w:type="dxa"/>
              <w:start w:w="120" w:type="dxa"/>
              <w:bottom w:w="110" w:type="dxa"/>
              <w:end w:w="120" w:type="dxa"/>
            </w:tcMar>
            <w:vAlign w:val="center"/>
          </w:tcPr>
          <w:p>
            <w:pPr>
              <w:spacing w:after="0"/>
            </w:pPr>
            <w:r>
              <w:rPr>
                <w:sz w:val="16"/>
              </w:rPr>
              <w:t>WorkOrderPlanningChanged</w:t>
            </w:r>
          </w:p>
        </w:tc>
        <w:tc>
          <w:tcPr>
            <w:tcW w:type="dxa" w:w="3350"/>
            <w:shd w:fill="EEF5FA"/>
            <w:tcMar>
              <w:top w:w="110" w:type="dxa"/>
              <w:start w:w="120" w:type="dxa"/>
              <w:bottom w:w="110" w:type="dxa"/>
              <w:end w:w="120" w:type="dxa"/>
            </w:tcMar>
            <w:vAlign w:val="center"/>
          </w:tcPr>
          <w:p>
            <w:pPr>
              <w:spacing w:after="0"/>
            </w:pPr>
            <w:r>
              <w:rPr>
                <w:sz w:val="16"/>
              </w:rPr>
              <w:t>Een bestaande planning is gewijzigd</w:t>
            </w:r>
          </w:p>
        </w:tc>
        <w:tc>
          <w:tcPr>
            <w:tcW w:type="dxa" w:w="3260"/>
            <w:shd w:fill="EEF5FA"/>
            <w:tcMar>
              <w:top w:w="110" w:type="dxa"/>
              <w:start w:w="120" w:type="dxa"/>
              <w:bottom w:w="110" w:type="dxa"/>
              <w:end w:w="120" w:type="dxa"/>
            </w:tcMar>
            <w:vAlign w:val="center"/>
          </w:tcPr>
          <w:p>
            <w:pPr>
              <w:spacing w:after="0"/>
            </w:pPr>
            <w:r>
              <w:rPr>
                <w:sz w:val="16"/>
              </w:rPr>
              <w:t>Welke wijzigingen zijn extern relevant?</w:t>
            </w:r>
          </w:p>
        </w:tc>
      </w:tr>
      <w:tr>
        <w:tc>
          <w:tcPr>
            <w:tcW w:type="dxa" w:w="2750"/>
            <w:tcMar>
              <w:top w:w="110" w:type="dxa"/>
              <w:start w:w="120" w:type="dxa"/>
              <w:bottom w:w="110" w:type="dxa"/>
              <w:end w:w="120" w:type="dxa"/>
            </w:tcMar>
            <w:vAlign w:val="center"/>
          </w:tcPr>
          <w:p>
            <w:pPr>
              <w:spacing w:after="0"/>
            </w:pPr>
            <w:r>
              <w:rPr>
                <w:sz w:val="16"/>
              </w:rPr>
              <w:t>WorkOrderCancelled</w:t>
            </w:r>
          </w:p>
        </w:tc>
        <w:tc>
          <w:tcPr>
            <w:tcW w:type="dxa" w:w="3350"/>
            <w:tcMar>
              <w:top w:w="110" w:type="dxa"/>
              <w:start w:w="120" w:type="dxa"/>
              <w:bottom w:w="110" w:type="dxa"/>
              <w:end w:w="120" w:type="dxa"/>
            </w:tcMar>
            <w:vAlign w:val="center"/>
          </w:tcPr>
          <w:p>
            <w:pPr>
              <w:spacing w:after="0"/>
            </w:pPr>
            <w:r>
              <w:rPr>
                <w:sz w:val="16"/>
              </w:rPr>
              <w:t>Werk is geannuleerd of ingetrokken</w:t>
            </w:r>
          </w:p>
        </w:tc>
        <w:tc>
          <w:tcPr>
            <w:tcW w:type="dxa" w:w="3260"/>
            <w:tcMar>
              <w:top w:w="110" w:type="dxa"/>
              <w:start w:w="120" w:type="dxa"/>
              <w:bottom w:w="110" w:type="dxa"/>
              <w:end w:w="120" w:type="dxa"/>
            </w:tcMar>
            <w:vAlign w:val="center"/>
          </w:tcPr>
          <w:p>
            <w:pPr>
              <w:spacing w:after="0"/>
            </w:pPr>
            <w:r>
              <w:rPr>
                <w:sz w:val="16"/>
              </w:rPr>
              <w:t>Onderscheid tussen annuleren, intrekken en verwijderen</w:t>
            </w:r>
          </w:p>
        </w:tc>
      </w:tr>
      <w:tr>
        <w:tc>
          <w:tcPr>
            <w:tcW w:type="dxa" w:w="2750"/>
            <w:shd w:fill="EEF5FA"/>
            <w:tcMar>
              <w:top w:w="110" w:type="dxa"/>
              <w:start w:w="120" w:type="dxa"/>
              <w:bottom w:w="110" w:type="dxa"/>
              <w:end w:w="120" w:type="dxa"/>
            </w:tcMar>
            <w:vAlign w:val="center"/>
          </w:tcPr>
          <w:p>
            <w:pPr>
              <w:spacing w:after="0"/>
            </w:pPr>
            <w:r>
              <w:rPr>
                <w:sz w:val="16"/>
              </w:rPr>
              <w:t>WorkOrderReleasedForExecution</w:t>
            </w:r>
          </w:p>
        </w:tc>
        <w:tc>
          <w:tcPr>
            <w:tcW w:type="dxa" w:w="3350"/>
            <w:shd w:fill="EEF5FA"/>
            <w:tcMar>
              <w:top w:w="110" w:type="dxa"/>
              <w:start w:w="120" w:type="dxa"/>
              <w:bottom w:w="110" w:type="dxa"/>
              <w:end w:w="120" w:type="dxa"/>
            </w:tcMar>
            <w:vAlign w:val="center"/>
          </w:tcPr>
          <w:p>
            <w:pPr>
              <w:spacing w:after="0"/>
            </w:pPr>
            <w:r>
              <w:rPr>
                <w:sz w:val="16"/>
              </w:rPr>
              <w:t>Werk kan door de uitvoering worden opgepakt</w:t>
            </w:r>
          </w:p>
        </w:tc>
        <w:tc>
          <w:tcPr>
            <w:tcW w:type="dxa" w:w="3260"/>
            <w:shd w:fill="EEF5FA"/>
            <w:tcMar>
              <w:top w:w="110" w:type="dxa"/>
              <w:start w:w="120" w:type="dxa"/>
              <w:bottom w:w="110" w:type="dxa"/>
              <w:end w:w="120" w:type="dxa"/>
            </w:tcMar>
            <w:vAlign w:val="center"/>
          </w:tcPr>
          <w:p>
            <w:pPr>
              <w:spacing w:after="0"/>
            </w:pPr>
            <w:r>
              <w:rPr>
                <w:sz w:val="16"/>
              </w:rPr>
              <w:t>Welke uitvoeringscontext hoort in dit event?</w:t>
            </w:r>
          </w:p>
        </w:tc>
      </w:tr>
      <w:tr>
        <w:tc>
          <w:tcPr>
            <w:tcW w:type="dxa" w:w="2750"/>
            <w:tcMar>
              <w:top w:w="110" w:type="dxa"/>
              <w:start w:w="120" w:type="dxa"/>
              <w:bottom w:w="110" w:type="dxa"/>
              <w:end w:w="120" w:type="dxa"/>
            </w:tcMar>
            <w:vAlign w:val="center"/>
          </w:tcPr>
          <w:p>
            <w:pPr>
              <w:spacing w:after="0"/>
            </w:pPr>
            <w:r>
              <w:rPr>
                <w:sz w:val="16"/>
              </w:rPr>
              <w:t>WorkOrderExecutionReported</w:t>
            </w:r>
          </w:p>
        </w:tc>
        <w:tc>
          <w:tcPr>
            <w:tcW w:type="dxa" w:w="3350"/>
            <w:tcMar>
              <w:top w:w="110" w:type="dxa"/>
              <w:start w:w="120" w:type="dxa"/>
              <w:bottom w:w="110" w:type="dxa"/>
              <w:end w:w="120" w:type="dxa"/>
            </w:tcMar>
            <w:vAlign w:val="center"/>
          </w:tcPr>
          <w:p>
            <w:pPr>
              <w:spacing w:after="0"/>
            </w:pPr>
            <w:r>
              <w:rPr>
                <w:sz w:val="16"/>
              </w:rPr>
              <w:t>Uitvoering of resultaat is teruggekoppeld</w:t>
            </w:r>
          </w:p>
        </w:tc>
        <w:tc>
          <w:tcPr>
            <w:tcW w:type="dxa" w:w="3260"/>
            <w:tcMar>
              <w:top w:w="110" w:type="dxa"/>
              <w:start w:w="120" w:type="dxa"/>
              <w:bottom w:w="110" w:type="dxa"/>
              <w:end w:w="120" w:type="dxa"/>
            </w:tcMar>
            <w:vAlign w:val="center"/>
          </w:tcPr>
          <w:p>
            <w:pPr>
              <w:spacing w:after="0"/>
            </w:pPr>
            <w:r>
              <w:rPr>
                <w:sz w:val="16"/>
              </w:rPr>
              <w:t>WerkOrder-event of afzonderlijk ExecutionResult-object?</w:t>
            </w:r>
          </w:p>
        </w:tc>
      </w:tr>
      <w:tr>
        <w:tc>
          <w:tcPr>
            <w:tcW w:type="dxa" w:w="2750"/>
            <w:shd w:fill="EEF5FA"/>
            <w:tcMar>
              <w:top w:w="110" w:type="dxa"/>
              <w:start w:w="120" w:type="dxa"/>
              <w:bottom w:w="110" w:type="dxa"/>
              <w:end w:w="120" w:type="dxa"/>
            </w:tcMar>
            <w:vAlign w:val="center"/>
          </w:tcPr>
          <w:p>
            <w:pPr>
              <w:spacing w:after="0"/>
            </w:pPr>
            <w:r>
              <w:rPr>
                <w:sz w:val="16"/>
              </w:rPr>
              <w:t>WorkOrderCompleted</w:t>
            </w:r>
          </w:p>
        </w:tc>
        <w:tc>
          <w:tcPr>
            <w:tcW w:type="dxa" w:w="3350"/>
            <w:shd w:fill="EEF5FA"/>
            <w:tcMar>
              <w:top w:w="110" w:type="dxa"/>
              <w:start w:w="120" w:type="dxa"/>
              <w:bottom w:w="110" w:type="dxa"/>
              <w:end w:w="120" w:type="dxa"/>
            </w:tcMar>
            <w:vAlign w:val="center"/>
          </w:tcPr>
          <w:p>
            <w:pPr>
              <w:spacing w:after="0"/>
            </w:pPr>
            <w:r>
              <w:rPr>
                <w:sz w:val="16"/>
              </w:rPr>
              <w:t>De WerkOrder heeft een formele eindstatus bereikt</w:t>
            </w:r>
          </w:p>
        </w:tc>
        <w:tc>
          <w:tcPr>
            <w:tcW w:type="dxa" w:w="3260"/>
            <w:shd w:fill="EEF5FA"/>
            <w:tcMar>
              <w:top w:w="110" w:type="dxa"/>
              <w:start w:w="120" w:type="dxa"/>
              <w:bottom w:w="110" w:type="dxa"/>
              <w:end w:w="120" w:type="dxa"/>
            </w:tcMar>
            <w:vAlign w:val="center"/>
          </w:tcPr>
          <w:p>
            <w:pPr>
              <w:spacing w:after="0"/>
            </w:pPr>
            <w:r>
              <w:rPr>
                <w:sz w:val="16"/>
              </w:rPr>
              <w:t>Canonieke eindstatus en authoritative functie</w:t>
            </w:r>
          </w:p>
        </w:tc>
      </w:tr>
    </w:tbl>
    <w:p>
      <w:pPr>
        <w:spacing w:after="20"/>
      </w:pPr>
    </w:p>
    <w:p>
      <w:pPr>
        <w:spacing w:after="140"/>
      </w:pPr>
      <w:r>
        <w:t>Deze namen zijn ontwerpvoorstellen. De definitieve events volgen uit het officiële VWIIM, de bevestigde businessbetekenis en de geldende BEDDA-naamgevingsregels.</w:t>
      </w:r>
    </w:p>
    <w:p>
      <w:pPr>
        <w:pStyle w:val="Heading1"/>
        <w:keepNext/>
      </w:pPr>
      <w:r>
        <w:t>8. Rationalisatieadvies</w:t>
      </w:r>
    </w:p>
    <w:p>
      <w:pPr>
        <w:spacing w:after="140"/>
      </w:pPr>
      <w:r>
        <w:t>Rationalisatie moet plaatsvinden per businesscapability, niet per bestaande job of bestandsnaam. De aanbevolen volgorde is:</w:t>
      </w:r>
    </w:p>
    <w:p>
      <w:pPr>
        <w:pStyle w:val="ListNumber"/>
        <w:spacing w:after="80"/>
      </w:pPr>
      <w:r>
        <w:t>Bevestig welke WerkOrder-consumenten in de toekomstige inrichting blijven bestaan.</w:t>
      </w:r>
    </w:p>
    <w:p>
      <w:pPr>
        <w:pStyle w:val="ListNumber"/>
        <w:spacing w:after="80"/>
      </w:pPr>
      <w:r>
        <w:t>Bepaal per consument het minimale benodigde segment en de gewenste actualiteit.</w:t>
      </w:r>
    </w:p>
    <w:p>
      <w:pPr>
        <w:pStyle w:val="ListNumber"/>
        <w:spacing w:after="80"/>
      </w:pPr>
      <w:r>
        <w:t>Wijs per segment en state change een authoritative businessfunctie en data owner toe.</w:t>
      </w:r>
    </w:p>
    <w:p>
      <w:pPr>
        <w:pStyle w:val="ListNumber"/>
        <w:spacing w:after="80"/>
      </w:pPr>
      <w:r>
        <w:t>Ontdubbel overlappende AssetCheck- en Vialis-varianten en sluit voorbeelden, kopieën en verouderde onderdelen uit.</w:t>
      </w:r>
    </w:p>
    <w:p>
      <w:pPr>
        <w:pStyle w:val="ListNumber"/>
        <w:spacing w:after="80"/>
      </w:pPr>
      <w:r>
        <w:t>Reconstructeer de ontbrekende actieve payloads voor AssetCheck, 4PS en Ortec/Vialis.</w:t>
      </w:r>
    </w:p>
    <w:p>
      <w:pPr>
        <w:pStyle w:val="ListNumber"/>
        <w:spacing w:after="80"/>
      </w:pPr>
      <w:r>
        <w:t>Classificeer selectie-, status- en fallbackregels samen met de business.</w:t>
      </w:r>
    </w:p>
    <w:p>
      <w:pPr>
        <w:pStyle w:val="ListNumber"/>
        <w:spacing w:after="80"/>
      </w:pPr>
      <w:r>
        <w:t>Ontwerp een beperkt portfolio van events en alleen de query-API’s die functioneel noodzakelijk zijn.</w:t>
      </w:r>
    </w:p>
    <w:p>
      <w:pPr>
        <w:pStyle w:val="ListNumber"/>
        <w:spacing w:after="80"/>
      </w:pPr>
      <w:r>
        <w:t>Migreer per capability met contracttests, parallelle validatie en een expliciet afbouwpad voor Talend.</w:t>
      </w:r>
    </w:p>
    <w:p>
      <w:pPr>
        <w:pStyle w:val="Heading2"/>
        <w:keepNext/>
      </w:pPr>
      <w:r>
        <w:t>8.1 Voorlopige richting per keten</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1F4E79"/>
            <w:tcMar>
              <w:top w:w="110" w:type="dxa"/>
              <w:start w:w="120" w:type="dxa"/>
              <w:bottom w:w="110" w:type="dxa"/>
              <w:end w:w="120" w:type="dxa"/>
            </w:tcMar>
            <w:vAlign w:val="center"/>
          </w:tcPr>
          <w:p>
            <w:pPr>
              <w:jc w:val="left"/>
            </w:pPr>
            <w:r>
              <w:rPr>
                <w:b/>
                <w:color w:val="FFFFFF"/>
                <w:sz w:val="17"/>
              </w:rPr>
              <w:t>Keten</w:t>
            </w:r>
          </w:p>
        </w:tc>
        <w:tc>
          <w:tcPr>
            <w:tcW w:type="dxa" w:w="6660"/>
            <w:shd w:fill="1F4E79"/>
            <w:tcMar>
              <w:top w:w="110" w:type="dxa"/>
              <w:start w:w="120" w:type="dxa"/>
              <w:bottom w:w="110" w:type="dxa"/>
              <w:end w:w="120" w:type="dxa"/>
            </w:tcMar>
            <w:vAlign w:val="center"/>
          </w:tcPr>
          <w:p>
            <w:pPr>
              <w:jc w:val="left"/>
            </w:pPr>
            <w:r>
              <w:rPr>
                <w:b/>
                <w:color w:val="FFFFFF"/>
                <w:sz w:val="17"/>
              </w:rPr>
              <w:t>Richting</w:t>
            </w:r>
          </w:p>
        </w:tc>
      </w:tr>
      <w:tr>
        <w:tc>
          <w:tcPr>
            <w:tcW w:type="dxa" w:w="2700"/>
            <w:tcMar>
              <w:top w:w="110" w:type="dxa"/>
              <w:start w:w="120" w:type="dxa"/>
              <w:bottom w:w="110" w:type="dxa"/>
              <w:end w:w="120" w:type="dxa"/>
            </w:tcMar>
            <w:vAlign w:val="center"/>
          </w:tcPr>
          <w:p>
            <w:pPr>
              <w:spacing w:after="0"/>
            </w:pPr>
            <w:r>
              <w:rPr>
                <w:sz w:val="17"/>
              </w:rPr>
              <w:t>Maximo ↔ Quintiq</w:t>
            </w:r>
          </w:p>
        </w:tc>
        <w:tc>
          <w:tcPr>
            <w:tcW w:type="dxa" w:w="6660"/>
            <w:tcMar>
              <w:top w:w="110" w:type="dxa"/>
              <w:start w:w="120" w:type="dxa"/>
              <w:bottom w:w="110" w:type="dxa"/>
              <w:end w:w="120" w:type="dxa"/>
            </w:tcMar>
            <w:vAlign w:val="center"/>
          </w:tcPr>
          <w:p>
            <w:pPr>
              <w:spacing w:after="0"/>
            </w:pPr>
            <w:r>
              <w:rPr>
                <w:sz w:val="17"/>
              </w:rPr>
              <w:t>Behouden en vervangen door gestandaardiseerde planningcapabilities</w:t>
            </w:r>
          </w:p>
        </w:tc>
      </w:tr>
      <w:tr>
        <w:tc>
          <w:tcPr>
            <w:tcW w:type="dxa" w:w="2700"/>
            <w:shd w:fill="EEF5FA"/>
            <w:tcMar>
              <w:top w:w="110" w:type="dxa"/>
              <w:start w:w="120" w:type="dxa"/>
              <w:bottom w:w="110" w:type="dxa"/>
              <w:end w:w="120" w:type="dxa"/>
            </w:tcMar>
            <w:vAlign w:val="center"/>
          </w:tcPr>
          <w:p>
            <w:pPr>
              <w:spacing w:after="0"/>
            </w:pPr>
            <w:r>
              <w:rPr>
                <w:sz w:val="17"/>
              </w:rPr>
              <w:t>Maximo → RHM → Smartflow</w:t>
            </w:r>
          </w:p>
        </w:tc>
        <w:tc>
          <w:tcPr>
            <w:tcW w:type="dxa" w:w="6660"/>
            <w:shd w:fill="EEF5FA"/>
            <w:tcMar>
              <w:top w:w="110" w:type="dxa"/>
              <w:start w:w="120" w:type="dxa"/>
              <w:bottom w:w="110" w:type="dxa"/>
              <w:end w:w="120" w:type="dxa"/>
            </w:tcMar>
            <w:vAlign w:val="center"/>
          </w:tcPr>
          <w:p>
            <w:pPr>
              <w:spacing w:after="0"/>
            </w:pPr>
            <w:r>
              <w:rPr>
                <w:sz w:val="17"/>
              </w:rPr>
              <w:t>Behouden waar de uitvoering dit vereist; opsplitsen in kern, opdracht, resources en realisatie</w:t>
            </w:r>
          </w:p>
        </w:tc>
      </w:tr>
      <w:tr>
        <w:tc>
          <w:tcPr>
            <w:tcW w:type="dxa" w:w="2700"/>
            <w:tcMar>
              <w:top w:w="110" w:type="dxa"/>
              <w:start w:w="120" w:type="dxa"/>
              <w:bottom w:w="110" w:type="dxa"/>
              <w:end w:w="120" w:type="dxa"/>
            </w:tcMar>
            <w:vAlign w:val="center"/>
          </w:tcPr>
          <w:p>
            <w:pPr>
              <w:spacing w:after="0"/>
            </w:pPr>
            <w:r>
              <w:rPr>
                <w:sz w:val="17"/>
              </w:rPr>
              <w:t>AssetCheck/VISE</w:t>
            </w:r>
          </w:p>
        </w:tc>
        <w:tc>
          <w:tcPr>
            <w:tcW w:type="dxa" w:w="6660"/>
            <w:tcMar>
              <w:top w:w="110" w:type="dxa"/>
              <w:start w:w="120" w:type="dxa"/>
              <w:bottom w:w="110" w:type="dxa"/>
              <w:end w:w="120" w:type="dxa"/>
            </w:tcMar>
            <w:vAlign w:val="center"/>
          </w:tcPr>
          <w:p>
            <w:pPr>
              <w:spacing w:after="0"/>
            </w:pPr>
            <w:r>
              <w:rPr>
                <w:sz w:val="17"/>
              </w:rPr>
              <w:t>Samenvoegen en eerst actieve consumentenbehoefte bevestigen</w:t>
            </w:r>
          </w:p>
        </w:tc>
      </w:tr>
      <w:tr>
        <w:tc>
          <w:tcPr>
            <w:tcW w:type="dxa" w:w="2700"/>
            <w:shd w:fill="EEF5FA"/>
            <w:tcMar>
              <w:top w:w="110" w:type="dxa"/>
              <w:start w:w="120" w:type="dxa"/>
              <w:bottom w:w="110" w:type="dxa"/>
              <w:end w:w="120" w:type="dxa"/>
            </w:tcMar>
            <w:vAlign w:val="center"/>
          </w:tcPr>
          <w:p>
            <w:pPr>
              <w:spacing w:after="0"/>
            </w:pPr>
            <w:r>
              <w:rPr>
                <w:sz w:val="17"/>
              </w:rPr>
              <w:t>Infor/InforOSK</w:t>
            </w:r>
          </w:p>
        </w:tc>
        <w:tc>
          <w:tcPr>
            <w:tcW w:type="dxa" w:w="6660"/>
            <w:shd w:fill="EEF5FA"/>
            <w:tcMar>
              <w:top w:w="110" w:type="dxa"/>
              <w:start w:w="120" w:type="dxa"/>
              <w:bottom w:w="110" w:type="dxa"/>
              <w:end w:w="120" w:type="dxa"/>
            </w:tcMar>
            <w:vAlign w:val="center"/>
          </w:tcPr>
          <w:p>
            <w:pPr>
              <w:spacing w:after="0"/>
            </w:pPr>
            <w:r>
              <w:rPr>
                <w:sz w:val="17"/>
              </w:rPr>
              <w:t>Lifecycle en financiële feedback scheiden; toekomstig gebruik valideren</w:t>
            </w:r>
          </w:p>
        </w:tc>
      </w:tr>
      <w:tr>
        <w:tc>
          <w:tcPr>
            <w:tcW w:type="dxa" w:w="2700"/>
            <w:tcMar>
              <w:top w:w="110" w:type="dxa"/>
              <w:start w:w="120" w:type="dxa"/>
              <w:bottom w:w="110" w:type="dxa"/>
              <w:end w:w="120" w:type="dxa"/>
            </w:tcMar>
            <w:vAlign w:val="center"/>
          </w:tcPr>
          <w:p>
            <w:pPr>
              <w:spacing w:after="0"/>
            </w:pPr>
            <w:r>
              <w:rPr>
                <w:sz w:val="17"/>
              </w:rPr>
              <w:t>Ortec/Vialis</w:t>
            </w:r>
          </w:p>
        </w:tc>
        <w:tc>
          <w:tcPr>
            <w:tcW w:type="dxa" w:w="6660"/>
            <w:tcMar>
              <w:top w:w="110" w:type="dxa"/>
              <w:start w:w="120" w:type="dxa"/>
              <w:bottom w:w="110" w:type="dxa"/>
              <w:end w:w="120" w:type="dxa"/>
            </w:tcMar>
            <w:vAlign w:val="center"/>
          </w:tcPr>
          <w:p>
            <w:pPr>
              <w:spacing w:after="0"/>
            </w:pPr>
            <w:r>
              <w:rPr>
                <w:sz w:val="17"/>
              </w:rPr>
              <w:t>Duplicaten consolideren en eventcategorieën standaardiseren</w:t>
            </w:r>
          </w:p>
        </w:tc>
      </w:tr>
      <w:tr>
        <w:tc>
          <w:tcPr>
            <w:tcW w:type="dxa" w:w="2700"/>
            <w:shd w:fill="EEF5FA"/>
            <w:tcMar>
              <w:top w:w="110" w:type="dxa"/>
              <w:start w:w="120" w:type="dxa"/>
              <w:bottom w:w="110" w:type="dxa"/>
              <w:end w:w="120" w:type="dxa"/>
            </w:tcMar>
            <w:vAlign w:val="center"/>
          </w:tcPr>
          <w:p>
            <w:pPr>
              <w:spacing w:after="0"/>
            </w:pPr>
            <w:r>
              <w:rPr>
                <w:sz w:val="17"/>
              </w:rPr>
              <w:t>4PS</w:t>
            </w:r>
          </w:p>
        </w:tc>
        <w:tc>
          <w:tcPr>
            <w:tcW w:type="dxa" w:w="6660"/>
            <w:shd w:fill="EEF5FA"/>
            <w:tcMar>
              <w:top w:w="110" w:type="dxa"/>
              <w:start w:w="120" w:type="dxa"/>
              <w:bottom w:w="110" w:type="dxa"/>
              <w:end w:w="120" w:type="dxa"/>
            </w:tcMar>
            <w:vAlign w:val="center"/>
          </w:tcPr>
          <w:p>
            <w:pPr>
              <w:spacing w:after="0"/>
            </w:pPr>
            <w:r>
              <w:rPr>
                <w:sz w:val="17"/>
              </w:rPr>
              <w:t>Nader onderzoeken; minimale doelpayload en productiegebruik bevestigen</w:t>
            </w:r>
          </w:p>
        </w:tc>
      </w:tr>
      <w:tr>
        <w:tc>
          <w:tcPr>
            <w:tcW w:type="dxa" w:w="2700"/>
            <w:tcMar>
              <w:top w:w="110" w:type="dxa"/>
              <w:start w:w="120" w:type="dxa"/>
              <w:bottom w:w="110" w:type="dxa"/>
              <w:end w:w="120" w:type="dxa"/>
            </w:tcMar>
            <w:vAlign w:val="center"/>
          </w:tcPr>
          <w:p>
            <w:pPr>
              <w:spacing w:after="0"/>
            </w:pPr>
            <w:r>
              <w:rPr>
                <w:sz w:val="17"/>
              </w:rPr>
              <w:t>FlexTunnel</w:t>
            </w:r>
          </w:p>
        </w:tc>
        <w:tc>
          <w:tcPr>
            <w:tcW w:type="dxa" w:w="6660"/>
            <w:tcMar>
              <w:top w:w="110" w:type="dxa"/>
              <w:start w:w="120" w:type="dxa"/>
              <w:bottom w:w="110" w:type="dxa"/>
              <w:end w:w="120" w:type="dxa"/>
            </w:tcMar>
            <w:vAlign w:val="center"/>
          </w:tcPr>
          <w:p>
            <w:pPr>
              <w:spacing w:after="0"/>
            </w:pPr>
            <w:r>
              <w:rPr>
                <w:sz w:val="17"/>
              </w:rPr>
              <w:t>WerkOrderreferentie behouden; inspectie, schade en realisatie als gerelateerde objecten modelleren</w:t>
            </w:r>
          </w:p>
        </w:tc>
      </w:tr>
    </w:tbl>
    <w:p>
      <w:pPr>
        <w:spacing w:after="20"/>
      </w:pPr>
    </w:p>
    <w:p>
      <w:pPr>
        <w:pStyle w:val="Heading1"/>
        <w:keepNext/>
      </w:pPr>
      <w:r>
        <w:t>9. Besluiten die nog nodig zijn</w:t>
      </w:r>
    </w:p>
    <w:p>
      <w:pPr>
        <w:spacing w:after="140"/>
      </w:pPr>
      <w:r>
        <w:t>De resterende vragen zijn geen generieke beheerchecklist. Het zijn gerichte besluiten die nodig zijn om de toekomstige informatie-uitwisseling te ontwerpen.</w:t>
      </w:r>
    </w:p>
    <w:tbl>
      <w:tblPr>
        <w:tblStyle w:val="TableGrid"/>
        <w:tblW w:type="dxa" w:w="9360"/>
        <w:tblLayout w:type="fixed"/>
        <w:tblLook w:firstColumn="1" w:firstRow="1" w:lastColumn="0" w:lastRow="0" w:noHBand="0" w:noVBand="1" w:val="04A0"/>
        <w:tblInd w:w="120" w:type="dxa"/>
      </w:tblPr>
      <w:tblGrid>
        <w:gridCol w:w="2050"/>
        <w:gridCol w:w="7310"/>
      </w:tblGrid>
      <w:tr>
        <w:trPr>
          <w:tblHeader w:val="true"/>
        </w:trPr>
        <w:tc>
          <w:tcPr>
            <w:tcW w:type="dxa" w:w="2050"/>
            <w:shd w:fill="1F4E79"/>
            <w:tcMar>
              <w:top w:w="110" w:type="dxa"/>
              <w:start w:w="120" w:type="dxa"/>
              <w:bottom w:w="110" w:type="dxa"/>
              <w:end w:w="120" w:type="dxa"/>
            </w:tcMar>
            <w:vAlign w:val="center"/>
          </w:tcPr>
          <w:p>
            <w:pPr>
              <w:jc w:val="left"/>
            </w:pPr>
            <w:r>
              <w:rPr>
                <w:b/>
                <w:color w:val="FFFFFF"/>
                <w:sz w:val="17"/>
              </w:rPr>
              <w:t>Besluitgebied</w:t>
            </w:r>
          </w:p>
        </w:tc>
        <w:tc>
          <w:tcPr>
            <w:tcW w:type="dxa" w:w="7310"/>
            <w:shd w:fill="1F4E79"/>
            <w:tcMar>
              <w:top w:w="110" w:type="dxa"/>
              <w:start w:w="120" w:type="dxa"/>
              <w:bottom w:w="110" w:type="dxa"/>
              <w:end w:w="120" w:type="dxa"/>
            </w:tcMar>
            <w:vAlign w:val="center"/>
          </w:tcPr>
          <w:p>
            <w:pPr>
              <w:jc w:val="left"/>
            </w:pPr>
            <w:r>
              <w:rPr>
                <w:b/>
                <w:color w:val="FFFFFF"/>
                <w:sz w:val="17"/>
              </w:rPr>
              <w:t>Te beantwoorden vraag</w:t>
            </w:r>
          </w:p>
        </w:tc>
      </w:tr>
      <w:tr>
        <w:tc>
          <w:tcPr>
            <w:tcW w:type="dxa" w:w="2050"/>
            <w:tcMar>
              <w:top w:w="110" w:type="dxa"/>
              <w:start w:w="120" w:type="dxa"/>
              <w:bottom w:w="110" w:type="dxa"/>
              <w:end w:w="120" w:type="dxa"/>
            </w:tcMar>
            <w:vAlign w:val="center"/>
          </w:tcPr>
          <w:p>
            <w:pPr>
              <w:spacing w:after="0"/>
            </w:pPr>
            <w:r>
              <w:rPr>
                <w:sz w:val="17"/>
              </w:rPr>
              <w:t>VWIIM</w:t>
            </w:r>
          </w:p>
        </w:tc>
        <w:tc>
          <w:tcPr>
            <w:tcW w:type="dxa" w:w="7310"/>
            <w:tcMar>
              <w:top w:w="110" w:type="dxa"/>
              <w:start w:w="120" w:type="dxa"/>
              <w:bottom w:w="110" w:type="dxa"/>
              <w:end w:w="120" w:type="dxa"/>
            </w:tcMar>
            <w:vAlign w:val="center"/>
          </w:tcPr>
          <w:p>
            <w:pPr>
              <w:spacing w:after="0"/>
            </w:pPr>
            <w:r>
              <w:rPr>
                <w:sz w:val="17"/>
              </w:rPr>
              <w:t>Wat is de officiële definitie van WerkOrder, inclusief relaties, codelijsten, cardinaliteiten en verplichte attributen?</w:t>
            </w:r>
          </w:p>
        </w:tc>
      </w:tr>
      <w:tr>
        <w:tc>
          <w:tcPr>
            <w:tcW w:type="dxa" w:w="2050"/>
            <w:shd w:fill="EEF5FA"/>
            <w:tcMar>
              <w:top w:w="110" w:type="dxa"/>
              <w:start w:w="120" w:type="dxa"/>
              <w:bottom w:w="110" w:type="dxa"/>
              <w:end w:w="120" w:type="dxa"/>
            </w:tcMar>
            <w:vAlign w:val="center"/>
          </w:tcPr>
          <w:p>
            <w:pPr>
              <w:spacing w:after="0"/>
            </w:pPr>
            <w:r>
              <w:rPr>
                <w:sz w:val="17"/>
              </w:rPr>
              <w:t>Ownership</w:t>
            </w:r>
          </w:p>
        </w:tc>
        <w:tc>
          <w:tcPr>
            <w:tcW w:type="dxa" w:w="7310"/>
            <w:shd w:fill="EEF5FA"/>
            <w:tcMar>
              <w:top w:w="110" w:type="dxa"/>
              <w:start w:w="120" w:type="dxa"/>
              <w:bottom w:w="110" w:type="dxa"/>
              <w:end w:w="120" w:type="dxa"/>
            </w:tcMar>
            <w:vAlign w:val="center"/>
          </w:tcPr>
          <w:p>
            <w:pPr>
              <w:spacing w:after="0"/>
            </w:pPr>
            <w:r>
              <w:rPr>
                <w:sz w:val="17"/>
              </w:rPr>
              <w:t>Welke businessfunctie bepaalt creatie, status, planning, locatie, uitvoering, realisatie en financiële context?</w:t>
            </w:r>
          </w:p>
        </w:tc>
      </w:tr>
      <w:tr>
        <w:tc>
          <w:tcPr>
            <w:tcW w:type="dxa" w:w="2050"/>
            <w:tcMar>
              <w:top w:w="110" w:type="dxa"/>
              <w:start w:w="120" w:type="dxa"/>
              <w:bottom w:w="110" w:type="dxa"/>
              <w:end w:w="120" w:type="dxa"/>
            </w:tcMar>
            <w:vAlign w:val="center"/>
          </w:tcPr>
          <w:p>
            <w:pPr>
              <w:spacing w:after="0"/>
            </w:pPr>
            <w:r>
              <w:rPr>
                <w:sz w:val="17"/>
              </w:rPr>
              <w:t>Consumenten</w:t>
            </w:r>
          </w:p>
        </w:tc>
        <w:tc>
          <w:tcPr>
            <w:tcW w:type="dxa" w:w="7310"/>
            <w:tcMar>
              <w:top w:w="110" w:type="dxa"/>
              <w:start w:w="120" w:type="dxa"/>
              <w:bottom w:w="110" w:type="dxa"/>
              <w:end w:w="120" w:type="dxa"/>
            </w:tcMar>
            <w:vAlign w:val="center"/>
          </w:tcPr>
          <w:p>
            <w:pPr>
              <w:spacing w:after="0"/>
            </w:pPr>
            <w:r>
              <w:rPr>
                <w:sz w:val="17"/>
              </w:rPr>
              <w:t>Welke huidige afnemers blijven bestaan en welk minimaal segment gebruiken zij functioneel?</w:t>
            </w:r>
          </w:p>
        </w:tc>
      </w:tr>
      <w:tr>
        <w:tc>
          <w:tcPr>
            <w:tcW w:type="dxa" w:w="2050"/>
            <w:shd w:fill="EEF5FA"/>
            <w:tcMar>
              <w:top w:w="110" w:type="dxa"/>
              <w:start w:w="120" w:type="dxa"/>
              <w:bottom w:w="110" w:type="dxa"/>
              <w:end w:w="120" w:type="dxa"/>
            </w:tcMar>
            <w:vAlign w:val="center"/>
          </w:tcPr>
          <w:p>
            <w:pPr>
              <w:spacing w:after="0"/>
            </w:pPr>
            <w:r>
              <w:rPr>
                <w:sz w:val="17"/>
              </w:rPr>
              <w:t>Lifecycle</w:t>
            </w:r>
          </w:p>
        </w:tc>
        <w:tc>
          <w:tcPr>
            <w:tcW w:type="dxa" w:w="7310"/>
            <w:shd w:fill="EEF5FA"/>
            <w:tcMar>
              <w:top w:w="110" w:type="dxa"/>
              <w:start w:w="120" w:type="dxa"/>
              <w:bottom w:w="110" w:type="dxa"/>
              <w:end w:w="120" w:type="dxa"/>
            </w:tcMar>
            <w:vAlign w:val="center"/>
          </w:tcPr>
          <w:p>
            <w:pPr>
              <w:spacing w:after="0"/>
            </w:pPr>
            <w:r>
              <w:rPr>
                <w:sz w:val="17"/>
              </w:rPr>
              <w:t>Wat betekenen lokale statussen en codes, en is verwijderen functioneel een delete, annulering, intrekking of afsluiting?</w:t>
            </w:r>
          </w:p>
        </w:tc>
      </w:tr>
      <w:tr>
        <w:tc>
          <w:tcPr>
            <w:tcW w:type="dxa" w:w="2050"/>
            <w:tcMar>
              <w:top w:w="110" w:type="dxa"/>
              <w:start w:w="120" w:type="dxa"/>
              <w:bottom w:w="110" w:type="dxa"/>
              <w:end w:w="120" w:type="dxa"/>
            </w:tcMar>
            <w:vAlign w:val="center"/>
          </w:tcPr>
          <w:p>
            <w:pPr>
              <w:spacing w:after="0"/>
            </w:pPr>
            <w:r>
              <w:rPr>
                <w:sz w:val="17"/>
              </w:rPr>
              <w:t>Planning</w:t>
            </w:r>
          </w:p>
        </w:tc>
        <w:tc>
          <w:tcPr>
            <w:tcW w:type="dxa" w:w="7310"/>
            <w:tcMar>
              <w:top w:w="110" w:type="dxa"/>
              <w:start w:w="120" w:type="dxa"/>
              <w:bottom w:w="110" w:type="dxa"/>
              <w:end w:w="120" w:type="dxa"/>
            </w:tcMar>
            <w:vAlign w:val="center"/>
          </w:tcPr>
          <w:p>
            <w:pPr>
              <w:spacing w:after="0"/>
            </w:pPr>
            <w:r>
              <w:rPr>
                <w:sz w:val="17"/>
              </w:rPr>
              <w:t>Zijn direct en indirect afzonderlijke gebeurtenissen of eigenschappen van dezelfde planning?</w:t>
            </w:r>
          </w:p>
        </w:tc>
      </w:tr>
      <w:tr>
        <w:tc>
          <w:tcPr>
            <w:tcW w:type="dxa" w:w="2050"/>
            <w:shd w:fill="EEF5FA"/>
            <w:tcMar>
              <w:top w:w="110" w:type="dxa"/>
              <w:start w:w="120" w:type="dxa"/>
              <w:bottom w:w="110" w:type="dxa"/>
              <w:end w:w="120" w:type="dxa"/>
            </w:tcMar>
            <w:vAlign w:val="center"/>
          </w:tcPr>
          <w:p>
            <w:pPr>
              <w:spacing w:after="0"/>
            </w:pPr>
            <w:r>
              <w:rPr>
                <w:sz w:val="17"/>
              </w:rPr>
              <w:t>Payloads</w:t>
            </w:r>
          </w:p>
        </w:tc>
        <w:tc>
          <w:tcPr>
            <w:tcW w:type="dxa" w:w="7310"/>
            <w:shd w:fill="EEF5FA"/>
            <w:tcMar>
              <w:top w:w="110" w:type="dxa"/>
              <w:start w:w="120" w:type="dxa"/>
              <w:bottom w:w="110" w:type="dxa"/>
              <w:end w:w="120" w:type="dxa"/>
            </w:tcMar>
            <w:vAlign w:val="center"/>
          </w:tcPr>
          <w:p>
            <w:pPr>
              <w:spacing w:after="0"/>
            </w:pPr>
            <w:r>
              <w:rPr>
                <w:sz w:val="17"/>
              </w:rPr>
              <w:t>Welke informatie wordt in de actieve AssetCheck-, 4PS- en Ortec/Vialis-ketens daadwerkelijk verzonden en ontvangen?</w:t>
            </w:r>
          </w:p>
        </w:tc>
      </w:tr>
      <w:tr>
        <w:tc>
          <w:tcPr>
            <w:tcW w:type="dxa" w:w="2050"/>
            <w:tcMar>
              <w:top w:w="110" w:type="dxa"/>
              <w:start w:w="120" w:type="dxa"/>
              <w:bottom w:w="110" w:type="dxa"/>
              <w:end w:w="120" w:type="dxa"/>
            </w:tcMar>
            <w:vAlign w:val="center"/>
          </w:tcPr>
          <w:p>
            <w:pPr>
              <w:spacing w:after="0"/>
            </w:pPr>
            <w:r>
              <w:rPr>
                <w:sz w:val="17"/>
              </w:rPr>
              <w:t>Volumes en service</w:t>
            </w:r>
          </w:p>
        </w:tc>
        <w:tc>
          <w:tcPr>
            <w:tcW w:type="dxa" w:w="7310"/>
            <w:tcMar>
              <w:top w:w="110" w:type="dxa"/>
              <w:start w:w="120" w:type="dxa"/>
              <w:bottom w:w="110" w:type="dxa"/>
              <w:end w:w="120" w:type="dxa"/>
            </w:tcMar>
            <w:vAlign w:val="center"/>
          </w:tcPr>
          <w:p>
            <w:pPr>
              <w:spacing w:after="0"/>
            </w:pPr>
            <w:r>
              <w:rPr>
                <w:sz w:val="17"/>
              </w:rPr>
              <w:t>Welke berichtvolumes, latency, herstelbehoefte en replaygrenzen gelden per capability?</w:t>
            </w:r>
          </w:p>
        </w:tc>
      </w:tr>
      <w:tr>
        <w:tc>
          <w:tcPr>
            <w:tcW w:type="dxa" w:w="2050"/>
            <w:shd w:fill="EEF5FA"/>
            <w:tcMar>
              <w:top w:w="110" w:type="dxa"/>
              <w:start w:w="120" w:type="dxa"/>
              <w:bottom w:w="110" w:type="dxa"/>
              <w:end w:w="120" w:type="dxa"/>
            </w:tcMar>
            <w:vAlign w:val="center"/>
          </w:tcPr>
          <w:p>
            <w:pPr>
              <w:spacing w:after="0"/>
            </w:pPr>
            <w:r>
              <w:rPr>
                <w:sz w:val="17"/>
              </w:rPr>
              <w:t>Gegevensbescherming</w:t>
            </w:r>
          </w:p>
        </w:tc>
        <w:tc>
          <w:tcPr>
            <w:tcW w:type="dxa" w:w="7310"/>
            <w:shd w:fill="EEF5FA"/>
            <w:tcMar>
              <w:top w:w="110" w:type="dxa"/>
              <w:start w:w="120" w:type="dxa"/>
              <w:bottom w:w="110" w:type="dxa"/>
              <w:end w:w="120" w:type="dxa"/>
            </w:tcMar>
            <w:vAlign w:val="center"/>
          </w:tcPr>
          <w:p>
            <w:pPr>
              <w:spacing w:after="0"/>
            </w:pPr>
            <w:r>
              <w:rPr>
                <w:sz w:val="17"/>
              </w:rPr>
              <w:t>Welke persoonsgegevens of vertrouwelijke velden mogen in events worden opgenomen en welke moeten via referentie of query beschikbaar blijven?</w:t>
            </w:r>
          </w:p>
        </w:tc>
      </w:tr>
    </w:tbl>
    <w:p>
      <w:pPr>
        <w:spacing w:after="20"/>
      </w:pPr>
    </w:p>
    <w:p>
      <w:pPr>
        <w:pStyle w:val="Heading1"/>
        <w:keepNext/>
      </w:pPr>
      <w:r>
        <w:t>10. Conclusie</w:t>
      </w:r>
    </w:p>
    <w:p>
      <w:pPr>
        <w:spacing w:after="140"/>
      </w:pPr>
      <w:r>
        <w:t>Het WerkOrder-landschap bestaat niet uit één uniforme uitwisseling, maar uit meerdere capabilities rond dezelfde bedrijfsidentiteit. De belangrijkste segmenten zijn WerkOrder-kern, lifecycle, planning, uitvoering, realisatie en financiële context. Deze segmenten worden nu in verschillende combinaties, formaten en systemen gebruikt.</w:t>
      </w:r>
    </w:p>
    <w:p>
      <w:pPr>
        <w:spacing w:after="140"/>
      </w:pPr>
      <w:r>
        <w:t>De toekomstige inrichting moet daarom niet beginnen bij de bestaande Talend-jobs. Zij moet beginnen bij de businessvragen: welke gebeurtenis of informatiebehoefte bestaat, wie bepaalt de gegevens, welke minimale inhoud is nodig en welke consumenten blijven bestaan. Pas daarna worden het VWIIM-contract, de BEDDA-events, eventuele query-API’s en de adapters ontworpen.</w:t>
      </w:r>
    </w:p>
    <w:tbl>
      <w:tblPr>
        <w:tblW w:type="dxa" w:w="9360"/>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vAlign w:val="center"/>
            <w:shd w:fill="E2F0D9"/>
          </w:tcPr>
          <w:p>
            <w:pPr>
              <w:spacing w:after="0"/>
            </w:pPr>
            <w:r>
              <w:rPr>
                <w:b/>
                <w:color w:val="1F4E79"/>
              </w:rPr>
              <w:t xml:space="preserve">Eindadvies  </w:t>
            </w:r>
            <w:r>
              <w:t>Beslis eerst over betekenis, ownership en noodzakelijke consumenten. Ontwerp daarna een klein en beheersbaar portfolio van WerkOrder-capabilities. Migreer vervolgens per capability en faseer de bijbehorende Talend-onderdelen aantoonbaar uit.</w:t>
            </w:r>
          </w:p>
        </w:tc>
      </w:tr>
    </w:tbl>
    <w:p>
      <w:pPr>
        <w:spacing w:after="20"/>
      </w:pPr>
    </w:p>
    <w:p>
      <w:pPr>
        <w:pStyle w:val="Heading2"/>
        <w:keepNext/>
      </w:pPr>
      <w:r>
        <w:t>Afbakening</w:t>
      </w:r>
    </w:p>
    <w:p>
      <w:pPr>
        <w:spacing w:after="140"/>
      </w:pPr>
      <w:r>
        <w:t>De analyse beschrijft de huidige inrichting en beschikbare uitvoeringshistorie. Voor een definitieve veldmapping en formele architectuurbesluiten zijn het officiële VWIIM WerkOrdermodel, bevestigde data-ownership en representatieve bron- en doelberichten nodig.</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8"/>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B6778"/>
        <w:sz w:val="18"/>
      </w:rPr>
      <w:t>VWI WerkOrder | Integratieanalyse en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WerkOrder integratieanalyse – businessgerichte rapportage</dc:title>
  <dc:subject>Huidige WerkOrder-informatie-uitwisseling en richting voor VWI/BEDDA-herontwerp</dc:subject>
  <dc:creator>Nexus</dc:creator>
  <cp:keywords>WerkOrder, Talend, VWIIM, BEDDA, AIS, integratie, rationalisatie</cp:keywords>
  <dc:description>Businessgerichte versie zonder scanstatistieken of procesmatige analyseverslaglegging.</dc:description>
  <cp:lastModifiedBy/>
  <cp:revision>1</cp:revision>
  <dcterms:created xsi:type="dcterms:W3CDTF">2013-12-23T23:15:00Z</dcterms:created>
  <dcterms:modified xsi:type="dcterms:W3CDTF">2013-12-23T23:15:00Z</dcterms:modified>
  <cp:category/>
</cp:coreProperties>
</file>