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Arial" w:hAnsi="Arial"/>
          <w:b/>
          <w:color w:val="0B2545"/>
          <w:sz w:val="46"/>
        </w:rPr>
        <w:t>WerkOrder — SQL- en mappingevidence</w:t>
      </w:r>
    </w:p>
    <w:p>
      <w:pPr>
        <w:spacing w:after="320"/>
      </w:pPr>
      <w:r>
        <w:rPr>
          <w:rFonts w:ascii="Arial" w:hAnsi="Arial"/>
          <w:color w:val="5B6573"/>
          <w:sz w:val="26"/>
        </w:rPr>
        <w:t>Leesbare technische bijlage bij de POC-herontwerpinput: wat de Talend-code daadwerkelijk laat zien</w:t>
      </w:r>
    </w:p>
    <w:tbl>
      <w:tblPr>
        <w:tblW w:type="dxa" w:w="9360"/>
        <w:tblLayout w:type="fixed"/>
        <w:tblLook w:firstColumn="1" w:firstRow="1" w:lastColumn="0" w:lastRow="0" w:noHBand="0" w:noVBand="1" w:val="04A0"/>
        <w:tblInd w:w="120" w:type="dxa"/>
      </w:tblPr>
      <w:tblGrid>
        <w:gridCol w:w="1800"/>
        <w:gridCol w:w="7560"/>
      </w:tblGrid>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Doel</w:t>
            </w:r>
          </w:p>
        </w:tc>
        <w:tc>
          <w:tcPr>
            <w:tcW w:type="dxa" w:w="7560"/>
            <w:vAlign w:val="center"/>
            <w:tcMar>
              <w:top w:w="80" w:type="dxa"/>
              <w:start w:w="120" w:type="dxa"/>
              <w:bottom w:w="80" w:type="dxa"/>
              <w:end w:w="120" w:type="dxa"/>
            </w:tcMar>
          </w:tcPr>
          <w:p>
            <w:pPr>
              <w:spacing w:after="0"/>
            </w:pPr>
            <w:r>
              <w:rPr>
                <w:rFonts w:ascii="Arial" w:hAnsi="Arial"/>
                <w:color w:val="000000"/>
                <w:sz w:val="19"/>
              </w:rPr>
              <w:t>POC-herontwerpinput voor het business object WerkOrder</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Bron</w:t>
            </w:r>
          </w:p>
        </w:tc>
        <w:tc>
          <w:tcPr>
            <w:tcW w:type="dxa" w:w="7560"/>
            <w:vAlign w:val="center"/>
            <w:tcMar>
              <w:top w:w="80" w:type="dxa"/>
              <w:start w:w="120" w:type="dxa"/>
              <w:bottom w:w="80" w:type="dxa"/>
              <w:end w:w="120" w:type="dxa"/>
            </w:tcMar>
          </w:tcPr>
          <w:p>
            <w:pPr>
              <w:spacing w:after="0"/>
            </w:pPr>
            <w:r>
              <w:rPr>
                <w:rFonts w:ascii="Arial" w:hAnsi="Arial"/>
                <w:color w:val="000000"/>
                <w:sz w:val="19"/>
              </w:rPr>
              <w:t>Werkorder Talend ZIP: scanner-, mapping-, lineage- en gegenereerde analyseartefacten</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Status</w:t>
            </w:r>
          </w:p>
        </w:tc>
        <w:tc>
          <w:tcPr>
            <w:tcW w:type="dxa" w:w="7560"/>
            <w:vAlign w:val="center"/>
            <w:tcMar>
              <w:top w:w="80" w:type="dxa"/>
              <w:start w:w="120" w:type="dxa"/>
              <w:bottom w:w="80" w:type="dxa"/>
              <w:end w:w="120" w:type="dxa"/>
            </w:tcMar>
          </w:tcPr>
          <w:p>
            <w:pPr>
              <w:spacing w:after="0"/>
            </w:pPr>
            <w:r>
              <w:rPr>
                <w:rFonts w:ascii="Arial" w:hAnsi="Arial"/>
                <w:color w:val="000000"/>
                <w:sz w:val="19"/>
              </w:rPr>
              <w:t>Werkdocument — feiten en hypotheses zijn expliciet gescheiden</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Beperking</w:t>
            </w:r>
          </w:p>
        </w:tc>
        <w:tc>
          <w:tcPr>
            <w:tcW w:type="dxa" w:w="7560"/>
            <w:vAlign w:val="center"/>
            <w:tcMar>
              <w:top w:w="80" w:type="dxa"/>
              <w:start w:w="120" w:type="dxa"/>
              <w:bottom w:w="80" w:type="dxa"/>
              <w:end w:w="120" w:type="dxa"/>
            </w:tcMar>
          </w:tcPr>
          <w:p>
            <w:pPr>
              <w:spacing w:after="0"/>
            </w:pPr>
            <w:r>
              <w:rPr>
                <w:rFonts w:ascii="Arial" w:hAnsi="Arial"/>
                <w:color w:val="000000"/>
                <w:sz w:val="19"/>
              </w:rPr>
              <w:t>Geen productie-runtime, live database of VW Informatie Model-contract in de bronset</w:t>
            </w:r>
          </w:p>
        </w:tc>
      </w:tr>
    </w:tbl>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Kernconclusie: </w:t>
            </w:r>
            <w:r>
              <w:rPr>
                <w:rFonts w:ascii="Arial" w:hAnsi="Arial"/>
                <w:color w:val="0B2545"/>
                <w:sz w:val="21"/>
              </w:rPr>
              <w:t>De SQL-laag is niet overal de bron van WerkOrder-inhoud. Bij AssetCheck en de 4PS-keten toont zij vooral procescontrole, logging en toegang. De inhoudelijk sterkste SQL-evidence zit in de Quintiq-planningstroom; de breedste veldmapping zit in Maximo→Quintiq en Maximo→RHM.</w:t>
            </w:r>
          </w:p>
        </w:tc>
      </w:tr>
    </w:tbl>
    <w:p>
      <w:pPr>
        <w:spacing w:after="40"/>
      </w:pPr>
    </w:p>
    <w:p>
      <w:pPr>
        <w:pStyle w:val="Heading1"/>
      </w:pPr>
      <w:r>
        <w:t>1. Leeskader: SQL, mapping en betekenis</w:t>
      </w:r>
    </w:p>
    <w:p>
      <w:r>
        <w:rPr>
          <w:rFonts w:ascii="Arial" w:hAnsi="Arial"/>
          <w:i w:val="0"/>
          <w:color w:val="000000"/>
          <w:sz w:val="22"/>
        </w:rPr>
        <w:t>Deze bijlage onderzoekt de Talend-artefacten op twee niveaus. SQL laat zien wat een job uit een database selecteert, bijwerkt of technisch afhandelt. tMap- en tXMLMap-mappings laten zien welke velden een job in zijn uitgaande of inkomende representatie zet. Samen vormen zij sterke technische evidence, maar zij vormen geen functioneel contract en bewijzen geen formeel data-eigenaarschap.</w:t>
      </w:r>
    </w:p>
    <w:p>
      <w:r>
        <w:rPr>
          <w:rFonts w:ascii="Arial" w:hAnsi="Arial"/>
          <w:i w:val="0"/>
          <w:color w:val="000000"/>
          <w:sz w:val="22"/>
        </w:rPr>
        <w:t>Daarom leest dit document de code als een spoor van feitelijke gegevensbeweging. Waar een kolomnaam of transformatie een betekenis suggereert, wordt die betekenis als interpretatie benoemd. Waar de ZIP geen payload, schema of runtimehistorie bevat, blijft de conclusie expliciet beperkt.</w:t>
      </w:r>
    </w:p>
    <w:tbl>
      <w:tblPr>
        <w:tblStyle w:val="TableGrid"/>
        <w:tblW w:type="dxa" w:w="9360"/>
        <w:tblLayout w:type="fixed"/>
        <w:tblLook w:firstColumn="1" w:firstRow="1" w:lastColumn="0" w:lastRow="0" w:noHBand="0" w:noVBand="1" w:val="04A0"/>
        <w:tblInd w:w="120" w:type="dxa"/>
      </w:tblPr>
      <w:tblGrid>
        <w:gridCol w:w="2100"/>
        <w:gridCol w:w="3900"/>
        <w:gridCol w:w="3360"/>
      </w:tblGrid>
      <w:tr>
        <w:trPr>
          <w:tblHeader w:val="true"/>
        </w:trPr>
        <w:tc>
          <w:tcPr>
            <w:tcW w:type="dxa" w:w="2100"/>
            <w:vAlign w:val="center"/>
            <w:tcMar>
              <w:top w:w="80" w:type="dxa"/>
              <w:start w:w="120" w:type="dxa"/>
              <w:bottom w:w="80" w:type="dxa"/>
              <w:end w:w="120" w:type="dxa"/>
            </w:tcMar>
            <w:shd w:fill="F2F4F7"/>
          </w:tcPr>
          <w:p>
            <w:pPr>
              <w:spacing w:after="0"/>
            </w:pPr>
            <w:r>
              <w:rPr>
                <w:rFonts w:ascii="Arial" w:hAnsi="Arial"/>
                <w:b/>
                <w:color w:val="0B2545"/>
                <w:sz w:val="17"/>
              </w:rPr>
              <w:t>Evidence</w:t>
            </w:r>
          </w:p>
        </w:tc>
        <w:tc>
          <w:tcPr>
            <w:tcW w:type="dxa" w:w="3900"/>
            <w:vAlign w:val="center"/>
            <w:tcMar>
              <w:top w:w="80" w:type="dxa"/>
              <w:start w:w="120" w:type="dxa"/>
              <w:bottom w:w="80" w:type="dxa"/>
              <w:end w:w="120" w:type="dxa"/>
            </w:tcMar>
            <w:shd w:fill="F2F4F7"/>
          </w:tcPr>
          <w:p>
            <w:pPr>
              <w:spacing w:after="0"/>
            </w:pPr>
            <w:r>
              <w:rPr>
                <w:rFonts w:ascii="Arial" w:hAnsi="Arial"/>
                <w:b/>
                <w:color w:val="0B2545"/>
                <w:sz w:val="17"/>
              </w:rPr>
              <w:t>Wat het betrouwbaar laat zien</w:t>
            </w:r>
          </w:p>
        </w:tc>
        <w:tc>
          <w:tcPr>
            <w:tcW w:type="dxa" w:w="3360"/>
            <w:vAlign w:val="center"/>
            <w:tcMar>
              <w:top w:w="80" w:type="dxa"/>
              <w:start w:w="120" w:type="dxa"/>
              <w:bottom w:w="80" w:type="dxa"/>
              <w:end w:w="120" w:type="dxa"/>
            </w:tcMar>
            <w:shd w:fill="F2F4F7"/>
          </w:tcPr>
          <w:p>
            <w:pPr>
              <w:spacing w:after="0"/>
            </w:pPr>
            <w:r>
              <w:rPr>
                <w:rFonts w:ascii="Arial" w:hAnsi="Arial"/>
                <w:b/>
                <w:color w:val="0B2545"/>
                <w:sz w:val="17"/>
              </w:rPr>
              <w:t>Wat het niet zelfstandig bewijst</w:t>
            </w:r>
          </w:p>
        </w:tc>
      </w:tr>
      <w:tr>
        <w:trPr>
          <w:cantSplit/>
        </w:trPr>
        <w:tc>
          <w:tcPr>
            <w:tcW w:type="dxa" w:w="2100"/>
          </w:tcPr>
          <w:p>
            <w:pPr>
              <w:spacing w:after="0"/>
            </w:pPr>
            <w:r>
              <w:rPr>
                <w:rFonts w:ascii="Arial" w:hAnsi="Arial"/>
                <w:color w:val="000000"/>
                <w:sz w:val="17"/>
              </w:rPr>
              <w:t>SQL SELECT / UPDATE</w:t>
            </w:r>
          </w:p>
        </w:tc>
        <w:tc>
          <w:tcPr>
            <w:tcW w:type="dxa" w:w="3900"/>
          </w:tcPr>
          <w:p>
            <w:pPr>
              <w:spacing w:after="0"/>
            </w:pPr>
            <w:r>
              <w:rPr>
                <w:rFonts w:ascii="Arial" w:hAnsi="Arial"/>
                <w:color w:val="000000"/>
                <w:sz w:val="17"/>
              </w:rPr>
              <w:t>Welke tabellen, records en selectiecriteria de job gebruikt.</w:t>
            </w:r>
          </w:p>
        </w:tc>
        <w:tc>
          <w:tcPr>
            <w:tcW w:type="dxa" w:w="3360"/>
          </w:tcPr>
          <w:p>
            <w:pPr>
              <w:spacing w:after="0"/>
            </w:pPr>
            <w:r>
              <w:rPr>
                <w:rFonts w:ascii="Arial" w:hAnsi="Arial"/>
                <w:color w:val="000000"/>
                <w:sz w:val="17"/>
              </w:rPr>
              <w:t>Dat de selectie nog in productie draait of businessmatig juist is.</w:t>
            </w:r>
          </w:p>
        </w:tc>
      </w:tr>
      <w:tr>
        <w:trPr>
          <w:cantSplit/>
        </w:trPr>
        <w:tc>
          <w:tcPr>
            <w:tcW w:type="dxa" w:w="2100"/>
          </w:tcPr>
          <w:p>
            <w:pPr>
              <w:spacing w:after="0"/>
            </w:pPr>
            <w:r>
              <w:rPr>
                <w:rFonts w:ascii="Arial" w:hAnsi="Arial"/>
                <w:color w:val="000000"/>
                <w:sz w:val="17"/>
              </w:rPr>
              <w:t>tMap / tXMLMap</w:t>
            </w:r>
          </w:p>
        </w:tc>
        <w:tc>
          <w:tcPr>
            <w:tcW w:type="dxa" w:w="3900"/>
          </w:tcPr>
          <w:p>
            <w:pPr>
              <w:spacing w:after="0"/>
            </w:pPr>
            <w:r>
              <w:rPr>
                <w:rFonts w:ascii="Arial" w:hAnsi="Arial"/>
                <w:color w:val="000000"/>
                <w:sz w:val="17"/>
              </w:rPr>
              <w:t>Welke bronvelden naar welke doelvelden lopen en welke transformaties plaatsvinden.</w:t>
            </w:r>
          </w:p>
        </w:tc>
        <w:tc>
          <w:tcPr>
            <w:tcW w:type="dxa" w:w="3360"/>
          </w:tcPr>
          <w:p>
            <w:pPr>
              <w:spacing w:after="0"/>
            </w:pPr>
            <w:r>
              <w:rPr>
                <w:rFonts w:ascii="Arial" w:hAnsi="Arial"/>
                <w:color w:val="000000"/>
                <w:sz w:val="17"/>
              </w:rPr>
              <w:t>Dat een doelveld dezelfde betekenis heeft in beide systemen.</w:t>
            </w:r>
          </w:p>
        </w:tc>
      </w:tr>
      <w:tr>
        <w:trPr>
          <w:cantSplit/>
        </w:trPr>
        <w:tc>
          <w:tcPr>
            <w:tcW w:type="dxa" w:w="2100"/>
          </w:tcPr>
          <w:p>
            <w:pPr>
              <w:spacing w:after="0"/>
            </w:pPr>
            <w:r>
              <w:rPr>
                <w:rFonts w:ascii="Arial" w:hAnsi="Arial"/>
                <w:color w:val="000000"/>
                <w:sz w:val="17"/>
              </w:rPr>
              <w:t>Job-/route-naam</w:t>
            </w:r>
          </w:p>
        </w:tc>
        <w:tc>
          <w:tcPr>
            <w:tcW w:type="dxa" w:w="3900"/>
          </w:tcPr>
          <w:p>
            <w:pPr>
              <w:spacing w:after="0"/>
            </w:pPr>
            <w:r>
              <w:rPr>
                <w:rFonts w:ascii="Arial" w:hAnsi="Arial"/>
                <w:color w:val="000000"/>
                <w:sz w:val="17"/>
              </w:rPr>
              <w:t>Een technische aanwijzing voor doel en richting.</w:t>
            </w:r>
          </w:p>
        </w:tc>
        <w:tc>
          <w:tcPr>
            <w:tcW w:type="dxa" w:w="3360"/>
          </w:tcPr>
          <w:p>
            <w:pPr>
              <w:spacing w:after="0"/>
            </w:pPr>
            <w:r>
              <w:rPr>
                <w:rFonts w:ascii="Arial" w:hAnsi="Arial"/>
                <w:color w:val="000000"/>
                <w:sz w:val="17"/>
              </w:rPr>
              <w:t>Een actuele businessflow of formele auteursrol.</w:t>
            </w:r>
          </w:p>
        </w:tc>
      </w:tr>
      <w:tr>
        <w:trPr>
          <w:cantSplit/>
        </w:trPr>
        <w:tc>
          <w:tcPr>
            <w:tcW w:type="dxa" w:w="2100"/>
          </w:tcPr>
          <w:p>
            <w:pPr>
              <w:spacing w:after="0"/>
            </w:pPr>
            <w:r>
              <w:rPr>
                <w:rFonts w:ascii="Arial" w:hAnsi="Arial"/>
                <w:color w:val="000000"/>
                <w:sz w:val="17"/>
              </w:rPr>
              <w:t>Proces-/logtabellen</w:t>
            </w:r>
          </w:p>
        </w:tc>
        <w:tc>
          <w:tcPr>
            <w:tcW w:type="dxa" w:w="3900"/>
          </w:tcPr>
          <w:p>
            <w:pPr>
              <w:spacing w:after="0"/>
            </w:pPr>
            <w:r>
              <w:rPr>
                <w:rFonts w:ascii="Arial" w:hAnsi="Arial"/>
                <w:color w:val="000000"/>
                <w:sz w:val="17"/>
              </w:rPr>
              <w:t>Deduplicatie, watermarking, logging of afhandeling.</w:t>
            </w:r>
          </w:p>
        </w:tc>
        <w:tc>
          <w:tcPr>
            <w:tcW w:type="dxa" w:w="3360"/>
          </w:tcPr>
          <w:p>
            <w:pPr>
              <w:spacing w:after="0"/>
            </w:pPr>
            <w:r>
              <w:rPr>
                <w:rFonts w:ascii="Arial" w:hAnsi="Arial"/>
                <w:color w:val="000000"/>
                <w:sz w:val="17"/>
              </w:rPr>
              <w:t>WerkOrder-businessinhoud; die zit daar meestal niet in.</w:t>
            </w:r>
          </w:p>
        </w:tc>
      </w:tr>
    </w:tbl>
    <w:p>
      <w:pPr>
        <w:spacing w:after="40"/>
      </w:pPr>
    </w:p>
    <w:p>
      <w:pPr>
        <w:pStyle w:val="Heading1"/>
      </w:pPr>
      <w:r>
        <w:t>2. De SQL vertelt twee verschillende verhalen</w:t>
      </w:r>
    </w:p>
    <w:p>
      <w:r>
        <w:rPr>
          <w:rFonts w:ascii="Arial" w:hAnsi="Arial"/>
          <w:i w:val="0"/>
          <w:color w:val="000000"/>
          <w:sz w:val="22"/>
        </w:rPr>
        <w:t>De meeste onderzochte jobs gebruiken de tabel Processes om een procescode, een laatste uitvoertijd of een proces-id op te halen en daarna een nieuwe last-run tijd vast te leggen. Maximo2RHM leegt daarnaast een tijdelijke MaximoWorkorders-tabel. Maximo2Quintiq gebruikt ProcessData om eerder verwerkte WerkOrder-records te herkennen of te markeren. Dit zijn reële en relevante technische regels — zij beschermen tegen dubbelverwerking en ondersteunen incrementele verwerking — maar zij beschrijven niet de inhoud van de WerkOrder zelf.</w:t>
      </w:r>
    </w:p>
    <w:p>
      <w:r>
        <w:rPr>
          <w:rFonts w:ascii="Arial" w:hAnsi="Arial"/>
          <w:i w:val="0"/>
          <w:color w:val="000000"/>
          <w:sz w:val="22"/>
        </w:rPr>
        <w:t>Ook in de AssetCheck-jobs is de zichtbare SQL hoofdzakelijk proces- of toegangstechnisch. GetWorkOrder, GetWorkOrders en SendWorkOrderUpdate zoeken een ProcessID op basis van ProcessCode en niet-verwijderde procesrecords. Maximo2AssetCheck bevat daarnaast een gebruikers-/credentialsgerelateerde query; die is bewust niet in dit dossier opgenomen en levert geen WerkOrder-semantiek op. Er zijn geen geheime waarden gebruikt of gepubliceerd.</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7A5A00"/>
                <w:sz w:val="21"/>
              </w:rPr>
              <w:t xml:space="preserve">Betekenis voor de POC: </w:t>
            </w:r>
            <w:r>
              <w:rPr>
                <w:rFonts w:ascii="Arial" w:hAnsi="Arial"/>
                <w:color w:val="7A5A00"/>
                <w:sz w:val="21"/>
              </w:rPr>
              <w:t>Een databasecomponent in Talend is geen bewijs dat de database de bron van WerkOrder is. In deze flows komt de businesspayload soms via REST, XML of een tussenbericht binnen; SQL verzorgt dan vooral de orkestratie eromheen.</w:t>
            </w:r>
          </w:p>
        </w:tc>
      </w:tr>
    </w:tbl>
    <w:p>
      <w:pPr>
        <w:spacing w:after="40"/>
      </w:pPr>
    </w:p>
    <w:p>
      <w:pPr>
        <w:pStyle w:val="Heading1"/>
      </w:pPr>
      <w:r>
        <w:t>3. Quintiq → Maximo: concrete planninglogica in SQL</w:t>
      </w:r>
    </w:p>
    <w:p>
      <w:r>
        <w:rPr>
          <w:rFonts w:ascii="Arial" w:hAnsi="Arial"/>
          <w:i w:val="0"/>
          <w:color w:val="000000"/>
          <w:sz w:val="22"/>
        </w:rPr>
        <w:t>De job Quintiq2Maximo_PlannedWorkOrder bevat de duidelijkste inhoudelijke selectie voor een geplande WerkOrder. De job leest WerkOrder-records die sinds de laatste run zijn gewijzigd, waarvan de status WOP is, waarvoor een Trigger van het type Workorder bestaat en waarvoor ten minste één CapacityTask is vrijgegeven. Werkorders met een verzoek tot verwijdering worden uitgesloten. Technisch gezien is dit dus geen volledige dagelijkse snapshot, maar een incrementele selectie van werkorders die aan planning-gerelateerde voorwaarden voldoen.</w:t>
      </w:r>
    </w:p>
    <w:p>
      <w:pPr>
        <w:spacing w:before="80" w:after="100"/>
      </w:pPr>
      <w:r>
        <w:rPr>
          <w:rFonts w:ascii="Arial" w:hAnsi="Arial"/>
          <w:b/>
          <w:color w:val="5B6573"/>
          <w:sz w:val="17"/>
        </w:rPr>
        <w:t xml:space="preserve">Bron/evidence: </w:t>
      </w:r>
      <w:r>
        <w:rPr>
          <w:rFonts w:ascii="Arial" w:hAnsi="Arial"/>
          <w:i/>
          <w:color w:val="5B6573"/>
          <w:sz w:val="17"/>
        </w:rPr>
        <w:t>Quintiq2Maximo_PlannedWorkOrder_0.9.item, tMSSqlInput_3: Workorder + Trigger; filter op TriggerType 'Workorder', QQUPDATE &gt; LastRunDateTime, Workorder.Status = 'WOP', vrijgegeven CapacityTask en geen IsRequestToDelete.</w:t>
      </w:r>
    </w:p>
    <w:p>
      <w:r>
        <w:rPr>
          <w:rFonts w:ascii="Arial" w:hAnsi="Arial"/>
          <w:i w:val="0"/>
          <w:color w:val="000000"/>
          <w:sz w:val="22"/>
        </w:rPr>
        <w:t>Voor elke geselecteerde WerkOrder berekent de job vervolgens planningsvelden. De monitoringcode BC wordt primair uit WorkPackage gelezen en valt terug op CapacityTask wanneer nodig. SCHEDSTART wordt de vroegste start van een vrijgegeven CapacityTask; wanneer die ontbreekt, valt de job terug op de starttijd van het eerste WorkPackage. SCHEDFINISH volgt dezelfde logica met de laatste eindtijd van CapacityTask en een fallback naar WorkPackage. WOPM6 wordt als opmerking uit WorkPackage meegenomen.</w:t>
      </w:r>
    </w:p>
    <w:p>
      <w:pPr>
        <w:spacing w:before="80" w:after="100"/>
      </w:pPr>
      <w:r>
        <w:rPr>
          <w:rFonts w:ascii="Arial" w:hAnsi="Arial"/>
          <w:b/>
          <w:color w:val="5B6573"/>
          <w:sz w:val="17"/>
        </w:rPr>
        <w:t xml:space="preserve">Bron/evidence: </w:t>
      </w:r>
      <w:r>
        <w:rPr>
          <w:rFonts w:ascii="Arial" w:hAnsi="Arial"/>
          <w:i/>
          <w:color w:val="5B6573"/>
          <w:sz w:val="17"/>
        </w:rPr>
        <w:t>Quintiq2Maximo_PlannedWorkOrder_0.9.item, tMSSqlInput_4: WorkPackage/CapacityTask, BC, SCHEDSTART, SCHEDFINISH en WOPM6, gescopeerd op de geselecteerde WorkOrderNr.</w:t>
      </w:r>
    </w:p>
    <w:p>
      <w:r>
        <w:rPr>
          <w:rFonts w:ascii="Arial" w:hAnsi="Arial"/>
          <w:i w:val="0"/>
          <w:color w:val="000000"/>
          <w:sz w:val="22"/>
        </w:rPr>
        <w:t>Na verwerking markeert de job de bijbehorende Trigger als verwerkt en schrijft hij de laatste runtijd weg. Dat is een technische afleverbevestiging of watermark-mechanisme. Het betekent niet zonder aanvullende businessbevestiging dat Maximo de planning functioneel heeft geaccepteerd, alleen dat Talend de geselecteerde record als verwerkt heeft geregistreerd.</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Sterke interpretatie: </w:t>
            </w:r>
            <w:r>
              <w:rPr>
                <w:rFonts w:ascii="Arial" w:hAnsi="Arial"/>
                <w:color w:val="0B2545"/>
                <w:sz w:val="21"/>
              </w:rPr>
              <w:t>Deze flow is sterke evidence dat Quintiq planninginformatie teruglevert aan Maximo: een planningvenster, monitoringcode en opmerking, binnen een afgebakende selectie van geplande/vrijgegeven WerkOrders. De precieze betekenis van status WOP en de formele autoriteit voor die planning moeten nog worden gevalideerd.</w:t>
            </w:r>
          </w:p>
        </w:tc>
      </w:tr>
    </w:tbl>
    <w:p>
      <w:pPr>
        <w:spacing w:after="40"/>
      </w:pPr>
    </w:p>
    <w:p>
      <w:pPr>
        <w:pStyle w:val="Heading1"/>
      </w:pPr>
      <w:r>
        <w:t>4. Quintiq-feedback: een tweede terugspoor</w:t>
      </w:r>
    </w:p>
    <w:p>
      <w:r>
        <w:rPr>
          <w:rFonts w:ascii="Arial" w:hAnsi="Arial"/>
          <w:i w:val="0"/>
          <w:color w:val="000000"/>
          <w:sz w:val="22"/>
        </w:rPr>
        <w:t>Quintiq2Maximo_WorkOrderPickedUpXML leest WorkOrder-records waarvoor QQProcessed is gevuld en bekijkt procesdata die nog niet als verwijderd is aangemerkt. Samen met de jobnaam is dat een duidelijke technische aanwijzing voor een afzonderlijke feedback- of pickup-stroom. De ZIP bewijst daarmee het bestaan van een aanvullend lifecycle-signaal naast de PlannedWorkOrder-stroom.</w:t>
      </w:r>
    </w:p>
    <w:p>
      <w:r>
        <w:rPr>
          <w:rFonts w:ascii="Arial" w:hAnsi="Arial"/>
          <w:i w:val="0"/>
          <w:color w:val="000000"/>
          <w:sz w:val="22"/>
        </w:rPr>
        <w:t>De semantische betekenis van QQProcessed wordt echter niet door de SQL zelf verklaard. Het kan een flag, een verwerkingsmoment of een externe processtatus zijn. Dit moet daarom niet als 'WerkOrder opgepakt' in een toekomstig contract worden overgenomen voordat Quintiq- en business-eigenaren hebben bevestigd wat de waarde functioneel betekent en wie haar mag zetten.</w:t>
      </w:r>
    </w:p>
    <w:p>
      <w:pPr>
        <w:spacing w:before="80" w:after="100"/>
      </w:pPr>
      <w:r>
        <w:rPr>
          <w:rFonts w:ascii="Arial" w:hAnsi="Arial"/>
          <w:b/>
          <w:color w:val="5B6573"/>
          <w:sz w:val="17"/>
        </w:rPr>
        <w:t xml:space="preserve">Bron/evidence: </w:t>
      </w:r>
      <w:r>
        <w:rPr>
          <w:rFonts w:ascii="Arial" w:hAnsi="Arial"/>
          <w:i/>
          <w:color w:val="5B6573"/>
          <w:sz w:val="17"/>
        </w:rPr>
        <w:t>Quintiq2Maximo_WorkOrderPickedUpXML_0.9.item: selectie van SiteID, WorkorderNr en QQProcessed uit Workorder, gefilterd op QQProcessed IS NOT NULL; procesvariabelen en procesdata worden daarnaast gebruikt voor afhandeling.</w:t>
      </w:r>
    </w:p>
    <w:p>
      <w:pPr>
        <w:pStyle w:val="Heading1"/>
      </w:pPr>
      <w:r>
        <w:t>5. Maximo → Quintiq: de breedste zichtbare veldmapping</w:t>
      </w:r>
    </w:p>
    <w:p>
      <w:r>
        <w:rPr>
          <w:rFonts w:ascii="Arial" w:hAnsi="Arial"/>
          <w:i w:val="0"/>
          <w:color w:val="000000"/>
          <w:sz w:val="22"/>
        </w:rPr>
        <w:t>De Maximo2Quintiq_Workorder-tMap zet een herkenbare WerkOrder-representatie op. WONUM wordt WorkOrderNr; GLACCOUNT wordt ProjectNr; BC wordt MonitoringCode; TARGSTARTDATE en TARGCOMPDATE worden DateStart en DateEnd. DESCRIPTION, STATUS, LOCATION, WORKTYPE, SITEID en verschillende aanvullende Maximo-attributen worden eveneens expliciet doorgegeven. De mapping laat daarmee zien dat de uitwisseling verder gaat dan enkel een statusupdate: zij bevat identificatie, planning, locatie, classificatie, organisatorische context en rolgegevens.</w:t>
      </w:r>
    </w:p>
    <w:p>
      <w:r>
        <w:rPr>
          <w:rFonts w:ascii="Arial" w:hAnsi="Arial"/>
          <w:i w:val="0"/>
          <w:color w:val="000000"/>
          <w:sz w:val="22"/>
        </w:rPr>
        <w:t>Twee transformaties verdienen bijzondere aandacht. ESTDUR wordt naar Cycle vertaald door uren door acht te delen en af te ronden, met aparte afhandeling voor nul en ontbrekende waarden. LEAD wordt naar een vaste lengte met voorloopnullen genormaliseerd. De eerste regel kan een businessconventie over werkdagen bevatten; de tweede kan een doelformaatregel zijn. Beide horen in het toekomstige ontwerp expliciet te worden gemaakt, zodat zij niet verborgen blijven in een integratietool.</w:t>
      </w:r>
    </w:p>
    <w:tbl>
      <w:tblPr>
        <w:tblStyle w:val="TableGrid"/>
        <w:tblW w:type="dxa" w:w="9360"/>
        <w:tblLayout w:type="fixed"/>
        <w:tblLook w:firstColumn="1" w:firstRow="1" w:lastColumn="0" w:lastRow="0" w:noHBand="0" w:noVBand="1" w:val="04A0"/>
        <w:tblInd w:w="120" w:type="dxa"/>
      </w:tblPr>
      <w:tblGrid>
        <w:gridCol w:w="1750"/>
        <w:gridCol w:w="1850"/>
        <w:gridCol w:w="2950"/>
        <w:gridCol w:w="2810"/>
      </w:tblGrid>
      <w:tr>
        <w:trPr>
          <w:tblHeader w:val="true"/>
        </w:trPr>
        <w:tc>
          <w:tcPr>
            <w:tcW w:type="dxa" w:w="1750"/>
            <w:vAlign w:val="center"/>
            <w:tcMar>
              <w:top w:w="80" w:type="dxa"/>
              <w:start w:w="120" w:type="dxa"/>
              <w:bottom w:w="80" w:type="dxa"/>
              <w:end w:w="120" w:type="dxa"/>
            </w:tcMar>
            <w:shd w:fill="F2F4F7"/>
          </w:tcPr>
          <w:p>
            <w:pPr>
              <w:spacing w:after="0"/>
            </w:pPr>
            <w:r>
              <w:rPr>
                <w:rFonts w:ascii="Arial" w:hAnsi="Arial"/>
                <w:b/>
                <w:color w:val="0B2545"/>
                <w:sz w:val="16"/>
              </w:rPr>
              <w:t>Maximo-veld</w:t>
            </w:r>
          </w:p>
        </w:tc>
        <w:tc>
          <w:tcPr>
            <w:tcW w:type="dxa" w:w="1850"/>
            <w:vAlign w:val="center"/>
            <w:tcMar>
              <w:top w:w="80" w:type="dxa"/>
              <w:start w:w="120" w:type="dxa"/>
              <w:bottom w:w="80" w:type="dxa"/>
              <w:end w:w="120" w:type="dxa"/>
            </w:tcMar>
            <w:shd w:fill="F2F4F7"/>
          </w:tcPr>
          <w:p>
            <w:pPr>
              <w:spacing w:after="0"/>
            </w:pPr>
            <w:r>
              <w:rPr>
                <w:rFonts w:ascii="Arial" w:hAnsi="Arial"/>
                <w:b/>
                <w:color w:val="0B2545"/>
                <w:sz w:val="16"/>
              </w:rPr>
              <w:t>Doelveld in Quintiq</w:t>
            </w:r>
          </w:p>
        </w:tc>
        <w:tc>
          <w:tcPr>
            <w:tcW w:type="dxa" w:w="2950"/>
            <w:vAlign w:val="center"/>
            <w:tcMar>
              <w:top w:w="80" w:type="dxa"/>
              <w:start w:w="120" w:type="dxa"/>
              <w:bottom w:w="80" w:type="dxa"/>
              <w:end w:w="120" w:type="dxa"/>
            </w:tcMar>
            <w:shd w:fill="F2F4F7"/>
          </w:tcPr>
          <w:p>
            <w:pPr>
              <w:spacing w:after="0"/>
            </w:pPr>
            <w:r>
              <w:rPr>
                <w:rFonts w:ascii="Arial" w:hAnsi="Arial"/>
                <w:b/>
                <w:color w:val="0B2545"/>
                <w:sz w:val="16"/>
              </w:rPr>
              <w:t>Technische bewerking</w:t>
            </w:r>
          </w:p>
        </w:tc>
        <w:tc>
          <w:tcPr>
            <w:tcW w:type="dxa" w:w="2810"/>
            <w:vAlign w:val="center"/>
            <w:tcMar>
              <w:top w:w="80" w:type="dxa"/>
              <w:start w:w="120" w:type="dxa"/>
              <w:bottom w:w="80" w:type="dxa"/>
              <w:end w:w="120" w:type="dxa"/>
            </w:tcMar>
            <w:shd w:fill="F2F4F7"/>
          </w:tcPr>
          <w:p>
            <w:pPr>
              <w:spacing w:after="0"/>
            </w:pPr>
            <w:r>
              <w:rPr>
                <w:rFonts w:ascii="Arial" w:hAnsi="Arial"/>
                <w:b/>
                <w:color w:val="0B2545"/>
                <w:sz w:val="16"/>
              </w:rPr>
              <w:t>Voorlopige betekenis</w:t>
            </w:r>
          </w:p>
        </w:tc>
      </w:tr>
      <w:tr>
        <w:trPr>
          <w:cantSplit/>
        </w:trPr>
        <w:tc>
          <w:tcPr>
            <w:tcW w:type="dxa" w:w="1750"/>
          </w:tcPr>
          <w:p>
            <w:pPr>
              <w:spacing w:after="0"/>
            </w:pPr>
            <w:r>
              <w:rPr>
                <w:rFonts w:ascii="Arial" w:hAnsi="Arial"/>
                <w:color w:val="000000"/>
                <w:sz w:val="16"/>
              </w:rPr>
              <w:t>WONUM</w:t>
            </w:r>
          </w:p>
        </w:tc>
        <w:tc>
          <w:tcPr>
            <w:tcW w:type="dxa" w:w="1850"/>
          </w:tcPr>
          <w:p>
            <w:pPr>
              <w:spacing w:after="0"/>
            </w:pPr>
            <w:r>
              <w:rPr>
                <w:rFonts w:ascii="Arial" w:hAnsi="Arial"/>
                <w:color w:val="000000"/>
                <w:sz w:val="16"/>
              </w:rPr>
              <w:t>WorkOrderNr</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WerkOrder-identificatie</w:t>
            </w:r>
          </w:p>
        </w:tc>
      </w:tr>
      <w:tr>
        <w:trPr>
          <w:cantSplit/>
        </w:trPr>
        <w:tc>
          <w:tcPr>
            <w:tcW w:type="dxa" w:w="1750"/>
          </w:tcPr>
          <w:p>
            <w:pPr>
              <w:spacing w:after="0"/>
            </w:pPr>
            <w:r>
              <w:rPr>
                <w:rFonts w:ascii="Arial" w:hAnsi="Arial"/>
                <w:color w:val="000000"/>
                <w:sz w:val="16"/>
              </w:rPr>
              <w:t>GLACCOUNT</w:t>
            </w:r>
          </w:p>
        </w:tc>
        <w:tc>
          <w:tcPr>
            <w:tcW w:type="dxa" w:w="1850"/>
          </w:tcPr>
          <w:p>
            <w:pPr>
              <w:spacing w:after="0"/>
            </w:pPr>
            <w:r>
              <w:rPr>
                <w:rFonts w:ascii="Arial" w:hAnsi="Arial"/>
                <w:color w:val="000000"/>
                <w:sz w:val="16"/>
              </w:rPr>
              <w:t>ProjectNr</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Project-/financiële referentie; semantiek bevestigen</w:t>
            </w:r>
          </w:p>
        </w:tc>
      </w:tr>
      <w:tr>
        <w:trPr>
          <w:cantSplit/>
        </w:trPr>
        <w:tc>
          <w:tcPr>
            <w:tcW w:type="dxa" w:w="1750"/>
          </w:tcPr>
          <w:p>
            <w:pPr>
              <w:spacing w:after="0"/>
            </w:pPr>
            <w:r>
              <w:rPr>
                <w:rFonts w:ascii="Arial" w:hAnsi="Arial"/>
                <w:color w:val="000000"/>
                <w:sz w:val="16"/>
              </w:rPr>
              <w:t>BC</w:t>
            </w:r>
          </w:p>
        </w:tc>
        <w:tc>
          <w:tcPr>
            <w:tcW w:type="dxa" w:w="1850"/>
          </w:tcPr>
          <w:p>
            <w:pPr>
              <w:spacing w:after="0"/>
            </w:pPr>
            <w:r>
              <w:rPr>
                <w:rFonts w:ascii="Arial" w:hAnsi="Arial"/>
                <w:color w:val="000000"/>
                <w:sz w:val="16"/>
              </w:rPr>
              <w:t>MonitoringCode</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Monitoring-/classificatiecode; codelijst nodig</w:t>
            </w:r>
          </w:p>
        </w:tc>
      </w:tr>
      <w:tr>
        <w:trPr>
          <w:cantSplit/>
        </w:trPr>
        <w:tc>
          <w:tcPr>
            <w:tcW w:type="dxa" w:w="1750"/>
          </w:tcPr>
          <w:p>
            <w:pPr>
              <w:spacing w:after="0"/>
            </w:pPr>
            <w:r>
              <w:rPr>
                <w:rFonts w:ascii="Arial" w:hAnsi="Arial"/>
                <w:color w:val="000000"/>
                <w:sz w:val="16"/>
              </w:rPr>
              <w:t>TARGSTARTDATE</w:t>
            </w:r>
          </w:p>
        </w:tc>
        <w:tc>
          <w:tcPr>
            <w:tcW w:type="dxa" w:w="1850"/>
          </w:tcPr>
          <w:p>
            <w:pPr>
              <w:spacing w:after="0"/>
            </w:pPr>
            <w:r>
              <w:rPr>
                <w:rFonts w:ascii="Arial" w:hAnsi="Arial"/>
                <w:color w:val="000000"/>
                <w:sz w:val="16"/>
              </w:rPr>
              <w:t>DateStart</w:t>
            </w:r>
          </w:p>
        </w:tc>
        <w:tc>
          <w:tcPr>
            <w:tcW w:type="dxa" w:w="2950"/>
          </w:tcPr>
          <w:p>
            <w:pPr>
              <w:spacing w:after="0"/>
            </w:pPr>
            <w:r>
              <w:rPr>
                <w:rFonts w:ascii="Arial" w:hAnsi="Arial"/>
                <w:color w:val="000000"/>
                <w:sz w:val="16"/>
              </w:rPr>
              <w:t>Parse + format</w:t>
            </w:r>
          </w:p>
        </w:tc>
        <w:tc>
          <w:tcPr>
            <w:tcW w:type="dxa" w:w="2810"/>
          </w:tcPr>
          <w:p>
            <w:pPr>
              <w:spacing w:after="0"/>
            </w:pPr>
            <w:r>
              <w:rPr>
                <w:rFonts w:ascii="Arial" w:hAnsi="Arial"/>
                <w:color w:val="000000"/>
                <w:sz w:val="16"/>
              </w:rPr>
              <w:t>Gepland beginmoment</w:t>
            </w:r>
          </w:p>
        </w:tc>
      </w:tr>
      <w:tr>
        <w:trPr>
          <w:cantSplit/>
        </w:trPr>
        <w:tc>
          <w:tcPr>
            <w:tcW w:type="dxa" w:w="1750"/>
          </w:tcPr>
          <w:p>
            <w:pPr>
              <w:spacing w:after="0"/>
            </w:pPr>
            <w:r>
              <w:rPr>
                <w:rFonts w:ascii="Arial" w:hAnsi="Arial"/>
                <w:color w:val="000000"/>
                <w:sz w:val="16"/>
              </w:rPr>
              <w:t>TARGCOMPDATE</w:t>
            </w:r>
          </w:p>
        </w:tc>
        <w:tc>
          <w:tcPr>
            <w:tcW w:type="dxa" w:w="1850"/>
          </w:tcPr>
          <w:p>
            <w:pPr>
              <w:spacing w:after="0"/>
            </w:pPr>
            <w:r>
              <w:rPr>
                <w:rFonts w:ascii="Arial" w:hAnsi="Arial"/>
                <w:color w:val="000000"/>
                <w:sz w:val="16"/>
              </w:rPr>
              <w:t>DateEnd</w:t>
            </w:r>
          </w:p>
        </w:tc>
        <w:tc>
          <w:tcPr>
            <w:tcW w:type="dxa" w:w="2950"/>
          </w:tcPr>
          <w:p>
            <w:pPr>
              <w:spacing w:after="0"/>
            </w:pPr>
            <w:r>
              <w:rPr>
                <w:rFonts w:ascii="Arial" w:hAnsi="Arial"/>
                <w:color w:val="000000"/>
                <w:sz w:val="16"/>
              </w:rPr>
              <w:t>Parse + format</w:t>
            </w:r>
          </w:p>
        </w:tc>
        <w:tc>
          <w:tcPr>
            <w:tcW w:type="dxa" w:w="2810"/>
          </w:tcPr>
          <w:p>
            <w:pPr>
              <w:spacing w:after="0"/>
            </w:pPr>
            <w:r>
              <w:rPr>
                <w:rFonts w:ascii="Arial" w:hAnsi="Arial"/>
                <w:color w:val="000000"/>
                <w:sz w:val="16"/>
              </w:rPr>
              <w:t>Gepland eindmoment</w:t>
            </w:r>
          </w:p>
        </w:tc>
      </w:tr>
      <w:tr>
        <w:trPr>
          <w:cantSplit/>
        </w:trPr>
        <w:tc>
          <w:tcPr>
            <w:tcW w:type="dxa" w:w="1750"/>
          </w:tcPr>
          <w:p>
            <w:pPr>
              <w:spacing w:after="0"/>
            </w:pPr>
            <w:r>
              <w:rPr>
                <w:rFonts w:ascii="Arial" w:hAnsi="Arial"/>
                <w:color w:val="000000"/>
                <w:sz w:val="16"/>
              </w:rPr>
              <w:t>DESCRIPTION</w:t>
            </w:r>
          </w:p>
        </w:tc>
        <w:tc>
          <w:tcPr>
            <w:tcW w:type="dxa" w:w="1850"/>
          </w:tcPr>
          <w:p>
            <w:pPr>
              <w:spacing w:after="0"/>
            </w:pPr>
            <w:r>
              <w:rPr>
                <w:rFonts w:ascii="Arial" w:hAnsi="Arial"/>
                <w:color w:val="000000"/>
                <w:sz w:val="16"/>
              </w:rPr>
              <w:t>Name</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Omschrijving/titel</w:t>
            </w:r>
          </w:p>
        </w:tc>
      </w:tr>
      <w:tr>
        <w:trPr>
          <w:cantSplit/>
        </w:trPr>
        <w:tc>
          <w:tcPr>
            <w:tcW w:type="dxa" w:w="1750"/>
          </w:tcPr>
          <w:p>
            <w:pPr>
              <w:spacing w:after="0"/>
            </w:pPr>
            <w:r>
              <w:rPr>
                <w:rFonts w:ascii="Arial" w:hAnsi="Arial"/>
                <w:color w:val="000000"/>
                <w:sz w:val="16"/>
              </w:rPr>
              <w:t>ESTDUR</w:t>
            </w:r>
          </w:p>
        </w:tc>
        <w:tc>
          <w:tcPr>
            <w:tcW w:type="dxa" w:w="1850"/>
          </w:tcPr>
          <w:p>
            <w:pPr>
              <w:spacing w:after="0"/>
            </w:pPr>
            <w:r>
              <w:rPr>
                <w:rFonts w:ascii="Arial" w:hAnsi="Arial"/>
                <w:color w:val="000000"/>
                <w:sz w:val="16"/>
              </w:rPr>
              <w:t>Cycle</w:t>
            </w:r>
          </w:p>
        </w:tc>
        <w:tc>
          <w:tcPr>
            <w:tcW w:type="dxa" w:w="2950"/>
          </w:tcPr>
          <w:p>
            <w:pPr>
              <w:spacing w:after="0"/>
            </w:pPr>
            <w:r>
              <w:rPr>
                <w:rFonts w:ascii="Arial" w:hAnsi="Arial"/>
                <w:color w:val="000000"/>
                <w:sz w:val="16"/>
              </w:rPr>
              <w:t>0/ontbrekend apart; anders uren ÷ 8, afgerond</w:t>
            </w:r>
          </w:p>
        </w:tc>
        <w:tc>
          <w:tcPr>
            <w:tcW w:type="dxa" w:w="2810"/>
          </w:tcPr>
          <w:p>
            <w:pPr>
              <w:spacing w:after="0"/>
            </w:pPr>
            <w:r>
              <w:rPr>
                <w:rFonts w:ascii="Arial" w:hAnsi="Arial"/>
                <w:color w:val="000000"/>
                <w:sz w:val="16"/>
              </w:rPr>
              <w:t>Duur-/cyclusafleiding; businessregel bevestigen</w:t>
            </w:r>
          </w:p>
        </w:tc>
      </w:tr>
      <w:tr>
        <w:trPr>
          <w:cantSplit/>
        </w:trPr>
        <w:tc>
          <w:tcPr>
            <w:tcW w:type="dxa" w:w="1750"/>
          </w:tcPr>
          <w:p>
            <w:pPr>
              <w:spacing w:after="0"/>
            </w:pPr>
            <w:r>
              <w:rPr>
                <w:rFonts w:ascii="Arial" w:hAnsi="Arial"/>
                <w:color w:val="000000"/>
                <w:sz w:val="16"/>
              </w:rPr>
              <w:t>STATUS</w:t>
            </w:r>
          </w:p>
        </w:tc>
        <w:tc>
          <w:tcPr>
            <w:tcW w:type="dxa" w:w="1850"/>
          </w:tcPr>
          <w:p>
            <w:pPr>
              <w:spacing w:after="0"/>
            </w:pPr>
            <w:r>
              <w:rPr>
                <w:rFonts w:ascii="Arial" w:hAnsi="Arial"/>
                <w:color w:val="000000"/>
                <w:sz w:val="16"/>
              </w:rPr>
              <w:t>Status</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WerkOrder-status</w:t>
            </w:r>
          </w:p>
        </w:tc>
      </w:tr>
      <w:tr>
        <w:trPr>
          <w:cantSplit/>
        </w:trPr>
        <w:tc>
          <w:tcPr>
            <w:tcW w:type="dxa" w:w="1750"/>
          </w:tcPr>
          <w:p>
            <w:pPr>
              <w:spacing w:after="0"/>
            </w:pPr>
            <w:r>
              <w:rPr>
                <w:rFonts w:ascii="Arial" w:hAnsi="Arial"/>
                <w:color w:val="000000"/>
                <w:sz w:val="16"/>
              </w:rPr>
              <w:t>LOCATION, WOLO5</w:t>
            </w:r>
          </w:p>
        </w:tc>
        <w:tc>
          <w:tcPr>
            <w:tcW w:type="dxa" w:w="1850"/>
          </w:tcPr>
          <w:p>
            <w:pPr>
              <w:spacing w:after="0"/>
            </w:pPr>
            <w:r>
              <w:rPr>
                <w:rFonts w:ascii="Arial" w:hAnsi="Arial"/>
                <w:color w:val="000000"/>
                <w:sz w:val="16"/>
              </w:rPr>
              <w:t>Location, GEOCode</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Locatie/geografische context</w:t>
            </w:r>
          </w:p>
        </w:tc>
      </w:tr>
      <w:tr>
        <w:trPr>
          <w:cantSplit/>
        </w:trPr>
        <w:tc>
          <w:tcPr>
            <w:tcW w:type="dxa" w:w="1750"/>
          </w:tcPr>
          <w:p>
            <w:pPr>
              <w:spacing w:after="0"/>
            </w:pPr>
            <w:r>
              <w:rPr>
                <w:rFonts w:ascii="Arial" w:hAnsi="Arial"/>
                <w:color w:val="000000"/>
                <w:sz w:val="16"/>
              </w:rPr>
              <w:t>WORKTYPE, WO3</w:t>
            </w:r>
          </w:p>
        </w:tc>
        <w:tc>
          <w:tcPr>
            <w:tcW w:type="dxa" w:w="1850"/>
          </w:tcPr>
          <w:p>
            <w:pPr>
              <w:spacing w:after="0"/>
            </w:pPr>
            <w:r>
              <w:rPr>
                <w:rFonts w:ascii="Arial" w:hAnsi="Arial"/>
                <w:color w:val="000000"/>
                <w:sz w:val="16"/>
              </w:rPr>
              <w:t>TypeWork, TechnicalField</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Werksoort/technisch kenmerk</w:t>
            </w:r>
          </w:p>
        </w:tc>
      </w:tr>
      <w:tr>
        <w:trPr>
          <w:cantSplit/>
        </w:trPr>
        <w:tc>
          <w:tcPr>
            <w:tcW w:type="dxa" w:w="1750"/>
          </w:tcPr>
          <w:p>
            <w:pPr>
              <w:spacing w:after="0"/>
            </w:pPr>
            <w:r>
              <w:rPr>
                <w:rFonts w:ascii="Arial" w:hAnsi="Arial"/>
                <w:color w:val="000000"/>
                <w:sz w:val="16"/>
              </w:rPr>
              <w:t>WOPM5, WOPM1, WOLO4</w:t>
            </w:r>
          </w:p>
        </w:tc>
        <w:tc>
          <w:tcPr>
            <w:tcW w:type="dxa" w:w="1850"/>
          </w:tcPr>
          <w:p>
            <w:pPr>
              <w:spacing w:after="0"/>
            </w:pPr>
            <w:r>
              <w:rPr>
                <w:rFonts w:ascii="Arial" w:hAnsi="Arial"/>
                <w:color w:val="000000"/>
                <w:sz w:val="16"/>
              </w:rPr>
              <w:t>Remark, ShiftType, ContractArea</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Aanvullende planning-/contractgegevens</w:t>
            </w:r>
          </w:p>
        </w:tc>
      </w:tr>
      <w:tr>
        <w:trPr>
          <w:cantSplit/>
        </w:trPr>
        <w:tc>
          <w:tcPr>
            <w:tcW w:type="dxa" w:w="1750"/>
          </w:tcPr>
          <w:p>
            <w:pPr>
              <w:spacing w:after="0"/>
            </w:pPr>
            <w:r>
              <w:rPr>
                <w:rFonts w:ascii="Arial" w:hAnsi="Arial"/>
                <w:color w:val="000000"/>
                <w:sz w:val="16"/>
              </w:rPr>
              <w:t>LEAD, SUPERVISOR</w:t>
            </w:r>
          </w:p>
        </w:tc>
        <w:tc>
          <w:tcPr>
            <w:tcW w:type="dxa" w:w="1850"/>
          </w:tcPr>
          <w:p>
            <w:pPr>
              <w:spacing w:after="0"/>
            </w:pPr>
            <w:r>
              <w:rPr>
                <w:rFonts w:ascii="Arial" w:hAnsi="Arial"/>
                <w:color w:val="000000"/>
                <w:sz w:val="16"/>
              </w:rPr>
              <w:t>LeadEmployeeNr, SupervisorEmployeeNr</w:t>
            </w:r>
          </w:p>
        </w:tc>
        <w:tc>
          <w:tcPr>
            <w:tcW w:type="dxa" w:w="2950"/>
          </w:tcPr>
          <w:p>
            <w:pPr>
              <w:spacing w:after="0"/>
            </w:pPr>
            <w:r>
              <w:rPr>
                <w:rFonts w:ascii="Arial" w:hAnsi="Arial"/>
                <w:color w:val="000000"/>
                <w:sz w:val="16"/>
              </w:rPr>
              <w:t>LEAD aangevuld met voorloopnullen</w:t>
            </w:r>
          </w:p>
        </w:tc>
        <w:tc>
          <w:tcPr>
            <w:tcW w:type="dxa" w:w="2810"/>
          </w:tcPr>
          <w:p>
            <w:pPr>
              <w:spacing w:after="0"/>
            </w:pPr>
            <w:r>
              <w:rPr>
                <w:rFonts w:ascii="Arial" w:hAnsi="Arial"/>
                <w:color w:val="000000"/>
                <w:sz w:val="16"/>
              </w:rPr>
              <w:t>Rollen/bemensing</w:t>
            </w:r>
          </w:p>
        </w:tc>
      </w:tr>
      <w:tr>
        <w:trPr>
          <w:cantSplit/>
        </w:trPr>
        <w:tc>
          <w:tcPr>
            <w:tcW w:type="dxa" w:w="1750"/>
          </w:tcPr>
          <w:p>
            <w:pPr>
              <w:spacing w:after="0"/>
            </w:pPr>
            <w:r>
              <w:rPr>
                <w:rFonts w:ascii="Arial" w:hAnsi="Arial"/>
                <w:color w:val="000000"/>
                <w:sz w:val="16"/>
              </w:rPr>
              <w:t>WO14</w:t>
            </w:r>
          </w:p>
        </w:tc>
        <w:tc>
          <w:tcPr>
            <w:tcW w:type="dxa" w:w="1850"/>
          </w:tcPr>
          <w:p>
            <w:pPr>
              <w:spacing w:after="0"/>
            </w:pPr>
            <w:r>
              <w:rPr>
                <w:rFonts w:ascii="Arial" w:hAnsi="Arial"/>
                <w:color w:val="000000"/>
                <w:sz w:val="16"/>
              </w:rPr>
              <w:t>TRS</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Niet geduid; VWI-besluit nodig</w:t>
            </w:r>
          </w:p>
        </w:tc>
      </w:tr>
    </w:tbl>
    <w:p>
      <w:pPr>
        <w:spacing w:after="40"/>
      </w:pPr>
    </w:p>
    <w:p>
      <w:pPr>
        <w:spacing w:before="80" w:after="100"/>
      </w:pPr>
      <w:r>
        <w:rPr>
          <w:rFonts w:ascii="Arial" w:hAnsi="Arial"/>
          <w:b/>
          <w:color w:val="5B6573"/>
          <w:sz w:val="17"/>
        </w:rPr>
        <w:t xml:space="preserve">Bron/evidence: </w:t>
      </w:r>
      <w:r>
        <w:rPr>
          <w:rFonts w:ascii="Arial" w:hAnsi="Arial"/>
          <w:i/>
          <w:color w:val="5B6573"/>
          <w:sz w:val="17"/>
        </w:rPr>
        <w:t>Maximo2Quintiq_Workorder_0.1.item, tMap: Output.*-expressies. Lege mappings voor PostalCode, ContactTel en QQProcessed zijn niet als datalevering geïnterpreteerd.</w:t>
      </w:r>
    </w:p>
    <w:p>
      <w:pPr>
        <w:pStyle w:val="Heading1"/>
      </w:pPr>
      <w:r>
        <w:t>6. Maximo → RHM: een compact WerkOrder-profiel</w:t>
      </w:r>
    </w:p>
    <w:p>
      <w:r>
        <w:rPr>
          <w:rFonts w:ascii="Arial" w:hAnsi="Arial"/>
          <w:i w:val="0"/>
          <w:color w:val="000000"/>
          <w:sz w:val="22"/>
        </w:rPr>
        <w:t>Maximo2RHM_Workorders mapt een compacter, maar nog steeds betekenisvol WerkOrder-profiel. Het bevat het nummer, organisatie en site, omschrijving, status en wijzigdatum, een historie-indicatie, een parentrelatie, een project-/grootboekveld en een monitoringcode. changedate wordt zowel StatusDate als DATUM en wordt daarbij geparsed; historyflag wordt naar 0 of 1 vertaald.</w:t>
      </w:r>
    </w:p>
    <w:p>
      <w:r>
        <w:rPr>
          <w:rFonts w:ascii="Arial" w:hAnsi="Arial"/>
          <w:i w:val="0"/>
          <w:color w:val="000000"/>
          <w:sz w:val="22"/>
        </w:rPr>
        <w:t>Dit toont aantoonbaar dat RHM ten minste een WerkOrder-deelobject ontvangt met identiteit, organisatorische context, status en hiërarchie. De mapping laat niet zien of RHM alleen leest, verrijkt of terugschrijft. Ook is ProjectNr als doelnaam onvoldoende om GLACCOUNT functioneel als project te kwalificeren; dat is precies het type semantische verschil dat het VWI-model moet oplossen.</w:t>
      </w:r>
    </w:p>
    <w:tbl>
      <w:tblPr>
        <w:tblStyle w:val="TableGrid"/>
        <w:tblW w:type="dxa" w:w="9360"/>
        <w:tblLayout w:type="fixed"/>
        <w:tblLook w:firstColumn="1" w:firstRow="1" w:lastColumn="0" w:lastRow="0" w:noHBand="0" w:noVBand="1" w:val="04A0"/>
        <w:tblInd w:w="120" w:type="dxa"/>
      </w:tblPr>
      <w:tblGrid>
        <w:gridCol w:w="2000"/>
        <w:gridCol w:w="1800"/>
        <w:gridCol w:w="2700"/>
        <w:gridCol w:w="2860"/>
      </w:tblGrid>
      <w:tr>
        <w:trPr>
          <w:tblHeader w:val="true"/>
        </w:trPr>
        <w:tc>
          <w:tcPr>
            <w:tcW w:type="dxa" w:w="2000"/>
            <w:vAlign w:val="center"/>
            <w:tcMar>
              <w:top w:w="80" w:type="dxa"/>
              <w:start w:w="120" w:type="dxa"/>
              <w:bottom w:w="80" w:type="dxa"/>
              <w:end w:w="120" w:type="dxa"/>
            </w:tcMar>
            <w:shd w:fill="F2F4F7"/>
          </w:tcPr>
          <w:p>
            <w:pPr>
              <w:spacing w:after="0"/>
            </w:pPr>
            <w:r>
              <w:rPr>
                <w:rFonts w:ascii="Arial" w:hAnsi="Arial"/>
                <w:b/>
                <w:color w:val="0B2545"/>
                <w:sz w:val="16"/>
              </w:rPr>
              <w:t>Bron uit Maximo</w:t>
            </w:r>
          </w:p>
        </w:tc>
        <w:tc>
          <w:tcPr>
            <w:tcW w:type="dxa" w:w="1800"/>
            <w:vAlign w:val="center"/>
            <w:tcMar>
              <w:top w:w="80" w:type="dxa"/>
              <w:start w:w="120" w:type="dxa"/>
              <w:bottom w:w="80" w:type="dxa"/>
              <w:end w:w="120" w:type="dxa"/>
            </w:tcMar>
            <w:shd w:fill="F2F4F7"/>
          </w:tcPr>
          <w:p>
            <w:pPr>
              <w:spacing w:after="0"/>
            </w:pPr>
            <w:r>
              <w:rPr>
                <w:rFonts w:ascii="Arial" w:hAnsi="Arial"/>
                <w:b/>
                <w:color w:val="0B2545"/>
                <w:sz w:val="16"/>
              </w:rPr>
              <w:t>RHM-doel</w:t>
            </w:r>
          </w:p>
        </w:tc>
        <w:tc>
          <w:tcPr>
            <w:tcW w:type="dxa" w:w="2700"/>
            <w:vAlign w:val="center"/>
            <w:tcMar>
              <w:top w:w="80" w:type="dxa"/>
              <w:start w:w="120" w:type="dxa"/>
              <w:bottom w:w="80" w:type="dxa"/>
              <w:end w:w="120" w:type="dxa"/>
            </w:tcMar>
            <w:shd w:fill="F2F4F7"/>
          </w:tcPr>
          <w:p>
            <w:pPr>
              <w:spacing w:after="0"/>
            </w:pPr>
            <w:r>
              <w:rPr>
                <w:rFonts w:ascii="Arial" w:hAnsi="Arial"/>
                <w:b/>
                <w:color w:val="0B2545"/>
                <w:sz w:val="16"/>
              </w:rPr>
              <w:t>Zichtbare transformatie</w:t>
            </w:r>
          </w:p>
        </w:tc>
        <w:tc>
          <w:tcPr>
            <w:tcW w:type="dxa" w:w="2860"/>
            <w:vAlign w:val="center"/>
            <w:tcMar>
              <w:top w:w="80" w:type="dxa"/>
              <w:start w:w="120" w:type="dxa"/>
              <w:bottom w:w="80" w:type="dxa"/>
              <w:end w:w="120" w:type="dxa"/>
            </w:tcMar>
            <w:shd w:fill="F2F4F7"/>
          </w:tcPr>
          <w:p>
            <w:pPr>
              <w:spacing w:after="0"/>
            </w:pPr>
            <w:r>
              <w:rPr>
                <w:rFonts w:ascii="Arial" w:hAnsi="Arial"/>
                <w:b/>
                <w:color w:val="0B2545"/>
                <w:sz w:val="16"/>
              </w:rPr>
              <w:t>Nodige businessbevestiging</w:t>
            </w:r>
          </w:p>
        </w:tc>
      </w:tr>
      <w:tr>
        <w:trPr>
          <w:cantSplit/>
        </w:trPr>
        <w:tc>
          <w:tcPr>
            <w:tcW w:type="dxa" w:w="2000"/>
          </w:tcPr>
          <w:p>
            <w:pPr>
              <w:spacing w:after="0"/>
            </w:pPr>
            <w:r>
              <w:rPr>
                <w:rFonts w:ascii="Arial" w:hAnsi="Arial"/>
                <w:color w:val="000000"/>
                <w:sz w:val="16"/>
              </w:rPr>
              <w:t>wonum</w:t>
            </w:r>
          </w:p>
        </w:tc>
        <w:tc>
          <w:tcPr>
            <w:tcW w:type="dxa" w:w="1800"/>
          </w:tcPr>
          <w:p>
            <w:pPr>
              <w:spacing w:after="0"/>
            </w:pPr>
            <w:r>
              <w:rPr>
                <w:rFonts w:ascii="Arial" w:hAnsi="Arial"/>
                <w:color w:val="000000"/>
                <w:sz w:val="16"/>
              </w:rPr>
              <w:t>WorkorderNr</w:t>
            </w:r>
          </w:p>
        </w:tc>
        <w:tc>
          <w:tcPr>
            <w:tcW w:type="dxa" w:w="2700"/>
          </w:tcPr>
          <w:p>
            <w:pPr>
              <w:spacing w:after="0"/>
            </w:pPr>
            <w:r>
              <w:rPr>
                <w:rFonts w:ascii="Arial" w:hAnsi="Arial"/>
                <w:color w:val="000000"/>
                <w:sz w:val="16"/>
              </w:rPr>
              <w:t>Direct</w:t>
            </w:r>
          </w:p>
        </w:tc>
        <w:tc>
          <w:tcPr>
            <w:tcW w:type="dxa" w:w="2860"/>
          </w:tcPr>
          <w:p>
            <w:pPr>
              <w:spacing w:after="0"/>
            </w:pPr>
            <w:r>
              <w:rPr>
                <w:rFonts w:ascii="Arial" w:hAnsi="Arial"/>
                <w:color w:val="000000"/>
                <w:sz w:val="16"/>
              </w:rPr>
              <w:t>Uniciteit en sleutelcontext</w:t>
            </w:r>
          </w:p>
        </w:tc>
      </w:tr>
      <w:tr>
        <w:trPr>
          <w:cantSplit/>
        </w:trPr>
        <w:tc>
          <w:tcPr>
            <w:tcW w:type="dxa" w:w="2000"/>
          </w:tcPr>
          <w:p>
            <w:pPr>
              <w:spacing w:after="0"/>
            </w:pPr>
            <w:r>
              <w:rPr>
                <w:rFonts w:ascii="Arial" w:hAnsi="Arial"/>
                <w:color w:val="000000"/>
                <w:sz w:val="16"/>
              </w:rPr>
              <w:t>orgid / siteid</w:t>
            </w:r>
          </w:p>
        </w:tc>
        <w:tc>
          <w:tcPr>
            <w:tcW w:type="dxa" w:w="1800"/>
          </w:tcPr>
          <w:p>
            <w:pPr>
              <w:spacing w:after="0"/>
            </w:pPr>
            <w:r>
              <w:rPr>
                <w:rFonts w:ascii="Arial" w:hAnsi="Arial"/>
                <w:color w:val="000000"/>
                <w:sz w:val="16"/>
              </w:rPr>
              <w:t>OrgId / SiteId</w:t>
            </w:r>
          </w:p>
        </w:tc>
        <w:tc>
          <w:tcPr>
            <w:tcW w:type="dxa" w:w="2700"/>
          </w:tcPr>
          <w:p>
            <w:pPr>
              <w:spacing w:after="0"/>
            </w:pPr>
            <w:r>
              <w:rPr>
                <w:rFonts w:ascii="Arial" w:hAnsi="Arial"/>
                <w:color w:val="000000"/>
                <w:sz w:val="16"/>
              </w:rPr>
              <w:t>Direct</w:t>
            </w:r>
          </w:p>
        </w:tc>
        <w:tc>
          <w:tcPr>
            <w:tcW w:type="dxa" w:w="2860"/>
          </w:tcPr>
          <w:p>
            <w:pPr>
              <w:spacing w:after="0"/>
            </w:pPr>
            <w:r>
              <w:rPr>
                <w:rFonts w:ascii="Arial" w:hAnsi="Arial"/>
                <w:color w:val="000000"/>
                <w:sz w:val="16"/>
              </w:rPr>
              <w:t>Administratieve vs. uitvoeringscontext</w:t>
            </w:r>
          </w:p>
        </w:tc>
      </w:tr>
      <w:tr>
        <w:trPr>
          <w:cantSplit/>
        </w:trPr>
        <w:tc>
          <w:tcPr>
            <w:tcW w:type="dxa" w:w="2000"/>
          </w:tcPr>
          <w:p>
            <w:pPr>
              <w:spacing w:after="0"/>
            </w:pPr>
            <w:r>
              <w:rPr>
                <w:rFonts w:ascii="Arial" w:hAnsi="Arial"/>
                <w:color w:val="000000"/>
                <w:sz w:val="16"/>
              </w:rPr>
              <w:t>description</w:t>
            </w:r>
          </w:p>
        </w:tc>
        <w:tc>
          <w:tcPr>
            <w:tcW w:type="dxa" w:w="1800"/>
          </w:tcPr>
          <w:p>
            <w:pPr>
              <w:spacing w:after="0"/>
            </w:pPr>
            <w:r>
              <w:rPr>
                <w:rFonts w:ascii="Arial" w:hAnsi="Arial"/>
                <w:color w:val="000000"/>
                <w:sz w:val="16"/>
              </w:rPr>
              <w:t>Description</w:t>
            </w:r>
          </w:p>
        </w:tc>
        <w:tc>
          <w:tcPr>
            <w:tcW w:type="dxa" w:w="2700"/>
          </w:tcPr>
          <w:p>
            <w:pPr>
              <w:spacing w:after="0"/>
            </w:pPr>
            <w:r>
              <w:rPr>
                <w:rFonts w:ascii="Arial" w:hAnsi="Arial"/>
                <w:color w:val="000000"/>
                <w:sz w:val="16"/>
              </w:rPr>
              <w:t>Direct</w:t>
            </w:r>
          </w:p>
        </w:tc>
        <w:tc>
          <w:tcPr>
            <w:tcW w:type="dxa" w:w="2860"/>
          </w:tcPr>
          <w:p>
            <w:pPr>
              <w:spacing w:after="0"/>
            </w:pPr>
            <w:r>
              <w:rPr>
                <w:rFonts w:ascii="Arial" w:hAnsi="Arial"/>
                <w:color w:val="000000"/>
                <w:sz w:val="16"/>
              </w:rPr>
              <w:t>Omschrijvingfunctie</w:t>
            </w:r>
          </w:p>
        </w:tc>
      </w:tr>
      <w:tr>
        <w:trPr>
          <w:cantSplit/>
        </w:trPr>
        <w:tc>
          <w:tcPr>
            <w:tcW w:type="dxa" w:w="2000"/>
          </w:tcPr>
          <w:p>
            <w:pPr>
              <w:spacing w:after="0"/>
            </w:pPr>
            <w:r>
              <w:rPr>
                <w:rFonts w:ascii="Arial" w:hAnsi="Arial"/>
                <w:color w:val="000000"/>
                <w:sz w:val="16"/>
              </w:rPr>
              <w:t>status / changedate</w:t>
            </w:r>
          </w:p>
        </w:tc>
        <w:tc>
          <w:tcPr>
            <w:tcW w:type="dxa" w:w="1800"/>
          </w:tcPr>
          <w:p>
            <w:pPr>
              <w:spacing w:after="0"/>
            </w:pPr>
            <w:r>
              <w:rPr>
                <w:rFonts w:ascii="Arial" w:hAnsi="Arial"/>
                <w:color w:val="000000"/>
                <w:sz w:val="16"/>
              </w:rPr>
              <w:t>Status / StatusDate / DATUM</w:t>
            </w:r>
          </w:p>
        </w:tc>
        <w:tc>
          <w:tcPr>
            <w:tcW w:type="dxa" w:w="2700"/>
          </w:tcPr>
          <w:p>
            <w:pPr>
              <w:spacing w:after="0"/>
            </w:pPr>
            <w:r>
              <w:rPr>
                <w:rFonts w:ascii="Arial" w:hAnsi="Arial"/>
                <w:color w:val="000000"/>
                <w:sz w:val="16"/>
              </w:rPr>
              <w:t>Datum geparsed</w:t>
            </w:r>
          </w:p>
        </w:tc>
        <w:tc>
          <w:tcPr>
            <w:tcW w:type="dxa" w:w="2860"/>
          </w:tcPr>
          <w:p>
            <w:pPr>
              <w:spacing w:after="0"/>
            </w:pPr>
            <w:r>
              <w:rPr>
                <w:rFonts w:ascii="Arial" w:hAnsi="Arial"/>
                <w:color w:val="000000"/>
                <w:sz w:val="16"/>
              </w:rPr>
              <w:t>Canonieke status en datumsoort</w:t>
            </w:r>
          </w:p>
        </w:tc>
      </w:tr>
      <w:tr>
        <w:trPr>
          <w:cantSplit/>
        </w:trPr>
        <w:tc>
          <w:tcPr>
            <w:tcW w:type="dxa" w:w="2000"/>
          </w:tcPr>
          <w:p>
            <w:pPr>
              <w:spacing w:after="0"/>
            </w:pPr>
            <w:r>
              <w:rPr>
                <w:rFonts w:ascii="Arial" w:hAnsi="Arial"/>
                <w:color w:val="000000"/>
                <w:sz w:val="16"/>
              </w:rPr>
              <w:t>historyflag</w:t>
            </w:r>
          </w:p>
        </w:tc>
        <w:tc>
          <w:tcPr>
            <w:tcW w:type="dxa" w:w="1800"/>
          </w:tcPr>
          <w:p>
            <w:pPr>
              <w:spacing w:after="0"/>
            </w:pPr>
            <w:r>
              <w:rPr>
                <w:rFonts w:ascii="Arial" w:hAnsi="Arial"/>
                <w:color w:val="000000"/>
                <w:sz w:val="16"/>
              </w:rPr>
              <w:t>HistoryFlag</w:t>
            </w:r>
          </w:p>
        </w:tc>
        <w:tc>
          <w:tcPr>
            <w:tcW w:type="dxa" w:w="2700"/>
          </w:tcPr>
          <w:p>
            <w:pPr>
              <w:spacing w:after="0"/>
            </w:pPr>
            <w:r>
              <w:rPr>
                <w:rFonts w:ascii="Arial" w:hAnsi="Arial"/>
                <w:color w:val="000000"/>
                <w:sz w:val="16"/>
              </w:rPr>
              <w:t>false→0, true→1</w:t>
            </w:r>
          </w:p>
        </w:tc>
        <w:tc>
          <w:tcPr>
            <w:tcW w:type="dxa" w:w="2860"/>
          </w:tcPr>
          <w:p>
            <w:pPr>
              <w:spacing w:after="0"/>
            </w:pPr>
            <w:r>
              <w:rPr>
                <w:rFonts w:ascii="Arial" w:hAnsi="Arial"/>
                <w:color w:val="000000"/>
                <w:sz w:val="16"/>
              </w:rPr>
              <w:t>Businesshistorie of synchronisatievlag</w:t>
            </w:r>
          </w:p>
        </w:tc>
      </w:tr>
      <w:tr>
        <w:trPr>
          <w:cantSplit/>
        </w:trPr>
        <w:tc>
          <w:tcPr>
            <w:tcW w:type="dxa" w:w="2000"/>
          </w:tcPr>
          <w:p>
            <w:pPr>
              <w:spacing w:after="0"/>
            </w:pPr>
            <w:r>
              <w:rPr>
                <w:rFonts w:ascii="Arial" w:hAnsi="Arial"/>
                <w:color w:val="000000"/>
                <w:sz w:val="16"/>
              </w:rPr>
              <w:t>parent</w:t>
            </w:r>
          </w:p>
        </w:tc>
        <w:tc>
          <w:tcPr>
            <w:tcW w:type="dxa" w:w="1800"/>
          </w:tcPr>
          <w:p>
            <w:pPr>
              <w:spacing w:after="0"/>
            </w:pPr>
            <w:r>
              <w:rPr>
                <w:rFonts w:ascii="Arial" w:hAnsi="Arial"/>
                <w:color w:val="000000"/>
                <w:sz w:val="16"/>
              </w:rPr>
              <w:t>Parent</w:t>
            </w:r>
          </w:p>
        </w:tc>
        <w:tc>
          <w:tcPr>
            <w:tcW w:type="dxa" w:w="2700"/>
          </w:tcPr>
          <w:p>
            <w:pPr>
              <w:spacing w:after="0"/>
            </w:pPr>
            <w:r>
              <w:rPr>
                <w:rFonts w:ascii="Arial" w:hAnsi="Arial"/>
                <w:color w:val="000000"/>
                <w:sz w:val="16"/>
              </w:rPr>
              <w:t>Direct</w:t>
            </w:r>
          </w:p>
        </w:tc>
        <w:tc>
          <w:tcPr>
            <w:tcW w:type="dxa" w:w="2860"/>
          </w:tcPr>
          <w:p>
            <w:pPr>
              <w:spacing w:after="0"/>
            </w:pPr>
            <w:r>
              <w:rPr>
                <w:rFonts w:ascii="Arial" w:hAnsi="Arial"/>
                <w:color w:val="000000"/>
                <w:sz w:val="16"/>
              </w:rPr>
              <w:t>Type relatie</w:t>
            </w:r>
          </w:p>
        </w:tc>
      </w:tr>
      <w:tr>
        <w:trPr>
          <w:cantSplit/>
        </w:trPr>
        <w:tc>
          <w:tcPr>
            <w:tcW w:type="dxa" w:w="2000"/>
          </w:tcPr>
          <w:p>
            <w:pPr>
              <w:spacing w:after="0"/>
            </w:pPr>
            <w:r>
              <w:rPr>
                <w:rFonts w:ascii="Arial" w:hAnsi="Arial"/>
                <w:color w:val="000000"/>
                <w:sz w:val="16"/>
              </w:rPr>
              <w:t>glaccount / bc</w:t>
            </w:r>
          </w:p>
        </w:tc>
        <w:tc>
          <w:tcPr>
            <w:tcW w:type="dxa" w:w="1800"/>
          </w:tcPr>
          <w:p>
            <w:pPr>
              <w:spacing w:after="0"/>
            </w:pPr>
            <w:r>
              <w:rPr>
                <w:rFonts w:ascii="Arial" w:hAnsi="Arial"/>
                <w:color w:val="000000"/>
                <w:sz w:val="16"/>
              </w:rPr>
              <w:t>ProjectNr / MonitoringCode</w:t>
            </w:r>
          </w:p>
        </w:tc>
        <w:tc>
          <w:tcPr>
            <w:tcW w:type="dxa" w:w="2700"/>
          </w:tcPr>
          <w:p>
            <w:pPr>
              <w:spacing w:after="0"/>
            </w:pPr>
            <w:r>
              <w:rPr>
                <w:rFonts w:ascii="Arial" w:hAnsi="Arial"/>
                <w:color w:val="000000"/>
                <w:sz w:val="16"/>
              </w:rPr>
              <w:t>Direct</w:t>
            </w:r>
          </w:p>
        </w:tc>
        <w:tc>
          <w:tcPr>
            <w:tcW w:type="dxa" w:w="2860"/>
          </w:tcPr>
          <w:p>
            <w:pPr>
              <w:spacing w:after="0"/>
            </w:pPr>
            <w:r>
              <w:rPr>
                <w:rFonts w:ascii="Arial" w:hAnsi="Arial"/>
                <w:color w:val="000000"/>
                <w:sz w:val="16"/>
              </w:rPr>
              <w:t>Financiële en codebetekenis</w:t>
            </w:r>
          </w:p>
        </w:tc>
      </w:tr>
    </w:tbl>
    <w:p>
      <w:pPr>
        <w:spacing w:after="40"/>
      </w:pPr>
    </w:p>
    <w:p>
      <w:pPr>
        <w:spacing w:before="80" w:after="100"/>
      </w:pPr>
      <w:r>
        <w:rPr>
          <w:rFonts w:ascii="Arial" w:hAnsi="Arial"/>
          <w:b/>
          <w:color w:val="5B6573"/>
          <w:sz w:val="17"/>
        </w:rPr>
        <w:t xml:space="preserve">Bron/evidence: </w:t>
      </w:r>
      <w:r>
        <w:rPr>
          <w:rFonts w:ascii="Arial" w:hAnsi="Arial"/>
          <w:i/>
          <w:color w:val="5B6573"/>
          <w:sz w:val="17"/>
        </w:rPr>
        <w:t>Maximo2RHM_Workorders_0.4.item, tMap naar WriteToRhm.*. Process- en tijdelijke-tabellen-SQL is niet als businessveldbron geclassificeerd.</w:t>
      </w:r>
    </w:p>
    <w:p>
      <w:pPr>
        <w:pStyle w:val="Heading1"/>
      </w:pPr>
      <w:r>
        <w:t>7. Wat SQL níet heeft opgeleverd</w:t>
      </w:r>
    </w:p>
    <w:p>
      <w:r>
        <w:rPr>
          <w:rFonts w:ascii="Arial" w:hAnsi="Arial"/>
          <w:i w:val="0"/>
          <w:color w:val="000000"/>
          <w:sz w:val="22"/>
        </w:rPr>
        <w:t>Voor Maximo→4PS en de AssetCheck-keten is in de onderzochte componentparameters geen uitgebreide business-SQL gevonden. Dat is geen ontbrekende analyse, maar een uitkomst: de code laat zien dat de businessinhoud in deze stromen waarschijnlijk via XML, JSON, REST of berichten wordt gedragen en dat de zichtbare SQL zich richt op procesbesturing. Voor RHM2Smartflow zijn SQL-statements parametrisch via contextwaarden aangeleverd; de concrete querytekst is niet gematerialiseerd in de scan en kan daarom niet betrouwbaar worden geïnterpreteerd.</w:t>
      </w:r>
    </w:p>
    <w:p>
      <w:r>
        <w:rPr>
          <w:rFonts w:ascii="Arial" w:hAnsi="Arial"/>
          <w:i w:val="0"/>
          <w:color w:val="000000"/>
          <w:sz w:val="22"/>
        </w:rPr>
        <w:t>De veilige volgende evidencebron is dus niet een bredere operations-vragenlijst. Het zijn de feitelijke payloadschema's, veilige voorbeeldberichten, de onopgeloste contextqueries en de VWI WerkOrder-definitie. Daarmee kan de mapping per objectsegment worden afgemaakt zonder te doen alsof Talend-transportdetails de businessbetekenis bepalen.</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7A5A00"/>
                <w:sz w:val="21"/>
              </w:rPr>
              <w:t xml:space="preserve">Belangrijke grens: </w:t>
            </w:r>
            <w:r>
              <w:rPr>
                <w:rFonts w:ascii="Arial" w:hAnsi="Arial"/>
                <w:color w:val="7A5A00"/>
                <w:sz w:val="21"/>
              </w:rPr>
              <w:t>Geen schema-definities, live database, productievolumes of queryresultaten zijn in deze POC-bronset gebruikt. Deze bijlage analyseert uitsluitend statische code/configuratie en mappingmetadata.</w:t>
            </w:r>
          </w:p>
        </w:tc>
      </w:tr>
    </w:tbl>
    <w:p>
      <w:pPr>
        <w:spacing w:after="40"/>
      </w:pPr>
    </w:p>
    <w:p>
      <w:pPr>
        <w:pStyle w:val="Heading1"/>
      </w:pPr>
      <w:r>
        <w:t>8. Consequentie voor het toekomstige WerkOrder-contract</w:t>
      </w:r>
    </w:p>
    <w:p>
      <w:r>
        <w:rPr>
          <w:rFonts w:ascii="Arial" w:hAnsi="Arial"/>
          <w:i w:val="0"/>
          <w:color w:val="000000"/>
          <w:sz w:val="22"/>
        </w:rPr>
        <w:t>De gecombineerde evidence ondersteunt een ontwerp met een gemeenschappelijke WerkOrder-kern en afzonderlijke, expliciete uitwisselingssegmenten. De kern bevat ten minste identificatie, status, omschrijving, organisatie/site, locatie en de relevante hiërarchie. Planning hoort als eigen segment met gepland begin/einde, duur, werksoort, capaciteit/rollen en planningstatus. Financiële/monitoring-/contractinformatie hoort alleen in het contract wanneer de VWI-semantiek en de werkelijke consumenten dit bevestigen.</w:t>
      </w:r>
    </w:p>
    <w:p>
      <w:r>
        <w:rPr>
          <w:rFonts w:ascii="Arial" w:hAnsi="Arial"/>
          <w:i w:val="0"/>
          <w:color w:val="000000"/>
          <w:sz w:val="22"/>
        </w:rPr>
        <w:t>De Quintiq-SQL maakt bovendien duidelijk dat 'geplande WerkOrder' selectieregels heeft: gewijzigde records, planningstatus, vrijgave en geen verwijderverzoek. In een 3-tier ontwerp horen die regels zichtbaar te worden als capability en contractvoorwaarden — bijvoorbeeld een planning-publicatie of -command — en niet verborgen als MSSQL-filters in een Talend-job. De tMap-transformaties voor datum, duur en personeelsnummer verdienen dezelfde behandeling: behoud ze alleen wanneer de business ze bevestigt, en leg ze dan centraal en testbaar vast.</w:t>
      </w:r>
    </w:p>
    <w:p>
      <w:pPr>
        <w:pStyle w:val="Heading1"/>
      </w:pPr>
      <w:r>
        <w:t>9. Minimale validatie om dit formeel te maken</w:t>
      </w:r>
    </w:p>
    <w:p>
      <w:r>
        <w:rPr>
          <w:rFonts w:ascii="Arial" w:hAnsi="Arial"/>
          <w:i w:val="0"/>
          <w:color w:val="000000"/>
          <w:sz w:val="22"/>
        </w:rPr>
        <w:t>De POC heeft nu geen brede beheerinterview nodig. Zij heeft een korte validatiesessie nodig met de eigenaar van WerkOrder, Quintiq-planning, RHM en de VWI-architect. Die sessie moet drie dingen vastleggen: de officiële VWI-definitie en codelijsten; de auteursrol per WerkOrder-segment; en de betekenis van de concrete regels die in dit document zichtbaar zijn, met name WOP, QQProcessed, ESTDUR÷8, HistoryFlag, BC en de WO*/WOPM*-velden.</w:t>
      </w:r>
    </w:p>
    <w:p>
      <w:r>
        <w:rPr>
          <w:rFonts w:ascii="Arial" w:hAnsi="Arial"/>
          <w:i w:val="0"/>
          <w:color w:val="000000"/>
          <w:sz w:val="22"/>
        </w:rPr>
        <w:t>Na die validatie kan Nexus per keten een formele mappingkaart opleveren met bronveld, VWI-doel, transformatie, eigenaar, event/API, bewijs en migratiebesluit. Dat beantwoordt de vraag uit de e-mail: verborgen technische kennis snel expliciet maken en die alleen gebruiken als input voor rationalisatie en toekomstig integratieontwerp.</w:t>
      </w:r>
    </w:p>
    <w:p>
      <w:pPr>
        <w:pStyle w:val="Heading1"/>
      </w:pPr>
      <w:r>
        <w:t>Bijlage A. Geanalyseerde primaire bronnen</w:t>
      </w:r>
    </w:p>
    <w:tbl>
      <w:tblPr>
        <w:tblStyle w:val="TableGrid"/>
        <w:tblW w:type="dxa" w:w="9360"/>
        <w:tblLayout w:type="fixed"/>
        <w:tblLook w:firstColumn="1" w:firstRow="1" w:lastColumn="0" w:lastRow="0" w:noHBand="0" w:noVBand="1" w:val="04A0"/>
        <w:tblInd w:w="120" w:type="dxa"/>
      </w:tblPr>
      <w:tblGrid>
        <w:gridCol w:w="3000"/>
        <w:gridCol w:w="3400"/>
        <w:gridCol w:w="2960"/>
      </w:tblGrid>
      <w:tr>
        <w:trPr>
          <w:tblHeader w:val="true"/>
        </w:trPr>
        <w:tc>
          <w:tcPr>
            <w:tcW w:type="dxa" w:w="3000"/>
            <w:vAlign w:val="center"/>
            <w:tcMar>
              <w:top w:w="80" w:type="dxa"/>
              <w:start w:w="120" w:type="dxa"/>
              <w:bottom w:w="80" w:type="dxa"/>
              <w:end w:w="120" w:type="dxa"/>
            </w:tcMar>
            <w:shd w:fill="F2F4F7"/>
          </w:tcPr>
          <w:p>
            <w:pPr>
              <w:spacing w:after="0"/>
            </w:pPr>
            <w:r>
              <w:rPr>
                <w:rFonts w:ascii="Arial" w:hAnsi="Arial"/>
                <w:b/>
                <w:color w:val="0B2545"/>
                <w:sz w:val="16"/>
              </w:rPr>
              <w:t>Artefact</w:t>
            </w:r>
          </w:p>
        </w:tc>
        <w:tc>
          <w:tcPr>
            <w:tcW w:type="dxa" w:w="3400"/>
            <w:vAlign w:val="center"/>
            <w:tcMar>
              <w:top w:w="80" w:type="dxa"/>
              <w:start w:w="120" w:type="dxa"/>
              <w:bottom w:w="80" w:type="dxa"/>
              <w:end w:w="120" w:type="dxa"/>
            </w:tcMar>
            <w:shd w:fill="F2F4F7"/>
          </w:tcPr>
          <w:p>
            <w:pPr>
              <w:spacing w:after="0"/>
            </w:pPr>
            <w:r>
              <w:rPr>
                <w:rFonts w:ascii="Arial" w:hAnsi="Arial"/>
                <w:b/>
                <w:color w:val="0B2545"/>
                <w:sz w:val="16"/>
              </w:rPr>
              <w:t>Gebruikte evidence</w:t>
            </w:r>
          </w:p>
        </w:tc>
        <w:tc>
          <w:tcPr>
            <w:tcW w:type="dxa" w:w="2960"/>
            <w:vAlign w:val="center"/>
            <w:tcMar>
              <w:top w:w="80" w:type="dxa"/>
              <w:start w:w="120" w:type="dxa"/>
              <w:bottom w:w="80" w:type="dxa"/>
              <w:end w:w="120" w:type="dxa"/>
            </w:tcMar>
            <w:shd w:fill="F2F4F7"/>
          </w:tcPr>
          <w:p>
            <w:pPr>
              <w:spacing w:after="0"/>
            </w:pPr>
            <w:r>
              <w:rPr>
                <w:rFonts w:ascii="Arial" w:hAnsi="Arial"/>
                <w:b/>
                <w:color w:val="0B2545"/>
                <w:sz w:val="16"/>
              </w:rPr>
              <w:t>Rol in deze bijlage</w:t>
            </w:r>
          </w:p>
        </w:tc>
      </w:tr>
      <w:tr>
        <w:trPr>
          <w:cantSplit/>
        </w:trPr>
        <w:tc>
          <w:tcPr>
            <w:tcW w:type="dxa" w:w="3000"/>
          </w:tcPr>
          <w:p>
            <w:pPr>
              <w:spacing w:after="0"/>
            </w:pPr>
            <w:r>
              <w:rPr>
                <w:rFonts w:ascii="Arial" w:hAnsi="Arial"/>
                <w:color w:val="000000"/>
                <w:sz w:val="16"/>
              </w:rPr>
              <w:t>intodoc-output/werkorder/scan_result.json</w:t>
            </w:r>
          </w:p>
        </w:tc>
        <w:tc>
          <w:tcPr>
            <w:tcW w:type="dxa" w:w="3400"/>
          </w:tcPr>
          <w:p>
            <w:pPr>
              <w:spacing w:after="0"/>
            </w:pPr>
            <w:r>
              <w:rPr>
                <w:rFonts w:ascii="Arial" w:hAnsi="Arial"/>
                <w:color w:val="000000"/>
                <w:sz w:val="16"/>
              </w:rPr>
              <w:t>Componentparameters en tMap-entries</w:t>
            </w:r>
          </w:p>
        </w:tc>
        <w:tc>
          <w:tcPr>
            <w:tcW w:type="dxa" w:w="2960"/>
          </w:tcPr>
          <w:p>
            <w:pPr>
              <w:spacing w:after="0"/>
            </w:pPr>
            <w:r>
              <w:rPr>
                <w:rFonts w:ascii="Arial" w:hAnsi="Arial"/>
                <w:color w:val="000000"/>
                <w:sz w:val="16"/>
              </w:rPr>
              <w:t>Primaire, statische technische evidence</w:t>
            </w:r>
          </w:p>
        </w:tc>
      </w:tr>
      <w:tr>
        <w:trPr>
          <w:cantSplit/>
        </w:trPr>
        <w:tc>
          <w:tcPr>
            <w:tcW w:type="dxa" w:w="3000"/>
          </w:tcPr>
          <w:p>
            <w:pPr>
              <w:spacing w:after="0"/>
            </w:pPr>
            <w:r>
              <w:rPr>
                <w:rFonts w:ascii="Arial" w:hAnsi="Arial"/>
                <w:color w:val="000000"/>
                <w:sz w:val="16"/>
              </w:rPr>
              <w:t>Quintiq2Maximo_PlannedWorkOrder_0.9.item</w:t>
            </w:r>
          </w:p>
        </w:tc>
        <w:tc>
          <w:tcPr>
            <w:tcW w:type="dxa" w:w="3400"/>
          </w:tcPr>
          <w:p>
            <w:pPr>
              <w:spacing w:after="0"/>
            </w:pPr>
            <w:r>
              <w:rPr>
                <w:rFonts w:ascii="Arial" w:hAnsi="Arial"/>
                <w:color w:val="000000"/>
                <w:sz w:val="16"/>
              </w:rPr>
              <w:t>tMSSqlInput_3, tMSSqlInput_4 en procesupdates</w:t>
            </w:r>
          </w:p>
        </w:tc>
        <w:tc>
          <w:tcPr>
            <w:tcW w:type="dxa" w:w="2960"/>
          </w:tcPr>
          <w:p>
            <w:pPr>
              <w:spacing w:after="0"/>
            </w:pPr>
            <w:r>
              <w:rPr>
                <w:rFonts w:ascii="Arial" w:hAnsi="Arial"/>
                <w:color w:val="000000"/>
                <w:sz w:val="16"/>
              </w:rPr>
              <w:t>Planningselectie en -afleiding</w:t>
            </w:r>
          </w:p>
        </w:tc>
      </w:tr>
      <w:tr>
        <w:trPr>
          <w:cantSplit/>
        </w:trPr>
        <w:tc>
          <w:tcPr>
            <w:tcW w:type="dxa" w:w="3000"/>
          </w:tcPr>
          <w:p>
            <w:pPr>
              <w:spacing w:after="0"/>
            </w:pPr>
            <w:r>
              <w:rPr>
                <w:rFonts w:ascii="Arial" w:hAnsi="Arial"/>
                <w:color w:val="000000"/>
                <w:sz w:val="16"/>
              </w:rPr>
              <w:t>Quintiq2Maximo_WorkOrderPickedUpXML_0.9.item</w:t>
            </w:r>
          </w:p>
        </w:tc>
        <w:tc>
          <w:tcPr>
            <w:tcW w:type="dxa" w:w="3400"/>
          </w:tcPr>
          <w:p>
            <w:pPr>
              <w:spacing w:after="0"/>
            </w:pPr>
            <w:r>
              <w:rPr>
                <w:rFonts w:ascii="Arial" w:hAnsi="Arial"/>
                <w:color w:val="000000"/>
                <w:sz w:val="16"/>
              </w:rPr>
              <w:t>QQProcessed-selectie en procesdata-afhandeling</w:t>
            </w:r>
          </w:p>
        </w:tc>
        <w:tc>
          <w:tcPr>
            <w:tcW w:type="dxa" w:w="2960"/>
          </w:tcPr>
          <w:p>
            <w:pPr>
              <w:spacing w:after="0"/>
            </w:pPr>
            <w:r>
              <w:rPr>
                <w:rFonts w:ascii="Arial" w:hAnsi="Arial"/>
                <w:color w:val="000000"/>
                <w:sz w:val="16"/>
              </w:rPr>
              <w:t>Feedback-/pickupspoor</w:t>
            </w:r>
          </w:p>
        </w:tc>
      </w:tr>
      <w:tr>
        <w:trPr>
          <w:cantSplit/>
        </w:trPr>
        <w:tc>
          <w:tcPr>
            <w:tcW w:type="dxa" w:w="3000"/>
          </w:tcPr>
          <w:p>
            <w:pPr>
              <w:spacing w:after="0"/>
            </w:pPr>
            <w:r>
              <w:rPr>
                <w:rFonts w:ascii="Arial" w:hAnsi="Arial"/>
                <w:color w:val="000000"/>
                <w:sz w:val="16"/>
              </w:rPr>
              <w:t>Maximo2Quintiq_Workorder_0.1.item</w:t>
            </w:r>
          </w:p>
        </w:tc>
        <w:tc>
          <w:tcPr>
            <w:tcW w:type="dxa" w:w="3400"/>
          </w:tcPr>
          <w:p>
            <w:pPr>
              <w:spacing w:after="0"/>
            </w:pPr>
            <w:r>
              <w:rPr>
                <w:rFonts w:ascii="Arial" w:hAnsi="Arial"/>
                <w:color w:val="000000"/>
                <w:sz w:val="16"/>
              </w:rPr>
              <w:t>Output.* tMap-expressies</w:t>
            </w:r>
          </w:p>
        </w:tc>
        <w:tc>
          <w:tcPr>
            <w:tcW w:type="dxa" w:w="2960"/>
          </w:tcPr>
          <w:p>
            <w:pPr>
              <w:spacing w:after="0"/>
            </w:pPr>
            <w:r>
              <w:rPr>
                <w:rFonts w:ascii="Arial" w:hAnsi="Arial"/>
                <w:color w:val="000000"/>
                <w:sz w:val="16"/>
              </w:rPr>
              <w:t>Brede uitgaande veldmapping</w:t>
            </w:r>
          </w:p>
        </w:tc>
      </w:tr>
      <w:tr>
        <w:trPr>
          <w:cantSplit/>
        </w:trPr>
        <w:tc>
          <w:tcPr>
            <w:tcW w:type="dxa" w:w="3000"/>
          </w:tcPr>
          <w:p>
            <w:pPr>
              <w:spacing w:after="0"/>
            </w:pPr>
            <w:r>
              <w:rPr>
                <w:rFonts w:ascii="Arial" w:hAnsi="Arial"/>
                <w:color w:val="000000"/>
                <w:sz w:val="16"/>
              </w:rPr>
              <w:t>Maximo2RHM_Workorders_0.4.item</w:t>
            </w:r>
          </w:p>
        </w:tc>
        <w:tc>
          <w:tcPr>
            <w:tcW w:type="dxa" w:w="3400"/>
          </w:tcPr>
          <w:p>
            <w:pPr>
              <w:spacing w:after="0"/>
            </w:pPr>
            <w:r>
              <w:rPr>
                <w:rFonts w:ascii="Arial" w:hAnsi="Arial"/>
                <w:color w:val="000000"/>
                <w:sz w:val="16"/>
              </w:rPr>
              <w:t>WriteToRhm.* tMap-expressies</w:t>
            </w:r>
          </w:p>
        </w:tc>
        <w:tc>
          <w:tcPr>
            <w:tcW w:type="dxa" w:w="2960"/>
          </w:tcPr>
          <w:p>
            <w:pPr>
              <w:spacing w:after="0"/>
            </w:pPr>
            <w:r>
              <w:rPr>
                <w:rFonts w:ascii="Arial" w:hAnsi="Arial"/>
                <w:color w:val="000000"/>
                <w:sz w:val="16"/>
              </w:rPr>
              <w:t>Compact RHM WerkOrder-profiel</w:t>
            </w:r>
          </w:p>
        </w:tc>
      </w:tr>
      <w:tr>
        <w:trPr>
          <w:cantSplit/>
        </w:trPr>
        <w:tc>
          <w:tcPr>
            <w:tcW w:type="dxa" w:w="3000"/>
          </w:tcPr>
          <w:p>
            <w:pPr>
              <w:spacing w:after="0"/>
            </w:pPr>
            <w:r>
              <w:rPr>
                <w:rFonts w:ascii="Arial" w:hAnsi="Arial"/>
                <w:color w:val="000000"/>
                <w:sz w:val="16"/>
              </w:rPr>
              <w:t>AssetCheck Get/Send en Maximo2AssetCheck jobs</w:t>
            </w:r>
          </w:p>
        </w:tc>
        <w:tc>
          <w:tcPr>
            <w:tcW w:type="dxa" w:w="3400"/>
          </w:tcPr>
          <w:p>
            <w:pPr>
              <w:spacing w:after="0"/>
            </w:pPr>
            <w:r>
              <w:rPr>
                <w:rFonts w:ascii="Arial" w:hAnsi="Arial"/>
                <w:color w:val="000000"/>
                <w:sz w:val="16"/>
              </w:rPr>
              <w:t>ProcessID/processcode en technische componenten</w:t>
            </w:r>
          </w:p>
        </w:tc>
        <w:tc>
          <w:tcPr>
            <w:tcW w:type="dxa" w:w="2960"/>
          </w:tcPr>
          <w:p>
            <w:pPr>
              <w:spacing w:after="0"/>
            </w:pPr>
            <w:r>
              <w:rPr>
                <w:rFonts w:ascii="Arial" w:hAnsi="Arial"/>
                <w:color w:val="000000"/>
                <w:sz w:val="16"/>
              </w:rPr>
              <w:t>Afbakening: controlelaag, geen zichtbare businesspayload</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9B1C1C"/>
                <w:sz w:val="21"/>
              </w:rPr>
              <w:t xml:space="preserve">Publicatiebeperking: </w:t>
            </w:r>
            <w:r>
              <w:rPr>
                <w:rFonts w:ascii="Arial" w:hAnsi="Arial"/>
                <w:color w:val="9B1C1C"/>
                <w:sz w:val="21"/>
              </w:rPr>
              <w:t>De bronset bevat technische configuratie. Credentialgerelateerde SQL en waarden zijn niet opgenomen. De bijlage is bedoeld als herontwerpinput, niet als uitvoerbare databasehandleiding of securitydocumentatie.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3"/>
        <w:sz w:val="17"/>
      </w:rPr>
      <w:t xml:space="preserve">Vertrouwelijk — werkdocument | 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B6573"/>
        <w:sz w:val="17"/>
      </w:rPr>
      <w:t>NEXUS | WerkOrder POC — SQL &amp; mapping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