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color w:val="0B2545"/>
          <w:sz w:val="46"/>
        </w:rPr>
        <w:t>WerkOrder — feitelijke integratieanalyse</w:t>
      </w:r>
    </w:p>
    <w:p>
      <w:pPr>
        <w:spacing w:after="320"/>
      </w:pPr>
      <w:r>
        <w:rPr>
          <w:rFonts w:ascii="Arial" w:hAnsi="Arial"/>
          <w:color w:val="5B6573"/>
          <w:sz w:val="26"/>
        </w:rPr>
        <w:t>Antwoord op de vraag welke WerkOrder-informatie de Talend-ketens daadwerkelijk uitwisselen en wat dat betekent voor rationalisatie</w:t>
      </w:r>
    </w:p>
    <w:tbl>
      <w:tblPr>
        <w:tblW w:type="dxa" w:w="9360"/>
        <w:tblLayout w:type="fixed"/>
        <w:tblLook w:firstColumn="1" w:firstRow="1" w:lastColumn="0" w:lastRow="0" w:noHBand="0" w:noVBand="1" w:val="04A0"/>
        <w:tblInd w:w="120" w:type="dxa"/>
      </w:tblPr>
      <w:tblGrid>
        <w:gridCol w:w="1800"/>
        <w:gridCol w:w="7560"/>
      </w:tblGrid>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Doel</w:t>
            </w:r>
          </w:p>
        </w:tc>
        <w:tc>
          <w:tcPr>
            <w:tcW w:type="dxa" w:w="7560"/>
            <w:vAlign w:val="center"/>
            <w:tcMar>
              <w:top w:w="80" w:type="dxa"/>
              <w:start w:w="120" w:type="dxa"/>
              <w:bottom w:w="80" w:type="dxa"/>
              <w:end w:w="120" w:type="dxa"/>
            </w:tcMar>
          </w:tcPr>
          <w:p>
            <w:pPr>
              <w:spacing w:after="0"/>
            </w:pPr>
            <w:r>
              <w:rPr>
                <w:rFonts w:ascii="Arial" w:hAnsi="Arial"/>
                <w:color w:val="000000"/>
                <w:sz w:val="19"/>
              </w:rPr>
              <w:t>POC-herontwerpinput voor het business object WerkOrder</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Bron</w:t>
            </w:r>
          </w:p>
        </w:tc>
        <w:tc>
          <w:tcPr>
            <w:tcW w:type="dxa" w:w="7560"/>
            <w:vAlign w:val="center"/>
            <w:tcMar>
              <w:top w:w="80" w:type="dxa"/>
              <w:start w:w="120" w:type="dxa"/>
              <w:bottom w:w="80" w:type="dxa"/>
              <w:end w:w="120" w:type="dxa"/>
            </w:tcMar>
          </w:tcPr>
          <w:p>
            <w:pPr>
              <w:spacing w:after="0"/>
            </w:pPr>
            <w:r>
              <w:rPr>
                <w:rFonts w:ascii="Arial" w:hAnsi="Arial"/>
                <w:color w:val="000000"/>
                <w:sz w:val="19"/>
              </w:rPr>
              <w:t>Werkorder Talend ZIP: scanner-, mapping-, lineage- en gegenereerde analyseartefacten</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Status</w:t>
            </w:r>
          </w:p>
        </w:tc>
        <w:tc>
          <w:tcPr>
            <w:tcW w:type="dxa" w:w="7560"/>
            <w:vAlign w:val="center"/>
            <w:tcMar>
              <w:top w:w="80" w:type="dxa"/>
              <w:start w:w="120" w:type="dxa"/>
              <w:bottom w:w="80" w:type="dxa"/>
              <w:end w:w="120" w:type="dxa"/>
            </w:tcMar>
          </w:tcPr>
          <w:p>
            <w:pPr>
              <w:spacing w:after="0"/>
            </w:pPr>
            <w:r>
              <w:rPr>
                <w:rFonts w:ascii="Arial" w:hAnsi="Arial"/>
                <w:color w:val="000000"/>
                <w:sz w:val="19"/>
              </w:rPr>
              <w:t>Werkdocument — feiten en hypotheses zijn expliciet gescheiden</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Beperking</w:t>
            </w:r>
          </w:p>
        </w:tc>
        <w:tc>
          <w:tcPr>
            <w:tcW w:type="dxa" w:w="7560"/>
            <w:vAlign w:val="center"/>
            <w:tcMar>
              <w:top w:w="80" w:type="dxa"/>
              <w:start w:w="120" w:type="dxa"/>
              <w:bottom w:w="80" w:type="dxa"/>
              <w:end w:w="120" w:type="dxa"/>
            </w:tcMar>
          </w:tcPr>
          <w:p>
            <w:pPr>
              <w:spacing w:after="0"/>
            </w:pPr>
            <w:r>
              <w:rPr>
                <w:rFonts w:ascii="Arial" w:hAnsi="Arial"/>
                <w:color w:val="000000"/>
                <w:sz w:val="19"/>
              </w:rPr>
              <w:t>Geen productie-runtime, live database of VW Informatie Model-contract in de bronset</w:t>
            </w:r>
          </w:p>
        </w:tc>
      </w:tr>
    </w:tbl>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Direct antwoord: </w:t>
            </w:r>
            <w:r>
              <w:rPr>
                <w:rFonts w:ascii="Arial" w:hAnsi="Arial"/>
                <w:color w:val="0B2545"/>
                <w:sz w:val="21"/>
              </w:rPr>
              <w:t>De Talend-code laat zien dat WerkOrder in meerdere vormen wordt uitgewisseld: als kernrecord met identiteit en status, als planning, als lifecycle-event en als terugmelding. Maximo is technisch de bron voor de zichtbare RHM-, Quintiq- en 4PS-uitgaande stromen. Quintiq levert aantoonbaar planningsinformatie terug. Voor AssetCheck en 4PS is de volledige payload niet zichtbaar in de onderzochte SQL/mappings. Talend zelf is geen businesscontract; het bevat zowel businessregels als technische en historische afhandeling.</w:t>
            </w:r>
          </w:p>
        </w:tc>
      </w:tr>
    </w:tbl>
    <w:p>
      <w:pPr>
        <w:spacing w:after="40"/>
      </w:pPr>
    </w:p>
    <w:p>
      <w:pPr>
        <w:pStyle w:val="Heading1"/>
      </w:pPr>
      <w:r>
        <w:t>1. Waar dit antwoord op is gebaseerd</w:t>
      </w:r>
    </w:p>
    <w:p>
      <w:r>
        <w:rPr>
          <w:rFonts w:ascii="Arial" w:hAnsi="Arial"/>
          <w:i w:val="0"/>
          <w:color w:val="000000"/>
          <w:sz w:val="22"/>
        </w:rPr>
        <w:t>Dit antwoord is gebaseerd op de aangeleverde Werkorder Talend ZIP zoals die door de scanner is geïnventariseerd. De bronset bevat 429 artefacten uit 14 Talend-roots: 209 jobs, 186 routes, 26 joblets en 8 routelets. Daarin zijn 72 jobs met tMap-data, 972 tMap-entries, 93 tXMLMap-componenten, 10 TDM-maps, 44 connectiondefinities en 163 contextgroepen aangetroffen. Voor WerkOrder zijn de relevante jobnamen, tMap-expressies, SQL-componenten, routecomponenten en call-relaties onderzocht.</w:t>
      </w:r>
    </w:p>
    <w:p>
      <w:r>
        <w:rPr>
          <w:rFonts w:ascii="Arial" w:hAnsi="Arial"/>
          <w:i w:val="0"/>
          <w:color w:val="000000"/>
          <w:sz w:val="22"/>
        </w:rPr>
        <w:t>Er is geen productie-runtime, live database, formeel interfacecontract, veilige voorbeeldpayload of VW WerkOrder Informatie Model meegeleverd. Daarom maakt dit document een hard onderscheid tussen wat de code rechtstreeks bewijst en wat alleen kan worden geïnterpreteerd. Het bevat geen beheer-, security- of decommissioning-vragenlijst.</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after="0"/>
            </w:pPr>
            <w:r>
              <w:rPr>
                <w:rFonts w:ascii="Arial" w:hAnsi="Arial"/>
                <w:b/>
                <w:color w:val="0B2545"/>
                <w:sz w:val="17"/>
              </w:rPr>
              <w:t>Label</w:t>
            </w:r>
          </w:p>
        </w:tc>
        <w:tc>
          <w:tcPr>
            <w:tcW w:type="dxa" w:w="7460"/>
            <w:vAlign w:val="center"/>
            <w:tcMar>
              <w:top w:w="80" w:type="dxa"/>
              <w:start w:w="120" w:type="dxa"/>
              <w:bottom w:w="80" w:type="dxa"/>
              <w:end w:w="120" w:type="dxa"/>
            </w:tcMar>
            <w:shd w:fill="F2F4F7"/>
          </w:tcPr>
          <w:p>
            <w:pPr>
              <w:spacing w:after="0"/>
            </w:pPr>
            <w:r>
              <w:rPr>
                <w:rFonts w:ascii="Arial" w:hAnsi="Arial"/>
                <w:b/>
                <w:color w:val="0B2545"/>
                <w:sz w:val="17"/>
              </w:rPr>
              <w:t>Gebruik in dit document</w:t>
            </w:r>
          </w:p>
        </w:tc>
      </w:tr>
      <w:tr>
        <w:trPr>
          <w:cantSplit/>
        </w:trPr>
        <w:tc>
          <w:tcPr>
            <w:tcW w:type="dxa" w:w="1900"/>
          </w:tcPr>
          <w:p>
            <w:pPr>
              <w:spacing w:after="0"/>
            </w:pPr>
            <w:r>
              <w:rPr>
                <w:rFonts w:ascii="Arial" w:hAnsi="Arial"/>
                <w:color w:val="000000"/>
                <w:sz w:val="17"/>
              </w:rPr>
              <w:t>FEIT</w:t>
            </w:r>
          </w:p>
        </w:tc>
        <w:tc>
          <w:tcPr>
            <w:tcW w:type="dxa" w:w="7460"/>
          </w:tcPr>
          <w:p>
            <w:pPr>
              <w:spacing w:after="0"/>
            </w:pPr>
            <w:r>
              <w:rPr>
                <w:rFonts w:ascii="Arial" w:hAnsi="Arial"/>
                <w:color w:val="000000"/>
                <w:sz w:val="17"/>
              </w:rPr>
              <w:t>Direct zichtbaar in een SQL-statement, mappingexpressie, job/route of componentconfiguratie.</w:t>
            </w:r>
          </w:p>
        </w:tc>
      </w:tr>
      <w:tr>
        <w:trPr>
          <w:cantSplit/>
        </w:trPr>
        <w:tc>
          <w:tcPr>
            <w:tcW w:type="dxa" w:w="1900"/>
          </w:tcPr>
          <w:p>
            <w:pPr>
              <w:spacing w:after="0"/>
            </w:pPr>
            <w:r>
              <w:rPr>
                <w:rFonts w:ascii="Arial" w:hAnsi="Arial"/>
                <w:color w:val="000000"/>
                <w:sz w:val="17"/>
              </w:rPr>
              <w:t>INTERPRETATIE</w:t>
            </w:r>
          </w:p>
        </w:tc>
        <w:tc>
          <w:tcPr>
            <w:tcW w:type="dxa" w:w="7460"/>
          </w:tcPr>
          <w:p>
            <w:pPr>
              <w:spacing w:after="0"/>
            </w:pPr>
            <w:r>
              <w:rPr>
                <w:rFonts w:ascii="Arial" w:hAnsi="Arial"/>
                <w:color w:val="000000"/>
                <w:sz w:val="17"/>
              </w:rPr>
              <w:t>De technische betekenis ligt voor de hand, maar het functionele contract ontbreekt.</w:t>
            </w:r>
          </w:p>
        </w:tc>
      </w:tr>
      <w:tr>
        <w:trPr>
          <w:cantSplit/>
        </w:trPr>
        <w:tc>
          <w:tcPr>
            <w:tcW w:type="dxa" w:w="1900"/>
          </w:tcPr>
          <w:p>
            <w:pPr>
              <w:spacing w:after="0"/>
            </w:pPr>
            <w:r>
              <w:rPr>
                <w:rFonts w:ascii="Arial" w:hAnsi="Arial"/>
                <w:color w:val="000000"/>
                <w:sz w:val="17"/>
              </w:rPr>
              <w:t>ONBEKEND</w:t>
            </w:r>
          </w:p>
        </w:tc>
        <w:tc>
          <w:tcPr>
            <w:tcW w:type="dxa" w:w="7460"/>
          </w:tcPr>
          <w:p>
            <w:pPr>
              <w:spacing w:after="0"/>
            </w:pPr>
            <w:r>
              <w:rPr>
                <w:rFonts w:ascii="Arial" w:hAnsi="Arial"/>
                <w:color w:val="000000"/>
                <w:sz w:val="17"/>
              </w:rPr>
              <w:t>Niet veilig afleidbaar uit de ZIP; geen invulling op basis van een naam alleen.</w:t>
            </w:r>
          </w:p>
        </w:tc>
      </w:tr>
    </w:tbl>
    <w:p>
      <w:pPr>
        <w:spacing w:after="40"/>
      </w:pPr>
    </w:p>
    <w:p>
      <w:pPr>
        <w:pStyle w:val="Heading1"/>
      </w:pPr>
      <w:r>
        <w:t>2. Welke WerkOrder-informatie gaat daadwerkelijk over de lijn</w:t>
      </w:r>
    </w:p>
    <w:p>
      <w:r>
        <w:rPr>
          <w:rFonts w:ascii="Arial" w:hAnsi="Arial"/>
          <w:i w:val="0"/>
          <w:color w:val="000000"/>
          <w:sz w:val="22"/>
        </w:rPr>
        <w:t>De analyse toont geen enkel uniform WerkOrder-bericht. De zichtbare uitwisselingen bestaan uit verschillende segmenten van hetzelfde business object. Het meest complete uitgaande profiel loopt van Maximo naar Quintiq; het compactere profiel loopt van Maximo naar RHM; Quintiq levert planning terug aan Maximo. Daarnaast bestaan routes voor 4PS, AssetCheck en Ortec, maar daarvoor is de veldinhoud minder volledig zichtbaar.</w:t>
      </w:r>
    </w:p>
    <w:p>
      <w:pPr>
        <w:pStyle w:val="Heading2"/>
      </w:pPr>
      <w:r>
        <w:t>2.1 Maximo → Quintiq: kernrecord plus planning en rollen</w:t>
      </w:r>
    </w:p>
    <w:p>
      <w:r>
        <w:rPr>
          <w:rFonts w:ascii="Arial" w:hAnsi="Arial"/>
          <w:i w:val="0"/>
          <w:color w:val="000000"/>
          <w:sz w:val="22"/>
        </w:rPr>
        <w:t>FEIT: Maximo2Quintiq_Workorder mapt WONUM naar WorkOrderNr, GLACCOUNT naar ProjectNr, BC naar MonitoringCode, TARGSTARTDATE en TARGCOMPDATE naar DateStart en DateEnd, DESCRIPTION naar Name en STATUS naar Status. Verder gaan LOCATION, WOLO5, WORKTYPE, WO3, SITEID, WOPM5, WOPM1, WOLO4, LEAD, SUPERVISOR en WO14 mee. Dit is dus meer dan een statusupdate: het bevat identificatie, planning, locatie, werksoort, organisatorische context, project/monitoring, opmerkingen en medewerkerrollen.</w:t>
      </w:r>
    </w:p>
    <w:p>
      <w:pPr>
        <w:spacing w:before="80" w:after="100"/>
      </w:pPr>
      <w:r>
        <w:rPr>
          <w:rFonts w:ascii="Arial" w:hAnsi="Arial"/>
          <w:b/>
          <w:color w:val="5B6573"/>
          <w:sz w:val="17"/>
        </w:rPr>
        <w:t xml:space="preserve">Bron/evidence: </w:t>
      </w:r>
      <w:r>
        <w:rPr>
          <w:rFonts w:ascii="Arial" w:hAnsi="Arial"/>
          <w:i/>
          <w:color w:val="5B6573"/>
          <w:sz w:val="17"/>
        </w:rPr>
        <w:t>Maximo2Quintiq_Workorder_0.1.item, tMap Output.*-expressies.</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Conclusie: </w:t>
            </w:r>
            <w:r>
              <w:rPr>
                <w:rFonts w:ascii="Arial" w:hAnsi="Arial"/>
                <w:color w:val="0B2545"/>
                <w:sz w:val="21"/>
              </w:rPr>
              <w:t>Technische bron: Maximo. Technische consument: Quintiq. Formele auteur per veld is ONBEKEND. De uitwisseling is een brede WerkOrder-representatie, maar niet aantoonbaar het volledige object. PostalCode, ContactTel en QQProcessed zijn leeg gemapt en tellen daarom niet als geleverde gegevens.</w:t>
            </w:r>
          </w:p>
        </w:tc>
      </w:tr>
    </w:tbl>
    <w:p>
      <w:pPr>
        <w:spacing w:after="40"/>
      </w:pPr>
    </w:p>
    <w:p>
      <w:pPr>
        <w:pStyle w:val="Heading2"/>
      </w:pPr>
      <w:r>
        <w:t>2.2 Maximo → RHM: identiteit, status, hiërarchie en organisatorische context</w:t>
      </w:r>
    </w:p>
    <w:p>
      <w:r>
        <w:rPr>
          <w:rFonts w:ascii="Arial" w:hAnsi="Arial"/>
          <w:i w:val="0"/>
          <w:color w:val="000000"/>
          <w:sz w:val="22"/>
        </w:rPr>
        <w:t>FEIT: Maximo2RHM_Workorders mapt wonum, orgid, siteid, description, status, changedate, historyflag, parent, glaccount en bc naar een RHM-doelrecord. changedate wordt geparsed en als StatusDate én DATUM gebruikt; historyflag wordt als 0/1 geschreven.</w:t>
      </w:r>
    </w:p>
    <w:p>
      <w:pPr>
        <w:spacing w:before="80" w:after="100"/>
      </w:pPr>
      <w:r>
        <w:rPr>
          <w:rFonts w:ascii="Arial" w:hAnsi="Arial"/>
          <w:b/>
          <w:color w:val="5B6573"/>
          <w:sz w:val="17"/>
        </w:rPr>
        <w:t xml:space="preserve">Bron/evidence: </w:t>
      </w:r>
      <w:r>
        <w:rPr>
          <w:rFonts w:ascii="Arial" w:hAnsi="Arial"/>
          <w:i/>
          <w:color w:val="5B6573"/>
          <w:sz w:val="17"/>
        </w:rPr>
        <w:t>Maximo2RHM_Workorders_0.4.item, tMap naar WriteToRhm.*.</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Conclusie: </w:t>
            </w:r>
            <w:r>
              <w:rPr>
                <w:rFonts w:ascii="Arial" w:hAnsi="Arial"/>
                <w:color w:val="0B2545"/>
                <w:sz w:val="21"/>
              </w:rPr>
              <w:t>Technische bron: Maximo. Technische consument: RHM. Aantoonbaar segment: identificatie, organisatie/site, omschrijving, statusmoment, historie-indicatie, parentrelatie, project-/grootboekreferentie en monitoringcode. ONBEKEND is of RHM alleen consumeert of ook terugschrijft/verrijkt.</w:t>
            </w:r>
          </w:p>
        </w:tc>
      </w:tr>
    </w:tbl>
    <w:p>
      <w:pPr>
        <w:spacing w:after="40"/>
      </w:pPr>
    </w:p>
    <w:p>
      <w:pPr>
        <w:pStyle w:val="Heading2"/>
      </w:pPr>
      <w:r>
        <w:t>2.3 Quintiq → Maximo: geplande WerkOrder</w:t>
      </w:r>
    </w:p>
    <w:p>
      <w:r>
        <w:rPr>
          <w:rFonts w:ascii="Arial" w:hAnsi="Arial"/>
          <w:i w:val="0"/>
          <w:color w:val="000000"/>
          <w:sz w:val="22"/>
        </w:rPr>
        <w:t>FEIT: Quintiq2Maximo_PlannedWorkOrder selecteert WerkOrders die sinds de laatste run zijn gewijzigd, de status WOP hebben, een Trigger van het type Workorder hebben, ten minste één vrijgegeven CapacityTask hebben en geen verwijderverzoek kennen. Voor geselecteerde WerkOrders bepaalt de job BC, SCHEDSTART, SCHEDFINISH en WOPM6 uit WorkPackage en CapacityTask. De start is de vroegste vrijgegeven capaciteitstaak met een fallback naar WorkPackage; het einde is de laatste vrijgegeven capaciteitstaak met dezelfde fallback.</w:t>
      </w:r>
    </w:p>
    <w:p>
      <w:pPr>
        <w:spacing w:before="80" w:after="100"/>
      </w:pPr>
      <w:r>
        <w:rPr>
          <w:rFonts w:ascii="Arial" w:hAnsi="Arial"/>
          <w:b/>
          <w:color w:val="5B6573"/>
          <w:sz w:val="17"/>
        </w:rPr>
        <w:t xml:space="preserve">Bron/evidence: </w:t>
      </w:r>
      <w:r>
        <w:rPr>
          <w:rFonts w:ascii="Arial" w:hAnsi="Arial"/>
          <w:i/>
          <w:color w:val="5B6573"/>
          <w:sz w:val="17"/>
        </w:rPr>
        <w:t>Quintiq2Maximo_PlannedWorkOrder_0.9.item, tMSSqlInput_3 en tMSSqlInput_4.</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Conclusie: </w:t>
            </w:r>
            <w:r>
              <w:rPr>
                <w:rFonts w:ascii="Arial" w:hAnsi="Arial"/>
                <w:color w:val="0B2545"/>
                <w:sz w:val="21"/>
              </w:rPr>
              <w:t>Technische bron: Quintiq-database. Technische consument: Maximo. De terugstroom is aantoonbaar planninggericht. INTERPRETATIE: Quintiq is inhoudelijk auteur van het berekende planningvenster; formele autoriteit moet door business worden bevestigd. WOP is zichtbaar als selectievoorwaarde, maar de functionele statusbetekenis is ONBEKEND.</w:t>
            </w:r>
          </w:p>
        </w:tc>
      </w:tr>
    </w:tbl>
    <w:p>
      <w:pPr>
        <w:spacing w:after="40"/>
      </w:pPr>
    </w:p>
    <w:p>
      <w:pPr>
        <w:pStyle w:val="Heading2"/>
      </w:pPr>
      <w:r>
        <w:t>2.4 Quintiq → Maximo: aanvullende feedback/pickup</w:t>
      </w:r>
    </w:p>
    <w:p>
      <w:r>
        <w:rPr>
          <w:rFonts w:ascii="Arial" w:hAnsi="Arial"/>
          <w:i w:val="0"/>
          <w:color w:val="000000"/>
          <w:sz w:val="22"/>
        </w:rPr>
        <w:t>FEIT: Quintiq2Maximo_WorkOrderPickedUpXML leest SiteID, WorkorderNr en QQProcessed uit Workorder wanneer QQProcessed gevuld is. De job gebruikt daarnaast procesvariabelen en niet-verwijderde procesdata voor afhandeling.</w:t>
      </w:r>
    </w:p>
    <w:p>
      <w:pPr>
        <w:spacing w:before="80" w:after="100"/>
      </w:pPr>
      <w:r>
        <w:rPr>
          <w:rFonts w:ascii="Arial" w:hAnsi="Arial"/>
          <w:b/>
          <w:color w:val="5B6573"/>
          <w:sz w:val="17"/>
        </w:rPr>
        <w:t xml:space="preserve">Bron/evidence: </w:t>
      </w:r>
      <w:r>
        <w:rPr>
          <w:rFonts w:ascii="Arial" w:hAnsi="Arial"/>
          <w:i/>
          <w:color w:val="5B6573"/>
          <w:sz w:val="17"/>
        </w:rPr>
        <w:t>Quintiq2Maximo_WorkOrderPickedUpXML_0.9.item.</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Conclusie: </w:t>
            </w:r>
            <w:r>
              <w:rPr>
                <w:rFonts w:ascii="Arial" w:hAnsi="Arial"/>
                <w:color w:val="0B2545"/>
                <w:sz w:val="21"/>
              </w:rPr>
              <w:t>Er bestaat aantoonbaar een tweede Quintiq→Maximo-spoor naast PlannedWorkOrder. INTERPRETATIE: de jobnaam wijst op een pickup- of feedbacksignaal. De betekenis van QQProcessed, de payload en de toegestane statusmutatie zijn ONBEKEND en mogen niet zonder bevestiging in een toekomstig contract worden vastgelegd.</w:t>
            </w:r>
          </w:p>
        </w:tc>
      </w:tr>
    </w:tbl>
    <w:p>
      <w:pPr>
        <w:spacing w:after="40"/>
      </w:pPr>
    </w:p>
    <w:p>
      <w:pPr>
        <w:pStyle w:val="Heading2"/>
      </w:pPr>
      <w:r>
        <w:t>2.5 Maximo → 4PS: route en transformatie aantoonbaar, payload deels zichtbaar</w:t>
      </w:r>
    </w:p>
    <w:p>
      <w:r>
        <w:rPr>
          <w:rFonts w:ascii="Arial" w:hAnsi="Arial"/>
          <w:i w:val="0"/>
          <w:color w:val="000000"/>
          <w:sz w:val="22"/>
        </w:rPr>
        <w:t>FEIT: maximoFourpsWorkOrder gebruikt JMS, cTalendJob, cMessageFilter, cMulticast, cOnException en cWireTap. De gerelateerde job workorder gebruikt XSLT, XML/JSON-conversie, tMap en 4PS-reader/writer/patcher-componenten. De queue etttm.maximoFourpsWorkOrder heeft maximoRestService als publisher en maximoFourpsWorkOrder_VRI als consumer. In de zichtbare mapping komt ten minste json.status voor.</w:t>
      </w:r>
    </w:p>
    <w:p>
      <w:pPr>
        <w:spacing w:before="80" w:after="100"/>
      </w:pPr>
      <w:r>
        <w:rPr>
          <w:rFonts w:ascii="Arial" w:hAnsi="Arial"/>
          <w:b/>
          <w:color w:val="5B6573"/>
          <w:sz w:val="17"/>
        </w:rPr>
        <w:t xml:space="preserve">Bron/evidence: </w:t>
      </w:r>
      <w:r>
        <w:rPr>
          <w:rFonts w:ascii="Arial" w:hAnsi="Arial"/>
          <w:i/>
          <w:color w:val="5B6573"/>
          <w:sz w:val="17"/>
        </w:rPr>
        <w:t>maximoFourps/workorder_0.12.item; maximoFourpsWorkOrder_11.3.item; route-inventaris en JMS dependency map.</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Conclusie: </w:t>
            </w:r>
            <w:r>
              <w:rPr>
                <w:rFonts w:ascii="Arial" w:hAnsi="Arial"/>
                <w:color w:val="0B2545"/>
                <w:sz w:val="21"/>
              </w:rPr>
              <w:t>Technische richting: Maximo naar 4PS via de ETTM/VRI-route. De code bewijst een objecttransformatie en een statusveld, maar niet de volledige WerkOrder-payload, de officiële statusvertaling of de terugmutaties vanuit 4PS. Die onderwerpen blijven ONBEKEND.</w:t>
            </w:r>
          </w:p>
        </w:tc>
      </w:tr>
    </w:tbl>
    <w:p>
      <w:pPr>
        <w:spacing w:after="40"/>
      </w:pPr>
    </w:p>
    <w:p>
      <w:pPr>
        <w:pStyle w:val="Heading2"/>
      </w:pPr>
      <w:r>
        <w:t>2.6 Maximo ↔ AssetCheck / VISE: ophalen, versturen en bijwerken</w:t>
      </w:r>
    </w:p>
    <w:p>
      <w:r>
        <w:rPr>
          <w:rFonts w:ascii="Arial" w:hAnsi="Arial"/>
          <w:i w:val="0"/>
          <w:color w:val="000000"/>
          <w:sz w:val="22"/>
        </w:rPr>
        <w:t>FEIT: AssetCheck_Main_Job roept GetWorkOrder, GetWorkOrders en SendWorkOrderUpdate aan. Maximo2AssetCheck_MainJob roept SendWorkOrder aan. De jobs combineren MSSQL, bestanden, tMap en — bij SendWorkOrderUpdate — HTTP. De zichtbare SQL leest hoofdzakelijk ProcessID op basis van ProcessCode en registreert procesafhandeling.</w:t>
      </w:r>
    </w:p>
    <w:p>
      <w:pPr>
        <w:spacing w:before="80" w:after="100"/>
      </w:pPr>
      <w:r>
        <w:rPr>
          <w:rFonts w:ascii="Arial" w:hAnsi="Arial"/>
          <w:b/>
          <w:color w:val="5B6573"/>
          <w:sz w:val="17"/>
        </w:rPr>
        <w:t xml:space="preserve">Bron/evidence: </w:t>
      </w:r>
      <w:r>
        <w:rPr>
          <w:rFonts w:ascii="Arial" w:hAnsi="Arial"/>
          <w:i/>
          <w:color w:val="5B6573"/>
          <w:sz w:val="17"/>
        </w:rPr>
        <w:t>AssetCheck_GetWorkOrder_3.1.item; AssetCheck_GetWorkOrders_3.1.item; AssetCheck_SendWorkOrderUpdate_3.2.item; Maximo2AssetCheck_SendWorkOrder_1.4.item.</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Conclusie: </w:t>
            </w:r>
            <w:r>
              <w:rPr>
                <w:rFonts w:ascii="Arial" w:hAnsi="Arial"/>
                <w:color w:val="0B2545"/>
                <w:sz w:val="21"/>
              </w:rPr>
              <w:t>Er zijn technische stromen voor afzonderlijk ophalen, bulk ophalen, verzenden en bijwerken. De specifieke WerkOrder-velden zijn in de onderzochte mappings niet zichtbaar; die mappings beschrijven vooral logging/afhandeling. De inhoudelijke rol van AssetCheck/VISE — consument, uitvoeringssysteem of mede-auteur — is daarom ONBEKEND.</w:t>
            </w:r>
          </w:p>
        </w:tc>
      </w:tr>
    </w:tbl>
    <w:p>
      <w:pPr>
        <w:spacing w:after="40"/>
      </w:pPr>
    </w:p>
    <w:p>
      <w:pPr>
        <w:pStyle w:val="Heading2"/>
      </w:pPr>
      <w:r>
        <w:t>2.7 Ortec: WerkOrder-lifecycle als geplande, gewijzigde en geannuleerde gebeurtenis</w:t>
      </w:r>
    </w:p>
    <w:p>
      <w:r>
        <w:rPr>
          <w:rFonts w:ascii="Arial" w:hAnsi="Arial"/>
          <w:i w:val="0"/>
          <w:color w:val="000000"/>
          <w:sz w:val="22"/>
        </w:rPr>
        <w:t>FEIT: routes bestaan voor geplande directe WerkOrder, geplande indirecte WerkOrder, gewijzigde WerkOrder en geannuleerde WerkOrder. Zij gebruiken JMS, messaging endpoints, processors, exception handling en wiretaps.</w:t>
      </w:r>
    </w:p>
    <w:p>
      <w:pPr>
        <w:spacing w:before="80" w:after="100"/>
      </w:pPr>
      <w:r>
        <w:rPr>
          <w:rFonts w:ascii="Arial" w:hAnsi="Arial"/>
          <w:b/>
          <w:color w:val="5B6573"/>
          <w:sz w:val="17"/>
        </w:rPr>
        <w:t xml:space="preserve">Bron/evidence: </w:t>
      </w:r>
      <w:r>
        <w:rPr>
          <w:rFonts w:ascii="Arial" w:hAnsi="Arial"/>
          <w:i/>
          <w:color w:val="5B6573"/>
          <w:sz w:val="17"/>
        </w:rPr>
        <w:t>ortec_maximo/*werkorder*.item en OrtecWerkorderInFilter_0.6.item.</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Conclusie: </w:t>
            </w:r>
            <w:r>
              <w:rPr>
                <w:rFonts w:ascii="Arial" w:hAnsi="Arial"/>
                <w:color w:val="0B2545"/>
                <w:sz w:val="21"/>
              </w:rPr>
              <w:t>De code bevestigt lifecyclecategorieën, geen veldpayload. INTERPRETATIE: de routes bedienen een field-operations-domein. ONBEKEND: wat direct/indirect betekent, welke consumenten actief zijn en of annulering een status, event of verwijdering is.</w:t>
            </w:r>
          </w:p>
        </w:tc>
      </w:tr>
    </w:tbl>
    <w:p>
      <w:pPr>
        <w:spacing w:after="40"/>
      </w:pPr>
    </w:p>
    <w:p>
      <w:pPr>
        <w:pStyle w:val="Heading1"/>
      </w:pPr>
      <w:r>
        <w:t>3. Wat de SQL werkelijk bijdraagt</w:t>
      </w:r>
    </w:p>
    <w:p>
      <w:r>
        <w:rPr>
          <w:rFonts w:ascii="Arial" w:hAnsi="Arial"/>
          <w:i w:val="0"/>
          <w:color w:val="000000"/>
          <w:sz w:val="22"/>
        </w:rPr>
        <w:t>De SQL levert niet in elke keten dezelfde soort bewijs. In Maximo2RHM, Maximo2Quintiq en AssetCheck wordt Processes gebruikt voor last-run tijden, proces-id's en procesafhandeling. Maximo2Quintiq gebruikt ProcessData onder meer om eerdere verwerking per WorkOrderNum te herkennen of te markeren. Maximo2RHM leegt een tijdelijke tabel. Dit zijn technische regels voor incrementele verwerking, deduplicatie en beheerbaarheid; het zijn geen WerkOrder-attributen.</w:t>
      </w:r>
    </w:p>
    <w:p>
      <w:r>
        <w:rPr>
          <w:rFonts w:ascii="Arial" w:hAnsi="Arial"/>
          <w:i w:val="0"/>
          <w:color w:val="000000"/>
          <w:sz w:val="22"/>
        </w:rPr>
        <w:t>De inhoudelijke SQL zit vooral bij Quintiq-planning. Daarin zijn Workorder, Trigger, CapacityTask en WorkPackage direct betrokken. De code selecteert niet zomaar alle werkorders: wijziging sinds de vorige run, WOP-status, vrijgegeven capaciteit en geen verwijderverzoek zijn expliciete selectievoorwaarden. Dat is functioneel relevante planninglogica, ook al moet business nog bevestigen of die regels in de toekomst precies zo moeten blijven.</w:t>
      </w:r>
    </w:p>
    <w:p>
      <w:r>
        <w:rPr>
          <w:rFonts w:ascii="Arial" w:hAnsi="Arial"/>
          <w:i w:val="0"/>
          <w:color w:val="000000"/>
          <w:sz w:val="22"/>
        </w:rPr>
        <w:t>Een gebruikers-/credentialsgerelateerde query in Maximo2AssetCheck is niet opgenomen. Die query zegt niets over WerkOrder-semantiek en bevat gegevens die niet thuishoren in een analyse voor business en architectuur.</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SQL-conclusie: </w:t>
            </w:r>
            <w:r>
              <w:rPr>
                <w:rFonts w:ascii="Arial" w:hAnsi="Arial"/>
                <w:color w:val="0B2545"/>
                <w:sz w:val="21"/>
              </w:rPr>
              <w:t>De database-informatie is gebruikt waar zij WerkOrder-inhoud of selectie bepaalt. Proces-, logging- en toegangs-SQL is alleen gebruikt om technische afhandeling af te bakenen, niet om businessconclusies te verzinnen.</w:t>
            </w:r>
          </w:p>
        </w:tc>
      </w:tr>
    </w:tbl>
    <w:p>
      <w:pPr>
        <w:spacing w:after="40"/>
      </w:pPr>
    </w:p>
    <w:p>
      <w:pPr>
        <w:pStyle w:val="Heading1"/>
      </w:pPr>
      <w:r>
        <w:t>4. Welke mappings richting het VWI Informatie Model mogelijk zijn</w:t>
      </w:r>
    </w:p>
    <w:p>
      <w:r>
        <w:rPr>
          <w:rFonts w:ascii="Arial" w:hAnsi="Arial"/>
          <w:i w:val="0"/>
          <w:color w:val="000000"/>
          <w:sz w:val="22"/>
        </w:rPr>
        <w:t>Een formele VWI-mapping is nog niet mogelijk: het officiële VW WerkOrder-object, velddefinities, relaties, codelijsten, cardinaliteiten en ownership zijn niet meegeleverd. Wel zijn de onderstaande semantische kandidaten direct uit de mappings afleidbaar. Dit zijn geen verzonnen VWI-propertynamen; het zijn de begrippen die het VWI-model moet kunnen plaatsen of expliciet uitsluiten.</w:t>
      </w:r>
    </w:p>
    <w:tbl>
      <w:tblPr>
        <w:tblStyle w:val="TableGrid"/>
        <w:tblW w:type="dxa" w:w="9360"/>
        <w:tblLayout w:type="fixed"/>
        <w:tblLook w:firstColumn="1" w:firstRow="1" w:lastColumn="0" w:lastRow="0" w:noHBand="0" w:noVBand="1" w:val="04A0"/>
        <w:tblInd w:w="120" w:type="dxa"/>
      </w:tblPr>
      <w:tblGrid>
        <w:gridCol w:w="3000"/>
        <w:gridCol w:w="3500"/>
        <w:gridCol w:w="2860"/>
      </w:tblGrid>
      <w:tr>
        <w:trPr>
          <w:tblHeader w:val="true"/>
        </w:trPr>
        <w:tc>
          <w:tcPr>
            <w:tcW w:type="dxa" w:w="3000"/>
            <w:vAlign w:val="center"/>
            <w:tcMar>
              <w:top w:w="80" w:type="dxa"/>
              <w:start w:w="120" w:type="dxa"/>
              <w:bottom w:w="80" w:type="dxa"/>
              <w:end w:w="120" w:type="dxa"/>
            </w:tcMar>
            <w:shd w:fill="F2F4F7"/>
          </w:tcPr>
          <w:p>
            <w:pPr>
              <w:spacing w:after="0"/>
            </w:pPr>
            <w:r>
              <w:rPr>
                <w:rFonts w:ascii="Arial" w:hAnsi="Arial"/>
                <w:b/>
                <w:color w:val="0B2545"/>
                <w:sz w:val="16"/>
              </w:rPr>
              <w:t>Aantoonbare bronvelden</w:t>
            </w:r>
          </w:p>
        </w:tc>
        <w:tc>
          <w:tcPr>
            <w:tcW w:type="dxa" w:w="3500"/>
            <w:vAlign w:val="center"/>
            <w:tcMar>
              <w:top w:w="80" w:type="dxa"/>
              <w:start w:w="120" w:type="dxa"/>
              <w:bottom w:w="80" w:type="dxa"/>
              <w:end w:w="120" w:type="dxa"/>
            </w:tcMar>
            <w:shd w:fill="F2F4F7"/>
          </w:tcPr>
          <w:p>
            <w:pPr>
              <w:spacing w:after="0"/>
            </w:pPr>
            <w:r>
              <w:rPr>
                <w:rFonts w:ascii="Arial" w:hAnsi="Arial"/>
                <w:b/>
                <w:color w:val="0B2545"/>
                <w:sz w:val="16"/>
              </w:rPr>
              <w:t>Semantische WerkOrder-kandidaat</w:t>
            </w:r>
          </w:p>
        </w:tc>
        <w:tc>
          <w:tcPr>
            <w:tcW w:type="dxa" w:w="2860"/>
            <w:vAlign w:val="center"/>
            <w:tcMar>
              <w:top w:w="80" w:type="dxa"/>
              <w:start w:w="120" w:type="dxa"/>
              <w:bottom w:w="80" w:type="dxa"/>
              <w:end w:w="120" w:type="dxa"/>
            </w:tcMar>
            <w:shd w:fill="F2F4F7"/>
          </w:tcPr>
          <w:p>
            <w:pPr>
              <w:spacing w:after="0"/>
            </w:pPr>
            <w:r>
              <w:rPr>
                <w:rFonts w:ascii="Arial" w:hAnsi="Arial"/>
                <w:b/>
                <w:color w:val="0B2545"/>
                <w:sz w:val="16"/>
              </w:rPr>
              <w:t>Stand</w:t>
            </w:r>
          </w:p>
        </w:tc>
      </w:tr>
      <w:tr>
        <w:trPr>
          <w:cantSplit/>
        </w:trPr>
        <w:tc>
          <w:tcPr>
            <w:tcW w:type="dxa" w:w="3000"/>
          </w:tcPr>
          <w:p>
            <w:pPr>
              <w:spacing w:after="0"/>
            </w:pPr>
            <w:r>
              <w:rPr>
                <w:rFonts w:ascii="Arial" w:hAnsi="Arial"/>
                <w:color w:val="000000"/>
                <w:sz w:val="16"/>
              </w:rPr>
              <w:t>WONUM / WorkOrderNr</w:t>
            </w:r>
          </w:p>
        </w:tc>
        <w:tc>
          <w:tcPr>
            <w:tcW w:type="dxa" w:w="3500"/>
          </w:tcPr>
          <w:p>
            <w:pPr>
              <w:spacing w:after="0"/>
            </w:pPr>
            <w:r>
              <w:rPr>
                <w:rFonts w:ascii="Arial" w:hAnsi="Arial"/>
                <w:color w:val="000000"/>
                <w:sz w:val="16"/>
              </w:rPr>
              <w:t>Identificatie</w:t>
            </w:r>
          </w:p>
        </w:tc>
        <w:tc>
          <w:tcPr>
            <w:tcW w:type="dxa" w:w="2860"/>
          </w:tcPr>
          <w:p>
            <w:pPr>
              <w:spacing w:after="0"/>
            </w:pPr>
            <w:r>
              <w:rPr>
                <w:rFonts w:ascii="Arial" w:hAnsi="Arial"/>
                <w:color w:val="000000"/>
                <w:sz w:val="16"/>
              </w:rPr>
              <w:t>Sterk; uniciteitscontext bevestigen.</w:t>
            </w:r>
          </w:p>
        </w:tc>
      </w:tr>
      <w:tr>
        <w:trPr>
          <w:cantSplit/>
        </w:trPr>
        <w:tc>
          <w:tcPr>
            <w:tcW w:type="dxa" w:w="3000"/>
          </w:tcPr>
          <w:p>
            <w:pPr>
              <w:spacing w:after="0"/>
            </w:pPr>
            <w:r>
              <w:rPr>
                <w:rFonts w:ascii="Arial" w:hAnsi="Arial"/>
                <w:color w:val="000000"/>
                <w:sz w:val="16"/>
              </w:rPr>
              <w:t>ORGID, SITEID</w:t>
            </w:r>
          </w:p>
        </w:tc>
        <w:tc>
          <w:tcPr>
            <w:tcW w:type="dxa" w:w="3500"/>
          </w:tcPr>
          <w:p>
            <w:pPr>
              <w:spacing w:after="0"/>
            </w:pPr>
            <w:r>
              <w:rPr>
                <w:rFonts w:ascii="Arial" w:hAnsi="Arial"/>
                <w:color w:val="000000"/>
                <w:sz w:val="16"/>
              </w:rPr>
              <w:t>Organisatie- en sitecontext</w:t>
            </w:r>
          </w:p>
        </w:tc>
        <w:tc>
          <w:tcPr>
            <w:tcW w:type="dxa" w:w="2860"/>
          </w:tcPr>
          <w:p>
            <w:pPr>
              <w:spacing w:after="0"/>
            </w:pPr>
            <w:r>
              <w:rPr>
                <w:rFonts w:ascii="Arial" w:hAnsi="Arial"/>
                <w:color w:val="000000"/>
                <w:sz w:val="16"/>
              </w:rPr>
              <w:t>Sterk; administratieve versus uitvoeringsrol bevestigen.</w:t>
            </w:r>
          </w:p>
        </w:tc>
      </w:tr>
      <w:tr>
        <w:trPr>
          <w:cantSplit/>
        </w:trPr>
        <w:tc>
          <w:tcPr>
            <w:tcW w:type="dxa" w:w="3000"/>
          </w:tcPr>
          <w:p>
            <w:pPr>
              <w:spacing w:after="0"/>
            </w:pPr>
            <w:r>
              <w:rPr>
                <w:rFonts w:ascii="Arial" w:hAnsi="Arial"/>
                <w:color w:val="000000"/>
                <w:sz w:val="16"/>
              </w:rPr>
              <w:t>DESCRIPTION / Name</w:t>
            </w:r>
          </w:p>
        </w:tc>
        <w:tc>
          <w:tcPr>
            <w:tcW w:type="dxa" w:w="3500"/>
          </w:tcPr>
          <w:p>
            <w:pPr>
              <w:spacing w:after="0"/>
            </w:pPr>
            <w:r>
              <w:rPr>
                <w:rFonts w:ascii="Arial" w:hAnsi="Arial"/>
                <w:color w:val="000000"/>
                <w:sz w:val="16"/>
              </w:rPr>
              <w:t>Omschrijving of opdrachtnaam</w:t>
            </w:r>
          </w:p>
        </w:tc>
        <w:tc>
          <w:tcPr>
            <w:tcW w:type="dxa" w:w="2860"/>
          </w:tcPr>
          <w:p>
            <w:pPr>
              <w:spacing w:after="0"/>
            </w:pPr>
            <w:r>
              <w:rPr>
                <w:rFonts w:ascii="Arial" w:hAnsi="Arial"/>
                <w:color w:val="000000"/>
                <w:sz w:val="16"/>
              </w:rPr>
              <w:t>Sterk.</w:t>
            </w:r>
          </w:p>
        </w:tc>
      </w:tr>
      <w:tr>
        <w:trPr>
          <w:cantSplit/>
        </w:trPr>
        <w:tc>
          <w:tcPr>
            <w:tcW w:type="dxa" w:w="3000"/>
          </w:tcPr>
          <w:p>
            <w:pPr>
              <w:spacing w:after="0"/>
            </w:pPr>
            <w:r>
              <w:rPr>
                <w:rFonts w:ascii="Arial" w:hAnsi="Arial"/>
                <w:color w:val="000000"/>
                <w:sz w:val="16"/>
              </w:rPr>
              <w:t>STATUS, StatusDate, changedate</w:t>
            </w:r>
          </w:p>
        </w:tc>
        <w:tc>
          <w:tcPr>
            <w:tcW w:type="dxa" w:w="3500"/>
          </w:tcPr>
          <w:p>
            <w:pPr>
              <w:spacing w:after="0"/>
            </w:pPr>
            <w:r>
              <w:rPr>
                <w:rFonts w:ascii="Arial" w:hAnsi="Arial"/>
                <w:color w:val="000000"/>
                <w:sz w:val="16"/>
              </w:rPr>
              <w:t>Status en statusmoment</w:t>
            </w:r>
          </w:p>
        </w:tc>
        <w:tc>
          <w:tcPr>
            <w:tcW w:type="dxa" w:w="2860"/>
          </w:tcPr>
          <w:p>
            <w:pPr>
              <w:spacing w:after="0"/>
            </w:pPr>
            <w:r>
              <w:rPr>
                <w:rFonts w:ascii="Arial" w:hAnsi="Arial"/>
                <w:color w:val="000000"/>
                <w:sz w:val="16"/>
              </w:rPr>
              <w:t>Sterk; canonieke levenscyclus ontbreekt.</w:t>
            </w:r>
          </w:p>
        </w:tc>
      </w:tr>
      <w:tr>
        <w:trPr>
          <w:cantSplit/>
        </w:trPr>
        <w:tc>
          <w:tcPr>
            <w:tcW w:type="dxa" w:w="3000"/>
          </w:tcPr>
          <w:p>
            <w:pPr>
              <w:spacing w:after="0"/>
            </w:pPr>
            <w:r>
              <w:rPr>
                <w:rFonts w:ascii="Arial" w:hAnsi="Arial"/>
                <w:color w:val="000000"/>
                <w:sz w:val="16"/>
              </w:rPr>
              <w:t>TARGSTARTDATE, TARGCOMPDATE, SCHEDSTART, SCHEDFINISH</w:t>
            </w:r>
          </w:p>
        </w:tc>
        <w:tc>
          <w:tcPr>
            <w:tcW w:type="dxa" w:w="3500"/>
          </w:tcPr>
          <w:p>
            <w:pPr>
              <w:spacing w:after="0"/>
            </w:pPr>
            <w:r>
              <w:rPr>
                <w:rFonts w:ascii="Arial" w:hAnsi="Arial"/>
                <w:color w:val="000000"/>
                <w:sz w:val="16"/>
              </w:rPr>
              <w:t>Gepland tijdvenster</w:t>
            </w:r>
          </w:p>
        </w:tc>
        <w:tc>
          <w:tcPr>
            <w:tcW w:type="dxa" w:w="2860"/>
          </w:tcPr>
          <w:p>
            <w:pPr>
              <w:spacing w:after="0"/>
            </w:pPr>
            <w:r>
              <w:rPr>
                <w:rFonts w:ascii="Arial" w:hAnsi="Arial"/>
                <w:color w:val="000000"/>
                <w:sz w:val="16"/>
              </w:rPr>
              <w:t>Sterk; plan, commitment en actuals onderscheiden.</w:t>
            </w:r>
          </w:p>
        </w:tc>
      </w:tr>
      <w:tr>
        <w:trPr>
          <w:cantSplit/>
        </w:trPr>
        <w:tc>
          <w:tcPr>
            <w:tcW w:type="dxa" w:w="3000"/>
          </w:tcPr>
          <w:p>
            <w:pPr>
              <w:spacing w:after="0"/>
            </w:pPr>
            <w:r>
              <w:rPr>
                <w:rFonts w:ascii="Arial" w:hAnsi="Arial"/>
                <w:color w:val="000000"/>
                <w:sz w:val="16"/>
              </w:rPr>
              <w:t>PARENT</w:t>
            </w:r>
          </w:p>
        </w:tc>
        <w:tc>
          <w:tcPr>
            <w:tcW w:type="dxa" w:w="3500"/>
          </w:tcPr>
          <w:p>
            <w:pPr>
              <w:spacing w:after="0"/>
            </w:pPr>
            <w:r>
              <w:rPr>
                <w:rFonts w:ascii="Arial" w:hAnsi="Arial"/>
                <w:color w:val="000000"/>
                <w:sz w:val="16"/>
              </w:rPr>
              <w:t>Hiërarchische relatie</w:t>
            </w:r>
          </w:p>
        </w:tc>
        <w:tc>
          <w:tcPr>
            <w:tcW w:type="dxa" w:w="2860"/>
          </w:tcPr>
          <w:p>
            <w:pPr>
              <w:spacing w:after="0"/>
            </w:pPr>
            <w:r>
              <w:rPr>
                <w:rFonts w:ascii="Arial" w:hAnsi="Arial"/>
                <w:color w:val="000000"/>
                <w:sz w:val="16"/>
              </w:rPr>
              <w:t>Sterk; relatieobject benoemen.</w:t>
            </w:r>
          </w:p>
        </w:tc>
      </w:tr>
      <w:tr>
        <w:trPr>
          <w:cantSplit/>
        </w:trPr>
        <w:tc>
          <w:tcPr>
            <w:tcW w:type="dxa" w:w="3000"/>
          </w:tcPr>
          <w:p>
            <w:pPr>
              <w:spacing w:after="0"/>
            </w:pPr>
            <w:r>
              <w:rPr>
                <w:rFonts w:ascii="Arial" w:hAnsi="Arial"/>
                <w:color w:val="000000"/>
                <w:sz w:val="16"/>
              </w:rPr>
              <w:t>LOCATION, WOLO5, GEOCode</w:t>
            </w:r>
          </w:p>
        </w:tc>
        <w:tc>
          <w:tcPr>
            <w:tcW w:type="dxa" w:w="3500"/>
          </w:tcPr>
          <w:p>
            <w:pPr>
              <w:spacing w:after="0"/>
            </w:pPr>
            <w:r>
              <w:rPr>
                <w:rFonts w:ascii="Arial" w:hAnsi="Arial"/>
                <w:color w:val="000000"/>
                <w:sz w:val="16"/>
              </w:rPr>
              <w:t>Locatie/geografische context</w:t>
            </w:r>
          </w:p>
        </w:tc>
        <w:tc>
          <w:tcPr>
            <w:tcW w:type="dxa" w:w="2860"/>
          </w:tcPr>
          <w:p>
            <w:pPr>
              <w:spacing w:after="0"/>
            </w:pPr>
            <w:r>
              <w:rPr>
                <w:rFonts w:ascii="Arial" w:hAnsi="Arial"/>
                <w:color w:val="000000"/>
                <w:sz w:val="16"/>
              </w:rPr>
              <w:t>Sterk; primaire locatie kiezen.</w:t>
            </w:r>
          </w:p>
        </w:tc>
      </w:tr>
      <w:tr>
        <w:trPr>
          <w:cantSplit/>
        </w:trPr>
        <w:tc>
          <w:tcPr>
            <w:tcW w:type="dxa" w:w="3000"/>
          </w:tcPr>
          <w:p>
            <w:pPr>
              <w:spacing w:after="0"/>
            </w:pPr>
            <w:r>
              <w:rPr>
                <w:rFonts w:ascii="Arial" w:hAnsi="Arial"/>
                <w:color w:val="000000"/>
                <w:sz w:val="16"/>
              </w:rPr>
              <w:t>WORKTYPE, WO3</w:t>
            </w:r>
          </w:p>
        </w:tc>
        <w:tc>
          <w:tcPr>
            <w:tcW w:type="dxa" w:w="3500"/>
          </w:tcPr>
          <w:p>
            <w:pPr>
              <w:spacing w:after="0"/>
            </w:pPr>
            <w:r>
              <w:rPr>
                <w:rFonts w:ascii="Arial" w:hAnsi="Arial"/>
                <w:color w:val="000000"/>
                <w:sz w:val="16"/>
              </w:rPr>
              <w:t>Werksoort/technische classificatie</w:t>
            </w:r>
          </w:p>
        </w:tc>
        <w:tc>
          <w:tcPr>
            <w:tcW w:type="dxa" w:w="2860"/>
          </w:tcPr>
          <w:p>
            <w:pPr>
              <w:spacing w:after="0"/>
            </w:pPr>
            <w:r>
              <w:rPr>
                <w:rFonts w:ascii="Arial" w:hAnsi="Arial"/>
                <w:color w:val="000000"/>
                <w:sz w:val="16"/>
              </w:rPr>
              <w:t>Bronvelden bekend; codelijstbetekenis ontbreekt.</w:t>
            </w:r>
          </w:p>
        </w:tc>
      </w:tr>
      <w:tr>
        <w:trPr>
          <w:cantSplit/>
        </w:trPr>
        <w:tc>
          <w:tcPr>
            <w:tcW w:type="dxa" w:w="3000"/>
          </w:tcPr>
          <w:p>
            <w:pPr>
              <w:spacing w:after="0"/>
            </w:pPr>
            <w:r>
              <w:rPr>
                <w:rFonts w:ascii="Arial" w:hAnsi="Arial"/>
                <w:color w:val="000000"/>
                <w:sz w:val="16"/>
              </w:rPr>
              <w:t>GLACCOUNT, ProjectNr, BC, MonitoringCode, WOLO4</w:t>
            </w:r>
          </w:p>
        </w:tc>
        <w:tc>
          <w:tcPr>
            <w:tcW w:type="dxa" w:w="3500"/>
          </w:tcPr>
          <w:p>
            <w:pPr>
              <w:spacing w:after="0"/>
            </w:pPr>
            <w:r>
              <w:rPr>
                <w:rFonts w:ascii="Arial" w:hAnsi="Arial"/>
                <w:color w:val="000000"/>
                <w:sz w:val="16"/>
              </w:rPr>
              <w:t>Financiële, monitoring- en contractcontext</w:t>
            </w:r>
          </w:p>
        </w:tc>
        <w:tc>
          <w:tcPr>
            <w:tcW w:type="dxa" w:w="2860"/>
          </w:tcPr>
          <w:p>
            <w:pPr>
              <w:spacing w:after="0"/>
            </w:pPr>
            <w:r>
              <w:rPr>
                <w:rFonts w:ascii="Arial" w:hAnsi="Arial"/>
                <w:color w:val="000000"/>
                <w:sz w:val="16"/>
              </w:rPr>
              <w:t>Bronvelden bekend; semantiek en noodzaak bevestigen.</w:t>
            </w:r>
          </w:p>
        </w:tc>
      </w:tr>
      <w:tr>
        <w:trPr>
          <w:cantSplit/>
        </w:trPr>
        <w:tc>
          <w:tcPr>
            <w:tcW w:type="dxa" w:w="3000"/>
          </w:tcPr>
          <w:p>
            <w:pPr>
              <w:spacing w:after="0"/>
            </w:pPr>
            <w:r>
              <w:rPr>
                <w:rFonts w:ascii="Arial" w:hAnsi="Arial"/>
                <w:color w:val="000000"/>
                <w:sz w:val="16"/>
              </w:rPr>
              <w:t>LEAD, SUPERVISOR</w:t>
            </w:r>
          </w:p>
        </w:tc>
        <w:tc>
          <w:tcPr>
            <w:tcW w:type="dxa" w:w="3500"/>
          </w:tcPr>
          <w:p>
            <w:pPr>
              <w:spacing w:after="0"/>
            </w:pPr>
            <w:r>
              <w:rPr>
                <w:rFonts w:ascii="Arial" w:hAnsi="Arial"/>
                <w:color w:val="000000"/>
                <w:sz w:val="16"/>
              </w:rPr>
              <w:t>WerkOrder-rollen/bemensing</w:t>
            </w:r>
          </w:p>
        </w:tc>
        <w:tc>
          <w:tcPr>
            <w:tcW w:type="dxa" w:w="2860"/>
          </w:tcPr>
          <w:p>
            <w:pPr>
              <w:spacing w:after="0"/>
            </w:pPr>
            <w:r>
              <w:rPr>
                <w:rFonts w:ascii="Arial" w:hAnsi="Arial"/>
                <w:color w:val="000000"/>
                <w:sz w:val="16"/>
              </w:rPr>
              <w:t>Bronvelden bekend; persoon, medewerker of rol bepalen.</w:t>
            </w:r>
          </w:p>
        </w:tc>
      </w:tr>
      <w:tr>
        <w:trPr>
          <w:cantSplit/>
        </w:trPr>
        <w:tc>
          <w:tcPr>
            <w:tcW w:type="dxa" w:w="3000"/>
          </w:tcPr>
          <w:p>
            <w:pPr>
              <w:spacing w:after="0"/>
            </w:pPr>
            <w:r>
              <w:rPr>
                <w:rFonts w:ascii="Arial" w:hAnsi="Arial"/>
                <w:color w:val="000000"/>
                <w:sz w:val="16"/>
              </w:rPr>
              <w:t>WOPM1, WOPM5, WOPM6, WO14, HistoryFlag, QQProcessed</w:t>
            </w:r>
          </w:p>
        </w:tc>
        <w:tc>
          <w:tcPr>
            <w:tcW w:type="dxa" w:w="3500"/>
          </w:tcPr>
          <w:p>
            <w:pPr>
              <w:spacing w:after="0"/>
            </w:pPr>
            <w:r>
              <w:rPr>
                <w:rFonts w:ascii="Arial" w:hAnsi="Arial"/>
                <w:color w:val="000000"/>
                <w:sz w:val="16"/>
              </w:rPr>
              <w:t>Aanvullende kenmerken/lifecycle</w:t>
            </w:r>
          </w:p>
        </w:tc>
        <w:tc>
          <w:tcPr>
            <w:tcW w:type="dxa" w:w="2860"/>
          </w:tcPr>
          <w:p>
            <w:pPr>
              <w:spacing w:after="0"/>
            </w:pPr>
            <w:r>
              <w:rPr>
                <w:rFonts w:ascii="Arial" w:hAnsi="Arial"/>
                <w:color w:val="000000"/>
                <w:sz w:val="16"/>
              </w:rPr>
              <w:t>Niet formeel geduid; expliciet besluit nodig.</w:t>
            </w:r>
          </w:p>
        </w:tc>
      </w:tr>
    </w:tbl>
    <w:p>
      <w:pPr>
        <w:spacing w:after="40"/>
      </w:pPr>
    </w:p>
    <w:p>
      <w:pPr>
        <w:pStyle w:val="Heading1"/>
      </w:pPr>
      <w:r>
        <w:t>5. Wat businesslogica is en wat technisch of historisch lijkt</w:t>
      </w:r>
    </w:p>
    <w:p>
      <w:r>
        <w:rPr>
          <w:rFonts w:ascii="Arial" w:hAnsi="Arial"/>
          <w:i w:val="0"/>
          <w:color w:val="000000"/>
          <w:sz w:val="22"/>
        </w:rPr>
        <w:t>Status, planningsvenster, vrijgegeven capaciteit, werksoort, locatie en hiërarchie zijn businessrelevante gegevens. De SQL-selectie voor een gepland Quintiq-record bevat bovendien duidelijke businessachtige voorwaarden. De code bewijst echter niet dat elke huidige voorwaarde toekomstig beleid moet blijven. Zo kan WOP een valide processtatus zijn, maar ook een lokale technische selectieconventie.</w:t>
      </w:r>
    </w:p>
    <w:p>
      <w:r>
        <w:rPr>
          <w:rFonts w:ascii="Arial" w:hAnsi="Arial"/>
          <w:i w:val="0"/>
          <w:color w:val="000000"/>
          <w:sz w:val="22"/>
        </w:rPr>
        <w:t>Datumparsing, tijdformattering, voorloopnullen bij LEAD, tMap-variabelen, bestandsbuffers, JMS, wiretaps, retries, stat catchers en proces-tabellen zijn voornamelijk technische transformatie of afhandeling. Zij horen niet automatisch in een VWI WerkOrder-contract. De regel ESTDUR ÷ 8 is een grensgeval: zij kan een inhoudelijke dagconventie representeren, maar kan ook een historische Quintiq-adapterregel zijn. Daarom is die regel niet als modelwaarheid gepresenteerd.</w:t>
      </w:r>
    </w:p>
    <w:p>
      <w:r>
        <w:rPr>
          <w:rFonts w:ascii="Arial" w:hAnsi="Arial"/>
          <w:i w:val="0"/>
          <w:color w:val="000000"/>
          <w:sz w:val="22"/>
        </w:rPr>
        <w:t>De aparte Ortec-routes voor gepland direct, gepland indirect, gewijzigd en geannuleerd kunnen echte eventtypen zijn, maar kunnen ook de resultante zijn van een historisch point-to-point ontwerp. De technische code toont de opsplitsing; alleen business kan bepalen of alle categorieën als zelfstandige toekomstige events nodig zijn.</w:t>
      </w:r>
    </w:p>
    <w:p>
      <w:pPr>
        <w:pStyle w:val="Heading1"/>
      </w:pPr>
      <w:r>
        <w:t>6. Rationalisatie: wat de analyse zegt</w:t>
      </w:r>
    </w:p>
    <w:p>
      <w:r>
        <w:rPr>
          <w:rFonts w:ascii="Arial" w:hAnsi="Arial"/>
          <w:i w:val="0"/>
          <w:color w:val="000000"/>
          <w:sz w:val="22"/>
        </w:rPr>
        <w:t>De businessuitwisselingen zijn niet hetzelfde als de Talend-implementaties. De onderstaande conclusie gaat daarom over de informatiecapability; Talend, JMS, bestanden en VRI zijn implementatiemiddelen die daarvan los beoordeeld moeten worden.</w:t>
      </w:r>
    </w:p>
    <w:tbl>
      <w:tblPr>
        <w:tblStyle w:val="TableGrid"/>
        <w:tblW w:type="dxa" w:w="9360"/>
        <w:tblLayout w:type="fixed"/>
        <w:tblLook w:firstColumn="1" w:firstRow="1" w:lastColumn="0" w:lastRow="0" w:noHBand="0" w:noVBand="1" w:val="04A0"/>
        <w:tblInd w:w="120" w:type="dxa"/>
      </w:tblPr>
      <w:tblGrid>
        <w:gridCol w:w="2700"/>
        <w:gridCol w:w="3300"/>
        <w:gridCol w:w="3360"/>
      </w:tblGrid>
      <w:tr>
        <w:trPr>
          <w:tblHeader w:val="true"/>
        </w:trPr>
        <w:tc>
          <w:tcPr>
            <w:tcW w:type="dxa" w:w="2700"/>
            <w:vAlign w:val="center"/>
            <w:tcMar>
              <w:top w:w="80" w:type="dxa"/>
              <w:start w:w="120" w:type="dxa"/>
              <w:bottom w:w="80" w:type="dxa"/>
              <w:end w:w="120" w:type="dxa"/>
            </w:tcMar>
            <w:shd w:fill="F2F4F7"/>
          </w:tcPr>
          <w:p>
            <w:pPr>
              <w:spacing w:after="0"/>
            </w:pPr>
            <w:r>
              <w:rPr>
                <w:rFonts w:ascii="Arial" w:hAnsi="Arial"/>
                <w:b/>
                <w:color w:val="0B2545"/>
                <w:sz w:val="16"/>
              </w:rPr>
              <w:t>Informatie-uitwisseling</w:t>
            </w:r>
          </w:p>
        </w:tc>
        <w:tc>
          <w:tcPr>
            <w:tcW w:type="dxa" w:w="3300"/>
            <w:vAlign w:val="center"/>
            <w:tcMar>
              <w:top w:w="80" w:type="dxa"/>
              <w:start w:w="120" w:type="dxa"/>
              <w:bottom w:w="80" w:type="dxa"/>
              <w:end w:w="120" w:type="dxa"/>
            </w:tcMar>
            <w:shd w:fill="F2F4F7"/>
          </w:tcPr>
          <w:p>
            <w:pPr>
              <w:spacing w:after="0"/>
            </w:pPr>
            <w:r>
              <w:rPr>
                <w:rFonts w:ascii="Arial" w:hAnsi="Arial"/>
                <w:b/>
                <w:color w:val="0B2545"/>
                <w:sz w:val="16"/>
              </w:rPr>
              <w:t>Feitelijke conclusie</w:t>
            </w:r>
          </w:p>
        </w:tc>
        <w:tc>
          <w:tcPr>
            <w:tcW w:type="dxa" w:w="3360"/>
            <w:vAlign w:val="center"/>
            <w:tcMar>
              <w:top w:w="80" w:type="dxa"/>
              <w:start w:w="120" w:type="dxa"/>
              <w:bottom w:w="80" w:type="dxa"/>
              <w:end w:w="120" w:type="dxa"/>
            </w:tcMar>
            <w:shd w:fill="F2F4F7"/>
          </w:tcPr>
          <w:p>
            <w:pPr>
              <w:spacing w:after="0"/>
            </w:pPr>
            <w:r>
              <w:rPr>
                <w:rFonts w:ascii="Arial" w:hAnsi="Arial"/>
                <w:b/>
                <w:color w:val="0B2545"/>
                <w:sz w:val="16"/>
              </w:rPr>
              <w:t>Rationalisatieoordeel</w:t>
            </w:r>
          </w:p>
        </w:tc>
      </w:tr>
      <w:tr>
        <w:trPr>
          <w:cantSplit/>
        </w:trPr>
        <w:tc>
          <w:tcPr>
            <w:tcW w:type="dxa" w:w="2700"/>
          </w:tcPr>
          <w:p>
            <w:pPr>
              <w:spacing w:after="0"/>
            </w:pPr>
            <w:r>
              <w:rPr>
                <w:rFonts w:ascii="Arial" w:hAnsi="Arial"/>
                <w:color w:val="000000"/>
                <w:sz w:val="16"/>
              </w:rPr>
              <w:t>Maximo → Quintiq WerkOrder</w:t>
            </w:r>
          </w:p>
        </w:tc>
        <w:tc>
          <w:tcPr>
            <w:tcW w:type="dxa" w:w="3300"/>
          </w:tcPr>
          <w:p>
            <w:pPr>
              <w:spacing w:after="0"/>
            </w:pPr>
            <w:r>
              <w:rPr>
                <w:rFonts w:ascii="Arial" w:hAnsi="Arial"/>
                <w:color w:val="000000"/>
                <w:sz w:val="16"/>
              </w:rPr>
              <w:t>Brede uitwisseling met planning, locatie, classificatie en rollen.</w:t>
            </w:r>
          </w:p>
        </w:tc>
        <w:tc>
          <w:tcPr>
            <w:tcW w:type="dxa" w:w="3360"/>
          </w:tcPr>
          <w:p>
            <w:pPr>
              <w:spacing w:after="0"/>
            </w:pPr>
            <w:r>
              <w:rPr>
                <w:rFonts w:ascii="Arial" w:hAnsi="Arial"/>
                <w:color w:val="000000"/>
                <w:sz w:val="16"/>
              </w:rPr>
              <w:t>Behouden als capability; Talend-mapping vervangen door expliciet contract.</w:t>
            </w:r>
          </w:p>
        </w:tc>
      </w:tr>
      <w:tr>
        <w:trPr>
          <w:cantSplit/>
        </w:trPr>
        <w:tc>
          <w:tcPr>
            <w:tcW w:type="dxa" w:w="2700"/>
          </w:tcPr>
          <w:p>
            <w:pPr>
              <w:spacing w:after="0"/>
            </w:pPr>
            <w:r>
              <w:rPr>
                <w:rFonts w:ascii="Arial" w:hAnsi="Arial"/>
                <w:color w:val="000000"/>
                <w:sz w:val="16"/>
              </w:rPr>
              <w:t>Quintiq → Maximo planning</w:t>
            </w:r>
          </w:p>
        </w:tc>
        <w:tc>
          <w:tcPr>
            <w:tcW w:type="dxa" w:w="3300"/>
          </w:tcPr>
          <w:p>
            <w:pPr>
              <w:spacing w:after="0"/>
            </w:pPr>
            <w:r>
              <w:rPr>
                <w:rFonts w:ascii="Arial" w:hAnsi="Arial"/>
                <w:color w:val="000000"/>
                <w:sz w:val="16"/>
              </w:rPr>
              <w:t>Planningselectie en afleiding aantoonbaar in SQL.</w:t>
            </w:r>
          </w:p>
        </w:tc>
        <w:tc>
          <w:tcPr>
            <w:tcW w:type="dxa" w:w="3360"/>
          </w:tcPr>
          <w:p>
            <w:pPr>
              <w:spacing w:after="0"/>
            </w:pPr>
            <w:r>
              <w:rPr>
                <w:rFonts w:ascii="Arial" w:hAnsi="Arial"/>
                <w:color w:val="000000"/>
                <w:sz w:val="16"/>
              </w:rPr>
              <w:t>Behouden als capability; selectie- en ownershipregels expliciet modelleren.</w:t>
            </w:r>
          </w:p>
        </w:tc>
      </w:tr>
      <w:tr>
        <w:trPr>
          <w:cantSplit/>
        </w:trPr>
        <w:tc>
          <w:tcPr>
            <w:tcW w:type="dxa" w:w="2700"/>
          </w:tcPr>
          <w:p>
            <w:pPr>
              <w:spacing w:after="0"/>
            </w:pPr>
            <w:r>
              <w:rPr>
                <w:rFonts w:ascii="Arial" w:hAnsi="Arial"/>
                <w:color w:val="000000"/>
                <w:sz w:val="16"/>
              </w:rPr>
              <w:t>Maximo → RHM WerkOrder</w:t>
            </w:r>
          </w:p>
        </w:tc>
        <w:tc>
          <w:tcPr>
            <w:tcW w:type="dxa" w:w="3300"/>
          </w:tcPr>
          <w:p>
            <w:pPr>
              <w:spacing w:after="0"/>
            </w:pPr>
            <w:r>
              <w:rPr>
                <w:rFonts w:ascii="Arial" w:hAnsi="Arial"/>
                <w:color w:val="000000"/>
                <w:sz w:val="16"/>
              </w:rPr>
              <w:t>Compact profiel met identiteit, status, hiërarchie en context.</w:t>
            </w:r>
          </w:p>
        </w:tc>
        <w:tc>
          <w:tcPr>
            <w:tcW w:type="dxa" w:w="3360"/>
          </w:tcPr>
          <w:p>
            <w:pPr>
              <w:spacing w:after="0"/>
            </w:pPr>
            <w:r>
              <w:rPr>
                <w:rFonts w:ascii="Arial" w:hAnsi="Arial"/>
                <w:color w:val="000000"/>
                <w:sz w:val="16"/>
              </w:rPr>
              <w:t>Behouden indien RHM-functie blijft; standaardiseren op common layer.</w:t>
            </w:r>
          </w:p>
        </w:tc>
      </w:tr>
      <w:tr>
        <w:trPr>
          <w:cantSplit/>
        </w:trPr>
        <w:tc>
          <w:tcPr>
            <w:tcW w:type="dxa" w:w="2700"/>
          </w:tcPr>
          <w:p>
            <w:pPr>
              <w:spacing w:after="0"/>
            </w:pPr>
            <w:r>
              <w:rPr>
                <w:rFonts w:ascii="Arial" w:hAnsi="Arial"/>
                <w:color w:val="000000"/>
                <w:sz w:val="16"/>
              </w:rPr>
              <w:t>Maximo → 4PS</w:t>
            </w:r>
          </w:p>
        </w:tc>
        <w:tc>
          <w:tcPr>
            <w:tcW w:type="dxa" w:w="3300"/>
          </w:tcPr>
          <w:p>
            <w:pPr>
              <w:spacing w:after="0"/>
            </w:pPr>
            <w:r>
              <w:rPr>
                <w:rFonts w:ascii="Arial" w:hAnsi="Arial"/>
                <w:color w:val="000000"/>
                <w:sz w:val="16"/>
              </w:rPr>
              <w:t>Route en status/transformatie aantoonbaar; volledige payload niet.</w:t>
            </w:r>
          </w:p>
        </w:tc>
        <w:tc>
          <w:tcPr>
            <w:tcW w:type="dxa" w:w="3360"/>
          </w:tcPr>
          <w:p>
            <w:pPr>
              <w:spacing w:after="0"/>
            </w:pPr>
            <w:r>
              <w:rPr>
                <w:rFonts w:ascii="Arial" w:hAnsi="Arial"/>
                <w:color w:val="000000"/>
                <w:sz w:val="16"/>
              </w:rPr>
              <w:t>Businesscapability onderzoeken/valideren; Talend/JMS niet één-op-één overnemen.</w:t>
            </w:r>
          </w:p>
        </w:tc>
      </w:tr>
      <w:tr>
        <w:trPr>
          <w:cantSplit/>
        </w:trPr>
        <w:tc>
          <w:tcPr>
            <w:tcW w:type="dxa" w:w="2700"/>
          </w:tcPr>
          <w:p>
            <w:pPr>
              <w:spacing w:after="0"/>
            </w:pPr>
            <w:r>
              <w:rPr>
                <w:rFonts w:ascii="Arial" w:hAnsi="Arial"/>
                <w:color w:val="000000"/>
                <w:sz w:val="16"/>
              </w:rPr>
              <w:t>AssetCheck / VISE</w:t>
            </w:r>
          </w:p>
        </w:tc>
        <w:tc>
          <w:tcPr>
            <w:tcW w:type="dxa" w:w="3300"/>
          </w:tcPr>
          <w:p>
            <w:pPr>
              <w:spacing w:after="0"/>
            </w:pPr>
            <w:r>
              <w:rPr>
                <w:rFonts w:ascii="Arial" w:hAnsi="Arial"/>
                <w:color w:val="000000"/>
                <w:sz w:val="16"/>
              </w:rPr>
              <w:t>Get/send/update-keten aantoonbaar; businesspayload niet zichtbaar.</w:t>
            </w:r>
          </w:p>
        </w:tc>
        <w:tc>
          <w:tcPr>
            <w:tcW w:type="dxa" w:w="3360"/>
          </w:tcPr>
          <w:p>
            <w:pPr>
              <w:spacing w:after="0"/>
            </w:pPr>
            <w:r>
              <w:rPr>
                <w:rFonts w:ascii="Arial" w:hAnsi="Arial"/>
                <w:color w:val="000000"/>
                <w:sz w:val="16"/>
              </w:rPr>
              <w:t>Nader onderzoeken vóór besluit over behoud of vervanging.</w:t>
            </w:r>
          </w:p>
        </w:tc>
      </w:tr>
      <w:tr>
        <w:trPr>
          <w:cantSplit/>
        </w:trPr>
        <w:tc>
          <w:tcPr>
            <w:tcW w:type="dxa" w:w="2700"/>
          </w:tcPr>
          <w:p>
            <w:pPr>
              <w:spacing w:after="0"/>
            </w:pPr>
            <w:r>
              <w:rPr>
                <w:rFonts w:ascii="Arial" w:hAnsi="Arial"/>
                <w:color w:val="000000"/>
                <w:sz w:val="16"/>
              </w:rPr>
              <w:t>Ortec lifecycle-routes</w:t>
            </w:r>
          </w:p>
        </w:tc>
        <w:tc>
          <w:tcPr>
            <w:tcW w:type="dxa" w:w="3300"/>
          </w:tcPr>
          <w:p>
            <w:pPr>
              <w:spacing w:after="0"/>
            </w:pPr>
            <w:r>
              <w:rPr>
                <w:rFonts w:ascii="Arial" w:hAnsi="Arial"/>
                <w:color w:val="000000"/>
                <w:sz w:val="16"/>
              </w:rPr>
              <w:t>Gepland, gewijzigd en geannuleerd zijn technisch aparte routes.</w:t>
            </w:r>
          </w:p>
        </w:tc>
        <w:tc>
          <w:tcPr>
            <w:tcW w:type="dxa" w:w="3360"/>
          </w:tcPr>
          <w:p>
            <w:pPr>
              <w:spacing w:after="0"/>
            </w:pPr>
            <w:r>
              <w:rPr>
                <w:rFonts w:ascii="Arial" w:hAnsi="Arial"/>
                <w:color w:val="000000"/>
                <w:sz w:val="16"/>
              </w:rPr>
              <w:t>Samenvoegen tot heldere lifecycle-events indien business de categorieën bevestigt.</w:t>
            </w:r>
          </w:p>
        </w:tc>
      </w:tr>
      <w:tr>
        <w:trPr>
          <w:cantSplit/>
        </w:trPr>
        <w:tc>
          <w:tcPr>
            <w:tcW w:type="dxa" w:w="2700"/>
          </w:tcPr>
          <w:p>
            <w:pPr>
              <w:spacing w:after="0"/>
            </w:pPr>
            <w:r>
              <w:rPr>
                <w:rFonts w:ascii="Arial" w:hAnsi="Arial"/>
                <w:color w:val="000000"/>
                <w:sz w:val="16"/>
              </w:rPr>
              <w:t>Processes, ProcessData, temp tables, logging, files, retries</w:t>
            </w:r>
          </w:p>
        </w:tc>
        <w:tc>
          <w:tcPr>
            <w:tcW w:type="dxa" w:w="3300"/>
          </w:tcPr>
          <w:p>
            <w:pPr>
              <w:spacing w:after="0"/>
            </w:pPr>
            <w:r>
              <w:rPr>
                <w:rFonts w:ascii="Arial" w:hAnsi="Arial"/>
                <w:color w:val="000000"/>
                <w:sz w:val="16"/>
              </w:rPr>
              <w:t>Technische processing en observability.</w:t>
            </w:r>
          </w:p>
        </w:tc>
        <w:tc>
          <w:tcPr>
            <w:tcW w:type="dxa" w:w="3360"/>
          </w:tcPr>
          <w:p>
            <w:pPr>
              <w:spacing w:after="0"/>
            </w:pPr>
            <w:r>
              <w:rPr>
                <w:rFonts w:ascii="Arial" w:hAnsi="Arial"/>
                <w:color w:val="000000"/>
                <w:sz w:val="16"/>
              </w:rPr>
              <w:t>Niet modelleren als WerkOrder; vervangen door platformvoorzieningen waar nodig.</w:t>
            </w:r>
          </w:p>
        </w:tc>
      </w:tr>
    </w:tbl>
    <w:p>
      <w:pPr>
        <w:spacing w:after="40"/>
      </w:pPr>
    </w:p>
    <w:p>
      <w:pPr>
        <w:pStyle w:val="Heading1"/>
      </w:pPr>
      <w:r>
        <w:t>7. Wat de analyse niet kan beantwoorden</w:t>
      </w:r>
    </w:p>
    <w:p>
      <w:r>
        <w:rPr>
          <w:rFonts w:ascii="Arial" w:hAnsi="Arial"/>
          <w:i w:val="0"/>
          <w:color w:val="000000"/>
          <w:sz w:val="22"/>
        </w:rPr>
        <w:t>De code geeft geen formeel antwoord op wie per attribuut de auteur is. Voor status, planning, locatie, financieel/project, contractcontext en uitvoering moet worden bevestigd welk systeem mag creëren, wijzigen of alleen consumeren. De technische richting Maximo→Quintiq bewijst bijvoorbeeld dat Maximo velden verstuurt, maar niet dat Maximo voor elk daarvan de blijvende autoriteit is.</w:t>
      </w:r>
    </w:p>
    <w:p>
      <w:r>
        <w:rPr>
          <w:rFonts w:ascii="Arial" w:hAnsi="Arial"/>
          <w:i w:val="0"/>
          <w:color w:val="000000"/>
          <w:sz w:val="22"/>
        </w:rPr>
        <w:t>Ook ontbreekt de officiële VWI-semantiek. Zonder die basis kan GLACCOUNT niet veilig als 'project', WO3 niet als een bepaalde technische classificatie en QQProcessed niet als een formele lifecycle-status worden vastgelegd. Ten slotte zijn actuele runtimegebruik, volumes, SLA's en de volledigheid van de 4PS/AssetCheck-payload niet uit een statische ZIP af te leiden.</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7A5A00"/>
                <w:sz w:val="21"/>
              </w:rPr>
              <w:t xml:space="preserve">Resterende inhoudelijke besluiten: </w:t>
            </w:r>
            <w:r>
              <w:rPr>
                <w:rFonts w:ascii="Arial" w:hAnsi="Arial"/>
                <w:color w:val="7A5A00"/>
                <w:sz w:val="21"/>
              </w:rPr>
              <w:t>De enige noodzakelijke validaties gaan over VWI-betekenis, data-ownership, status-/planningslevenscyclus, de betekenis van lokale velden en de nog onzichtbare payloads. Algemene Talend-beheer- of securityvragen zijn hiervoor geen voorwaarde.</w:t>
            </w:r>
          </w:p>
        </w:tc>
      </w:tr>
    </w:tbl>
    <w:p>
      <w:pPr>
        <w:spacing w:after="40"/>
      </w:pPr>
    </w:p>
    <w:p>
      <w:pPr>
        <w:pStyle w:val="Heading1"/>
      </w:pPr>
      <w:r>
        <w:t>8. Eindantwoord</w:t>
      </w:r>
    </w:p>
    <w:p>
      <w:r>
        <w:rPr>
          <w:rFonts w:ascii="Arial" w:hAnsi="Arial"/>
          <w:i w:val="0"/>
          <w:color w:val="000000"/>
          <w:sz w:val="22"/>
        </w:rPr>
        <w:t>De WerkOrder-analyse heeft daadwerkelijk mappings en SQL gebruikt. Zij laat zien welke gegevens op welke routes aantoonbaar worden uitgewisseld, waar de planninglogica zit, welke transformaties verborgen in Talend staan en waar de technische evidence stopt. Daarmee is Talend niet als doel gedocumenteerd; de relevante informatie-uitwisseling is zichtbaar gemaakt als basis voor rationalisatie en een toekomstig common-layercontract.</w:t>
      </w:r>
    </w:p>
    <w:p>
      <w:r>
        <w:rPr>
          <w:rFonts w:ascii="Arial" w:hAnsi="Arial"/>
          <w:i w:val="0"/>
          <w:color w:val="000000"/>
          <w:sz w:val="22"/>
        </w:rPr>
        <w:t>De meest concrete ontwerpconclusie is een gemeenschappelijke WerkOrder-kern met aparte segmenten voor planning, lifecycle-terugmelding, locatie/classificatie en rollen. De huidige Talend point-to-point implementaties hoeven niet te worden gekopieerd. Alleen de businessinformatie en de regels die na validatie werkelijk nodig zijn, behoren terug te komen in het toekomstige ontwerp.</w:t>
      </w:r>
    </w:p>
    <w:p>
      <w:pPr>
        <w:pStyle w:val="Heading1"/>
      </w:pPr>
      <w:r>
        <w:t>Bijlage A. Traceerbare technische bronnen</w:t>
      </w:r>
    </w:p>
    <w:tbl>
      <w:tblPr>
        <w:tblStyle w:val="TableGrid"/>
        <w:tblW w:type="dxa" w:w="9360"/>
        <w:tblLayout w:type="fixed"/>
        <w:tblLook w:firstColumn="1" w:firstRow="1" w:lastColumn="0" w:lastRow="0" w:noHBand="0" w:noVBand="1" w:val="04A0"/>
        <w:tblInd w:w="120" w:type="dxa"/>
      </w:tblPr>
      <w:tblGrid>
        <w:gridCol w:w="3200"/>
        <w:gridCol w:w="6160"/>
      </w:tblGrid>
      <w:tr>
        <w:trPr>
          <w:tblHeader w:val="true"/>
        </w:trPr>
        <w:tc>
          <w:tcPr>
            <w:tcW w:type="dxa" w:w="3200"/>
            <w:vAlign w:val="center"/>
            <w:tcMar>
              <w:top w:w="80" w:type="dxa"/>
              <w:start w:w="120" w:type="dxa"/>
              <w:bottom w:w="80" w:type="dxa"/>
              <w:end w:w="120" w:type="dxa"/>
            </w:tcMar>
            <w:shd w:fill="F2F4F7"/>
          </w:tcPr>
          <w:p>
            <w:pPr>
              <w:spacing w:after="0"/>
            </w:pPr>
            <w:r>
              <w:rPr>
                <w:rFonts w:ascii="Arial" w:hAnsi="Arial"/>
                <w:b/>
                <w:color w:val="0B2545"/>
                <w:sz w:val="17"/>
              </w:rPr>
              <w:t>Bron</w:t>
            </w:r>
          </w:p>
        </w:tc>
        <w:tc>
          <w:tcPr>
            <w:tcW w:type="dxa" w:w="6160"/>
            <w:vAlign w:val="center"/>
            <w:tcMar>
              <w:top w:w="80" w:type="dxa"/>
              <w:start w:w="120" w:type="dxa"/>
              <w:bottom w:w="80" w:type="dxa"/>
              <w:end w:w="120" w:type="dxa"/>
            </w:tcMar>
            <w:shd w:fill="F2F4F7"/>
          </w:tcPr>
          <w:p>
            <w:pPr>
              <w:spacing w:after="0"/>
            </w:pPr>
            <w:r>
              <w:rPr>
                <w:rFonts w:ascii="Arial" w:hAnsi="Arial"/>
                <w:b/>
                <w:color w:val="0B2545"/>
                <w:sz w:val="17"/>
              </w:rPr>
              <w:t>Waarvoor gebruikt</w:t>
            </w:r>
          </w:p>
        </w:tc>
      </w:tr>
      <w:tr>
        <w:trPr>
          <w:cantSplit/>
        </w:trPr>
        <w:tc>
          <w:tcPr>
            <w:tcW w:type="dxa" w:w="3200"/>
          </w:tcPr>
          <w:p>
            <w:pPr>
              <w:spacing w:after="0"/>
            </w:pPr>
            <w:r>
              <w:rPr>
                <w:rFonts w:ascii="Arial" w:hAnsi="Arial"/>
                <w:color w:val="000000"/>
                <w:sz w:val="17"/>
              </w:rPr>
              <w:t>intodoc-output/werkorder/scan_result.json</w:t>
            </w:r>
          </w:p>
        </w:tc>
        <w:tc>
          <w:tcPr>
            <w:tcW w:type="dxa" w:w="6160"/>
          </w:tcPr>
          <w:p>
            <w:pPr>
              <w:spacing w:after="0"/>
            </w:pPr>
            <w:r>
              <w:rPr>
                <w:rFonts w:ascii="Arial" w:hAnsi="Arial"/>
                <w:color w:val="000000"/>
                <w:sz w:val="17"/>
              </w:rPr>
              <w:t>Artefactinventaris, componenten, SQL-parameters en tMap/tXMLMap-expressies.</w:t>
            </w:r>
          </w:p>
        </w:tc>
      </w:tr>
      <w:tr>
        <w:trPr>
          <w:cantSplit/>
        </w:trPr>
        <w:tc>
          <w:tcPr>
            <w:tcW w:type="dxa" w:w="3200"/>
          </w:tcPr>
          <w:p>
            <w:pPr>
              <w:spacing w:after="0"/>
            </w:pPr>
            <w:r>
              <w:rPr>
                <w:rFonts w:ascii="Arial" w:hAnsi="Arial"/>
                <w:color w:val="000000"/>
                <w:sz w:val="17"/>
              </w:rPr>
              <w:t>Quintiq2Maximo_PlannedWorkOrder_0.9.item</w:t>
            </w:r>
          </w:p>
        </w:tc>
        <w:tc>
          <w:tcPr>
            <w:tcW w:type="dxa" w:w="6160"/>
          </w:tcPr>
          <w:p>
            <w:pPr>
              <w:spacing w:after="0"/>
            </w:pPr>
            <w:r>
              <w:rPr>
                <w:rFonts w:ascii="Arial" w:hAnsi="Arial"/>
                <w:color w:val="000000"/>
                <w:sz w:val="17"/>
              </w:rPr>
              <w:t>SQL-selectie en afleiding voor geplande WerkOrder.</w:t>
            </w:r>
          </w:p>
        </w:tc>
      </w:tr>
      <w:tr>
        <w:trPr>
          <w:cantSplit/>
        </w:trPr>
        <w:tc>
          <w:tcPr>
            <w:tcW w:type="dxa" w:w="3200"/>
          </w:tcPr>
          <w:p>
            <w:pPr>
              <w:spacing w:after="0"/>
            </w:pPr>
            <w:r>
              <w:rPr>
                <w:rFonts w:ascii="Arial" w:hAnsi="Arial"/>
                <w:color w:val="000000"/>
                <w:sz w:val="17"/>
              </w:rPr>
              <w:t>Quintiq2Maximo_WorkOrderPickedUpXML_0.9.item</w:t>
            </w:r>
          </w:p>
        </w:tc>
        <w:tc>
          <w:tcPr>
            <w:tcW w:type="dxa" w:w="6160"/>
          </w:tcPr>
          <w:p>
            <w:pPr>
              <w:spacing w:after="0"/>
            </w:pPr>
            <w:r>
              <w:rPr>
                <w:rFonts w:ascii="Arial" w:hAnsi="Arial"/>
                <w:color w:val="000000"/>
                <w:sz w:val="17"/>
              </w:rPr>
              <w:t>QQProcessed-gebaseerde feedback/pickup-selectie.</w:t>
            </w:r>
          </w:p>
        </w:tc>
      </w:tr>
      <w:tr>
        <w:trPr>
          <w:cantSplit/>
        </w:trPr>
        <w:tc>
          <w:tcPr>
            <w:tcW w:type="dxa" w:w="3200"/>
          </w:tcPr>
          <w:p>
            <w:pPr>
              <w:spacing w:after="0"/>
            </w:pPr>
            <w:r>
              <w:rPr>
                <w:rFonts w:ascii="Arial" w:hAnsi="Arial"/>
                <w:color w:val="000000"/>
                <w:sz w:val="17"/>
              </w:rPr>
              <w:t>Maximo2Quintiq_Workorder_0.1.item</w:t>
            </w:r>
          </w:p>
        </w:tc>
        <w:tc>
          <w:tcPr>
            <w:tcW w:type="dxa" w:w="6160"/>
          </w:tcPr>
          <w:p>
            <w:pPr>
              <w:spacing w:after="0"/>
            </w:pPr>
            <w:r>
              <w:rPr>
                <w:rFonts w:ascii="Arial" w:hAnsi="Arial"/>
                <w:color w:val="000000"/>
                <w:sz w:val="17"/>
              </w:rPr>
              <w:t>Maximo→Quintiq veldmapping.</w:t>
            </w:r>
          </w:p>
        </w:tc>
      </w:tr>
      <w:tr>
        <w:trPr>
          <w:cantSplit/>
        </w:trPr>
        <w:tc>
          <w:tcPr>
            <w:tcW w:type="dxa" w:w="3200"/>
          </w:tcPr>
          <w:p>
            <w:pPr>
              <w:spacing w:after="0"/>
            </w:pPr>
            <w:r>
              <w:rPr>
                <w:rFonts w:ascii="Arial" w:hAnsi="Arial"/>
                <w:color w:val="000000"/>
                <w:sz w:val="17"/>
              </w:rPr>
              <w:t>Maximo2RHM_Workorders_0.4.item</w:t>
            </w:r>
          </w:p>
        </w:tc>
        <w:tc>
          <w:tcPr>
            <w:tcW w:type="dxa" w:w="6160"/>
          </w:tcPr>
          <w:p>
            <w:pPr>
              <w:spacing w:after="0"/>
            </w:pPr>
            <w:r>
              <w:rPr>
                <w:rFonts w:ascii="Arial" w:hAnsi="Arial"/>
                <w:color w:val="000000"/>
                <w:sz w:val="17"/>
              </w:rPr>
              <w:t>Maximo→RHM veldmapping.</w:t>
            </w:r>
          </w:p>
        </w:tc>
      </w:tr>
      <w:tr>
        <w:trPr>
          <w:cantSplit/>
        </w:trPr>
        <w:tc>
          <w:tcPr>
            <w:tcW w:type="dxa" w:w="3200"/>
          </w:tcPr>
          <w:p>
            <w:pPr>
              <w:spacing w:after="0"/>
            </w:pPr>
            <w:r>
              <w:rPr>
                <w:rFonts w:ascii="Arial" w:hAnsi="Arial"/>
                <w:color w:val="000000"/>
                <w:sz w:val="17"/>
              </w:rPr>
              <w:t>ETTM/4PS, AssetCheck en Ortec WerkOrder-artefacten</w:t>
            </w:r>
          </w:p>
        </w:tc>
        <w:tc>
          <w:tcPr>
            <w:tcW w:type="dxa" w:w="6160"/>
          </w:tcPr>
          <w:p>
            <w:pPr>
              <w:spacing w:after="0"/>
            </w:pPr>
            <w:r>
              <w:rPr>
                <w:rFonts w:ascii="Arial" w:hAnsi="Arial"/>
                <w:color w:val="000000"/>
                <w:sz w:val="17"/>
              </w:rPr>
              <w:t>Route-/jobstructuur, transport en beperkte mappingevidence.</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9B1C1C"/>
                <w:sz w:val="21"/>
              </w:rPr>
              <w:t xml:space="preserve">Afbakening: </w:t>
            </w:r>
            <w:r>
              <w:rPr>
                <w:rFonts w:ascii="Arial" w:hAnsi="Arial"/>
                <w:color w:val="9B1C1C"/>
                <w:sz w:val="21"/>
              </w:rPr>
              <w:t>Er zijn geen credentials, live databasewaarden of persoonsgegevens uit technische configuratie in dit document opgenomen. De conclusies zijn gebaseerd op statische code en configuratie uit de aangeleverde ZIP.</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7"/>
      </w:rPr>
      <w:t xml:space="preserve">Vertrouwelijk — werkdocument | 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B6573"/>
        <w:sz w:val="17"/>
      </w:rPr>
      <w:t>NEXUS | WerkOrder — feitelijke analyse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