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17365D"/>
          <w:sz w:val="50"/>
        </w:rPr>
        <w:t>WERKORDER INTEGRATIEANALYSE</w:t>
      </w:r>
    </w:p>
    <w:p>
      <w:pPr>
        <w:spacing w:after="360"/>
      </w:pPr>
      <w:r>
        <w:rPr>
          <w:rFonts w:ascii="Calibri" w:hAnsi="Calibri"/>
          <w:color w:val="5B6778"/>
          <w:sz w:val="28"/>
        </w:rPr>
        <w:t>Van Talend-scan naar VWI-conforme rationalisatie- en herontwerpinput</w:t>
      </w:r>
    </w:p>
    <w:p>
      <w:pPr>
        <w:spacing w:after="40" w:line="252" w:lineRule="auto"/>
      </w:pPr>
      <w:r>
        <w:rPr>
          <w:rFonts w:ascii="Calibri" w:hAnsi="Calibri"/>
          <w:b/>
          <w:sz w:val="21"/>
        </w:rPr>
        <w:t xml:space="preserve">Object: </w:t>
      </w:r>
      <w:r>
        <w:rPr>
          <w:rFonts w:ascii="Calibri" w:hAnsi="Calibri"/>
          <w:sz w:val="21"/>
        </w:rPr>
        <w:t>WerkOrder en direct gerelateerde planning-, uitvoering- en realisatiesegmenten</w:t>
      </w:r>
    </w:p>
    <w:p>
      <w:pPr>
        <w:spacing w:after="40" w:line="252" w:lineRule="auto"/>
      </w:pPr>
      <w:r>
        <w:rPr>
          <w:rFonts w:ascii="Calibri" w:hAnsi="Calibri"/>
          <w:b/>
          <w:sz w:val="21"/>
        </w:rPr>
        <w:t xml:space="preserve">Technische bron: </w:t>
      </w:r>
      <w:r>
        <w:rPr>
          <w:rFonts w:ascii="Calibri" w:hAnsi="Calibri"/>
          <w:sz w:val="21"/>
        </w:rPr>
        <w:t>scan_result.json van VW_Werkorder, scan 18 augustus 2026</w:t>
      </w:r>
    </w:p>
    <w:p>
      <w:pPr>
        <w:spacing w:after="40" w:line="252" w:lineRule="auto"/>
      </w:pPr>
      <w:r>
        <w:rPr>
          <w:rFonts w:ascii="Calibri" w:hAnsi="Calibri"/>
          <w:b/>
          <w:sz w:val="21"/>
        </w:rPr>
        <w:t xml:space="preserve">Architectuurkader: </w:t>
      </w:r>
      <w:r>
        <w:rPr>
          <w:rFonts w:ascii="Calibri" w:hAnsi="Calibri"/>
          <w:sz w:val="21"/>
        </w:rPr>
        <w:t>VWI Integratie Beleid 0.8 en VWI Integratie Kaders &amp; Richtlijnen 0.8</w:t>
      </w:r>
    </w:p>
    <w:p>
      <w:pPr>
        <w:spacing w:after="40" w:line="252" w:lineRule="auto"/>
      </w:pPr>
      <w:r>
        <w:rPr>
          <w:rFonts w:ascii="Calibri" w:hAnsi="Calibri"/>
          <w:b/>
          <w:sz w:val="21"/>
        </w:rPr>
        <w:t xml:space="preserve">Status: </w:t>
      </w:r>
      <w:r>
        <w:rPr>
          <w:rFonts w:ascii="Calibri" w:hAnsi="Calibri"/>
          <w:sz w:val="21"/>
        </w:rPr>
        <w:t>Statische analyse; geen formele VWIIM-mapping en geen bewijs van productieactiviteit</w:t>
      </w:r>
    </w:p>
    <w:p>
      <w:pPr>
        <w:spacing w:after="40" w:line="252" w:lineRule="auto"/>
      </w:pPr>
      <w:r>
        <w:rPr>
          <w:rFonts w:ascii="Calibri" w:hAnsi="Calibri"/>
          <w:b/>
          <w:sz w:val="21"/>
        </w:rPr>
        <w:t xml:space="preserve">Doel: </w:t>
      </w:r>
      <w:r>
        <w:rPr>
          <w:rFonts w:ascii="Calibri" w:hAnsi="Calibri"/>
          <w:sz w:val="21"/>
        </w:rPr>
        <w:t>Besluitvorming over behoud van informatie-uitwisseling en vervanging van Talend-implementaties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4EA"/>
          </w:tcPr>
          <w:p>
            <w:pPr>
              <w:spacing w:after="0" w:line="264" w:lineRule="auto"/>
            </w:pPr>
            <w:r>
              <w:rPr>
                <w:rFonts w:ascii="Calibri" w:hAnsi="Calibri"/>
                <w:b/>
                <w:color w:val="17365D"/>
                <w:sz w:val="22"/>
              </w:rPr>
              <w:t xml:space="preserve">Kernconclusie: </w:t>
            </w:r>
            <w:r>
              <w:rPr>
                <w:rFonts w:ascii="Calibri" w:hAnsi="Calibri"/>
                <w:sz w:val="22"/>
              </w:rPr>
              <w:t>De scan laat niet een enkele WerkOrder-interface zien, maar een verzameling van functionele segmenten: kerngegevens, planning, status/lifecycle, locatie en classificatie, uitvoering, realisatie en financiele/projectcontext. De businessuitwisselingen moeten worden behouden waar zij aantoonbaar nodig zijn; de huidige point-to-point-, file-, SQL-, SOAP- en Talend-routeconstructies moeten niet een-op-een worden herbouwd. Het VWI-kader vraagt om bron -&gt; VWIIM/canonical -&gt; doel, business events als standaard voor state changes en API's alleen voor functioneel noodzakelijke request/reply.</w:t>
            </w:r>
          </w:p>
        </w:tc>
      </w:tr>
    </w:tbl>
    <w:p>
      <w:pPr>
        <w:spacing w:after="0"/>
      </w:pPr>
    </w:p>
    <w:p>
      <w:pPr>
        <w:pStyle w:val="Heading1"/>
      </w:pPr>
      <w:r>
        <w:t>1. Managementsamenvatting</w:t>
      </w:r>
    </w:p>
    <w:p>
      <w:pPr>
        <w:spacing w:before="0" w:after="120" w:line="264" w:lineRule="auto"/>
      </w:pPr>
      <w:r>
        <w:rPr>
          <w:rFonts w:ascii="Calibri" w:hAnsi="Calibri"/>
          <w:i w:val="0"/>
          <w:color w:val="111111"/>
          <w:sz w:val="22"/>
        </w:rPr>
        <w:t>De aangeleverde scan is inhoudelijk sterk genoeg om het WerkOrder-landschap te reconstrueren op keten- en informatieniveau. Zij bevat 358 geselecteerde artefacten, 9.553 componenten, 8.813 interne verbindingen, 1.105 geextraheerde tMap-regels, 205 tXMLMap-componenten en 255 artefactrelaties. Daarmee zijn richting, techniek, veel veldtransformaties en diverse SQL-regels aantoonbaar.</w:t>
      </w:r>
    </w:p>
    <w:p>
      <w:pPr>
        <w:spacing w:before="0" w:after="120" w:line="264" w:lineRule="auto"/>
      </w:pPr>
      <w:r>
        <w:rPr>
          <w:rFonts w:ascii="Calibri" w:hAnsi="Calibri"/>
          <w:i w:val="0"/>
          <w:color w:val="111111"/>
          <w:sz w:val="22"/>
        </w:rPr>
        <w:t>De scan bewijst echter niet welke jobs momenteel in PROD draaien, welke deployment leidend is, hoeveel berichten worden verwerkt of welk systeem formeel auteur is van ieder attribuut. Ook ontbreekt het officiele VWIIM-object WerkOrder. Daarom maakt dit rapport een strikt onderscheid tussen technisch vastgesteld, semantisch aannemelijk en nog te valideren.</w:t>
      </w:r>
    </w:p>
    <w:p>
      <w:pPr>
        <w:spacing w:before="0" w:after="120" w:line="264" w:lineRule="auto"/>
      </w:pPr>
      <w:r>
        <w:rPr>
          <w:rFonts w:ascii="Calibri" w:hAnsi="Calibri"/>
          <w:i w:val="0"/>
          <w:color w:val="111111"/>
          <w:sz w:val="22"/>
        </w:rPr>
        <w:t>De grootste structurele bevinding is dat dezelfde WerkOrder-betekenis door meerdere lokale contracten loopt. Maximo, Quintiq, RHM, Smartflow, AssetCheck/VISE, Infor, Ortec/Vialis, FlexTunnel en 4PS gebruiken ieder eigen velden, statussen, bestanden, XML-structuren en procesmarkeringen. Het huidige landschap bevat bovendien aantoonbare kopieen: drie Vialis/Planningtool-roots overlappen voor 93 tot 100 procent en twee AssetCheck-roots delen 45 jobnamen.</w:t>
      </w:r>
    </w:p>
    <w:p>
      <w:pPr>
        <w:spacing w:before="0" w:after="120" w:line="264" w:lineRule="auto"/>
      </w:pPr>
      <w:r>
        <w:rPr>
          <w:rFonts w:ascii="Calibri" w:hAnsi="Calibri"/>
          <w:i w:val="0"/>
          <w:color w:val="111111"/>
          <w:sz w:val="22"/>
        </w:rPr>
        <w:t>Tegen het VWI-kader is de huidige inrichting vooral legacy-technische schuld: file- en databasegedreven verwerking is dominant, businessregels staan deels in SQL en mappings, eventsemantiek en CloudEvents/BEDDA-context zijn niet aantoonbaar, een formele bron -&gt; VWIIM -&gt; doelmapping ontbreekt en lifecycle/eigenaarschap zijn niet uit de scan afleidbaar. Positief is dat al veel technische bouwstenen voor ontkoppeling, logging, foutafhandeling en messaging aanwezig zijn. Die kennis kan naar een nieuw platform worden vertaald zonder de Talend-vorm te behouden.</w:t>
      </w:r>
    </w:p>
    <w:p>
      <w:pPr>
        <w:spacing w:before="80" w:after="120" w:line="252" w:lineRule="auto"/>
      </w:pPr>
      <w:r>
        <w:rPr>
          <w:rFonts w:ascii="Calibri" w:hAnsi="Calibri"/>
          <w:i/>
          <w:color w:val="5B6778"/>
          <w:sz w:val="18"/>
        </w:rPr>
        <w:t>Bronbasis: [S1] scan_result.json; [S2] VWI Integratie Beleid 0.8, p. 12-25; [S3] VWI Integratie Kaders &amp; Richtlijnen 0.8, p. 4-32.</w:t>
      </w:r>
    </w:p>
    <w:p>
      <w:pPr>
        <w:pStyle w:val="Heading1"/>
      </w:pPr>
      <w:r>
        <w:t>2. Doel, scope en bewijsmethode</w:t>
      </w:r>
    </w:p>
    <w:p>
      <w:pPr>
        <w:spacing w:before="0" w:after="120" w:line="264" w:lineRule="auto"/>
      </w:pPr>
      <w:r>
        <w:rPr>
          <w:rFonts w:ascii="Calibri" w:hAnsi="Calibri"/>
          <w:i w:val="0"/>
          <w:color w:val="111111"/>
          <w:sz w:val="22"/>
        </w:rPr>
        <w:t>Dit rapport beantwoordt niet de vraag hoe Talend beter beheerd kan worden. Het maakt de verborgen technische kennis expliciet die nodig is om te bepalen welke WerkOrder-capabilities toekomstig moeten blijven bestaan en hoe die volgens het VWI-integratiebeleid kunnen worden herontworpen.</w:t>
      </w:r>
    </w:p>
    <w:p>
      <w:pPr>
        <w:spacing w:before="0" w:after="120" w:line="264" w:lineRule="auto"/>
      </w:pPr>
      <w:r>
        <w:rPr>
          <w:rFonts w:ascii="Calibri" w:hAnsi="Calibri"/>
          <w:i w:val="0"/>
          <w:color w:val="111111"/>
          <w:sz w:val="22"/>
        </w:rPr>
        <w:t>De analyse is uitgevoerd in vier lagen:</w:t>
      </w:r>
    </w:p>
    <w:p>
      <w:pPr>
        <w:pStyle w:val="ListNumber"/>
        <w:spacing w:after="100" w:line="280" w:lineRule="auto"/>
      </w:pPr>
      <w:r>
        <w:rPr>
          <w:rFonts w:ascii="Calibri" w:hAnsi="Calibri"/>
          <w:sz w:val="22"/>
        </w:rPr>
        <w:t>Ketenreconstructie uit jobnamen, routes, job-calls, kanalen, connecties en endpoints.</w:t>
      </w:r>
    </w:p>
    <w:p>
      <w:pPr>
        <w:pStyle w:val="ListNumber"/>
        <w:spacing w:after="100" w:line="280" w:lineRule="auto"/>
      </w:pPr>
      <w:r>
        <w:rPr>
          <w:rFonts w:ascii="Calibri" w:hAnsi="Calibri"/>
          <w:sz w:val="22"/>
        </w:rPr>
        <w:t>Inhoudsreconstructie uit tMap/tXMLMap, SQL, XML-velden, componentparameters en voorbeeldstructuren.</w:t>
      </w:r>
    </w:p>
    <w:p>
      <w:pPr>
        <w:pStyle w:val="ListNumber"/>
        <w:spacing w:after="100" w:line="280" w:lineRule="auto"/>
      </w:pPr>
      <w:r>
        <w:rPr>
          <w:rFonts w:ascii="Calibri" w:hAnsi="Calibri"/>
          <w:sz w:val="22"/>
        </w:rPr>
        <w:t>Semantische clustering naar WerkOrder-kern, planning, lifecycle, locatie, uitvoering, realisatie en financiele context.</w:t>
      </w:r>
    </w:p>
    <w:p>
      <w:pPr>
        <w:pStyle w:val="ListNumber"/>
        <w:spacing w:after="100" w:line="280" w:lineRule="auto"/>
      </w:pPr>
      <w:r>
        <w:rPr>
          <w:rFonts w:ascii="Calibri" w:hAnsi="Calibri"/>
          <w:sz w:val="22"/>
        </w:rPr>
        <w:t>Toetsing aan VWI-principes voor integratielaag, BEDDA, VWIIM, betrouwbaarheid, observability, lifecycle en governance.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tcMar>
              <w:top w:w="100" w:type="dxa"/>
              <w:start w:w="120" w:type="dxa"/>
              <w:bottom w:w="100" w:type="dxa"/>
              <w:end w:w="120" w:type="dxa"/>
            </w:tcMar>
            <w:vAlign w:val="center"/>
          </w:tcPr>
          <w:p>
            <w:pPr>
              <w:spacing w:after="0"/>
              <w:jc w:val="left"/>
            </w:pPr>
            <w:r>
              <w:rPr>
                <w:rFonts w:ascii="Calibri" w:hAnsi="Calibri"/>
                <w:b/>
                <w:color w:val="17365D"/>
                <w:sz w:val="19"/>
              </w:rPr>
              <w:t>Bewijsstatus</w:t>
            </w:r>
          </w:p>
        </w:tc>
        <w:tc>
          <w:tcPr>
            <w:tcW w:type="dxa" w:w="7560"/>
            <w:shd w:fill="F2F4F7"/>
            <w:tcMar>
              <w:top w:w="100" w:type="dxa"/>
              <w:start w:w="120" w:type="dxa"/>
              <w:bottom w:w="100" w:type="dxa"/>
              <w:end w:w="120" w:type="dxa"/>
            </w:tcMar>
            <w:vAlign w:val="center"/>
          </w:tcPr>
          <w:p>
            <w:pPr>
              <w:spacing w:after="0"/>
              <w:jc w:val="left"/>
            </w:pPr>
            <w:r>
              <w:rPr>
                <w:rFonts w:ascii="Calibri" w:hAnsi="Calibri"/>
                <w:b/>
                <w:color w:val="17365D"/>
                <w:sz w:val="19"/>
              </w:rPr>
              <w:t>Betekenis in dit rapport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9"/>
              </w:rPr>
              <w:t>Vastgesteld</w:t>
            </w:r>
          </w:p>
        </w:tc>
        <w:tc>
          <w:tcPr>
            <w:tcW w:type="dxa" w:w="7560"/>
            <w:tcMar>
              <w:top w:w="100" w:type="dxa"/>
              <w:start w:w="120" w:type="dxa"/>
              <w:bottom w:w="100" w:type="dxa"/>
              <w:end w:w="120" w:type="dxa"/>
            </w:tcMar>
            <w:vAlign w:val="center"/>
          </w:tcPr>
          <w:p>
            <w:pPr>
              <w:spacing w:after="0" w:line="252" w:lineRule="auto"/>
              <w:jc w:val="left"/>
            </w:pPr>
            <w:r>
              <w:rPr>
                <w:rFonts w:ascii="Calibri" w:hAnsi="Calibri"/>
                <w:sz w:val="19"/>
              </w:rPr>
              <w:t>Direct zichtbaar in scan, mapping, SQL, route, component of call-relatie.</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9"/>
              </w:rPr>
              <w:t>Aannemelijk</w:t>
            </w:r>
          </w:p>
        </w:tc>
        <w:tc>
          <w:tcPr>
            <w:tcW w:type="dxa" w:w="7560"/>
            <w:tcMar>
              <w:top w:w="100" w:type="dxa"/>
              <w:start w:w="120" w:type="dxa"/>
              <w:bottom w:w="100" w:type="dxa"/>
              <w:end w:w="120" w:type="dxa"/>
            </w:tcMar>
            <w:vAlign w:val="center"/>
          </w:tcPr>
          <w:p>
            <w:pPr>
              <w:spacing w:after="0" w:line="252" w:lineRule="auto"/>
              <w:jc w:val="left"/>
            </w:pPr>
            <w:r>
              <w:rPr>
                <w:rFonts w:ascii="Calibri" w:hAnsi="Calibri"/>
                <w:sz w:val="19"/>
              </w:rPr>
              <w:t>Sterke technische duiding, maar formele businessdefinitie of ownership ontbreekt.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9"/>
              </w:rPr>
              <w:t>Ontwerpvoorstel</w:t>
            </w:r>
          </w:p>
        </w:tc>
        <w:tc>
          <w:tcPr>
            <w:tcW w:type="dxa" w:w="7560"/>
            <w:tcMar>
              <w:top w:w="100" w:type="dxa"/>
              <w:start w:w="120" w:type="dxa"/>
              <w:bottom w:w="100" w:type="dxa"/>
              <w:end w:w="120" w:type="dxa"/>
            </w:tcMar>
            <w:vAlign w:val="center"/>
          </w:tcPr>
          <w:p>
            <w:pPr>
              <w:spacing w:after="0" w:line="252" w:lineRule="auto"/>
              <w:jc w:val="left"/>
            </w:pPr>
            <w:r>
              <w:rPr>
                <w:rFonts w:ascii="Calibri" w:hAnsi="Calibri"/>
                <w:sz w:val="19"/>
              </w:rPr>
              <w:t>Toekomstige richting afgeleid uit VWI 0.8; nog geen goedgekeurd solution design.</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9"/>
              </w:rPr>
              <w:t>Te valideren</w:t>
            </w:r>
          </w:p>
        </w:tc>
        <w:tc>
          <w:tcPr>
            <w:tcW w:type="dxa" w:w="7560"/>
            <w:tcMar>
              <w:top w:w="100" w:type="dxa"/>
              <w:start w:w="120" w:type="dxa"/>
              <w:bottom w:w="100" w:type="dxa"/>
              <w:end w:w="120" w:type="dxa"/>
            </w:tcMar>
            <w:vAlign w:val="center"/>
          </w:tcPr>
          <w:p>
            <w:pPr>
              <w:spacing w:after="0" w:line="252" w:lineRule="auto"/>
              <w:jc w:val="left"/>
            </w:pPr>
            <w:r>
              <w:rPr>
                <w:rFonts w:ascii="Calibri" w:hAnsi="Calibri"/>
                <w:sz w:val="19"/>
              </w:rPr>
              <w:t>Niet betrouwbaar uit statische code af te leiden en nodig voor besluitvorming.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4CE"/>
          </w:tcPr>
          <w:p>
            <w:pPr>
              <w:spacing w:after="0" w:line="264" w:lineRule="auto"/>
            </w:pPr>
            <w:r>
              <w:rPr>
                <w:rFonts w:ascii="Calibri" w:hAnsi="Calibri"/>
                <w:b/>
                <w:color w:val="17365D"/>
                <w:sz w:val="22"/>
              </w:rPr>
              <w:t xml:space="preserve">Publicatiegrens: </w:t>
            </w:r>
            <w:r>
              <w:rPr>
                <w:rFonts w:ascii="Calibri" w:hAnsi="Calibri"/>
                <w:sz w:val="22"/>
              </w:rPr>
              <w:t>Credentialwaarden, endpoints met geheimen en ruwe persoons- of payloadwaarden zijn niet opgenomen. De bron-PDF's zijn conceptversie 0.8 en bevatten zichtbare reviewopmerkingen; dit rapport behandelt ze als richtinggevend normatief concept, niet als definitief vastgesteld beleid.</w:t>
            </w:r>
          </w:p>
        </w:tc>
      </w:tr>
    </w:tbl>
    <w:p>
      <w:pPr>
        <w:spacing w:after="0"/>
      </w:pPr>
    </w:p>
    <w:p>
      <w:pPr>
        <w:pStyle w:val="Heading1"/>
      </w:pPr>
      <w:r>
        <w:t>3. Betrouwbaarheid en grenzen van de scan</w:t>
      </w:r>
    </w:p>
    <w:tbl>
      <w:tblPr>
        <w:tblStyle w:val="TableGrid"/>
        <w:tblW w:type="dxa" w:w="9360"/>
        <w:jc w:val="left"/>
        <w:tblLayout w:type="fixed"/>
        <w:tblLook w:firstColumn="1" w:firstRow="1" w:lastColumn="0" w:lastRow="0" w:noHBand="0" w:noVBand="1" w:val="04A0"/>
        <w:tblInd w:w="120" w:type="dxa"/>
      </w:tblPr>
      <w:tblGrid>
        <w:gridCol w:w="2500"/>
        <w:gridCol w:w="1200"/>
        <w:gridCol w:w="5660"/>
      </w:tblGrid>
      <w:tr>
        <w:trPr>
          <w:tblHeader w:val="true"/>
          <w:cantSplit/>
        </w:trPr>
        <w:tc>
          <w:tcPr>
            <w:tcW w:type="dxa" w:w="2500"/>
            <w:shd w:fill="F2F4F7"/>
            <w:tcMar>
              <w:top w:w="100" w:type="dxa"/>
              <w:start w:w="120" w:type="dxa"/>
              <w:bottom w:w="100" w:type="dxa"/>
              <w:end w:w="120" w:type="dxa"/>
            </w:tcMar>
            <w:vAlign w:val="center"/>
          </w:tcPr>
          <w:p>
            <w:pPr>
              <w:spacing w:after="0"/>
              <w:jc w:val="left"/>
            </w:pPr>
            <w:r>
              <w:rPr>
                <w:rFonts w:ascii="Calibri" w:hAnsi="Calibri"/>
                <w:b/>
                <w:color w:val="17365D"/>
                <w:sz w:val="17"/>
              </w:rPr>
              <w:t>Scanfeit</w:t>
            </w:r>
          </w:p>
        </w:tc>
        <w:tc>
          <w:tcPr>
            <w:tcW w:type="dxa" w:w="1200"/>
            <w:shd w:fill="F2F4F7"/>
            <w:tcMar>
              <w:top w:w="100" w:type="dxa"/>
              <w:start w:w="120" w:type="dxa"/>
              <w:bottom w:w="100" w:type="dxa"/>
              <w:end w:w="120" w:type="dxa"/>
            </w:tcMar>
            <w:vAlign w:val="center"/>
          </w:tcPr>
          <w:p>
            <w:pPr>
              <w:spacing w:after="0"/>
              <w:jc w:val="center"/>
            </w:pPr>
            <w:r>
              <w:rPr>
                <w:rFonts w:ascii="Calibri" w:hAnsi="Calibri"/>
                <w:b/>
                <w:color w:val="17365D"/>
                <w:sz w:val="17"/>
              </w:rPr>
              <w:t>Waarde</w:t>
            </w:r>
          </w:p>
        </w:tc>
        <w:tc>
          <w:tcPr>
            <w:tcW w:type="dxa" w:w="5660"/>
            <w:shd w:fill="F2F4F7"/>
            <w:tcMar>
              <w:top w:w="100" w:type="dxa"/>
              <w:start w:w="120" w:type="dxa"/>
              <w:bottom w:w="100" w:type="dxa"/>
              <w:end w:w="120" w:type="dxa"/>
            </w:tcMar>
            <w:vAlign w:val="center"/>
          </w:tcPr>
          <w:p>
            <w:pPr>
              <w:spacing w:after="0"/>
              <w:jc w:val="left"/>
            </w:pPr>
            <w:r>
              <w:rPr>
                <w:rFonts w:ascii="Calibri" w:hAnsi="Calibri"/>
                <w:b/>
                <w:color w:val="17365D"/>
                <w:sz w:val="17"/>
              </w:rPr>
              <w:t>Duiding</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Geselecteerde artefacten</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358</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261 jobs, 95 routes en 2 joblets; repositoryselectie, geen runtimebewijs.</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Bronroots</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22</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18 roots bevatten geparseerde jobs; meerdere roots zijn kopieen of subsets.</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Componenten / verbindingen</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9.553 / 8.813</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Voldoende voor technische keten- en patroonanalyse.</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tMap-regels</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1.105</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Sterk veldmatig bewijs waar tMap wordt gebruikt.</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tXMLMap-componenten</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205</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Velden en expressies deels zichtbaar; alle 205 hebben partial-parsewaarschuwing.</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Metadata-connecties</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56</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50 MSSQL en 6 Oracle; hostwaarden zijn terecht geredigeerd.</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TDM-maps / schemas</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16 / 0</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12 TDM-associaties onopgelost; geen formele contractschema's geindexeerd.</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Waarschuwingen</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446</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229 niet-gescande categorieen, 205 tXMLMap-partials en 12 TDM-partials.</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Duplicatie</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98 extra jobrecords</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358 records tegenover 260 unieke jobnamen; 2.205 dubbele file-inhoudshashes.</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Superseded versies</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1.979</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Veel historie aanwezig; leidende deployment kan niet uit repositoryversie worden bewezen.</w:t>
            </w:r>
          </w:p>
        </w:tc>
      </w:tr>
    </w:tbl>
    <w:p>
      <w:pPr>
        <w:spacing w:after="0"/>
      </w:pPr>
    </w:p>
    <w:p>
      <w:pPr>
        <w:spacing w:before="0" w:after="120" w:line="264" w:lineRule="auto"/>
      </w:pPr>
      <w:r>
        <w:rPr>
          <w:rFonts w:ascii="Calibri" w:hAnsi="Calibri"/>
          <w:i w:val="0"/>
          <w:color w:val="111111"/>
          <w:sz w:val="22"/>
        </w:rPr>
        <w:t>De scan markeert alle 358 artefacten als active=True. Dit betekent dat zij door de scanner als geselecteerd/actief repositoryartefact zijn behandeld; het is geen bewijs dat zij zijn gedeployed, gepland of recent uitgevoerd. Productieclaims vereisen TMC-runtime, deploymentinventaris of gevalideerde schedulerinformatie.</w:t>
      </w:r>
    </w:p>
    <w:p>
      <w:pPr>
        <w:spacing w:before="80" w:after="120" w:line="252" w:lineRule="auto"/>
      </w:pPr>
      <w:r>
        <w:rPr>
          <w:rFonts w:ascii="Calibri" w:hAnsi="Calibri"/>
          <w:i/>
          <w:color w:val="5B6778"/>
          <w:sz w:val="18"/>
        </w:rPr>
        <w:t>Bronbasis: [S1] stats, warnings, manifest, jobs en files.</w:t>
      </w:r>
    </w:p>
    <w:p>
      <w:pPr>
        <w:pStyle w:val="Heading1"/>
      </w:pPr>
      <w:r>
        <w:t>4. Wat het VWI-kader voor WerkOrder vereist</w:t>
      </w:r>
    </w:p>
    <w:p>
      <w:pPr>
        <w:spacing w:before="0" w:after="120" w:line="264" w:lineRule="auto"/>
      </w:pPr>
      <w:r>
        <w:rPr>
          <w:rFonts w:ascii="Calibri" w:hAnsi="Calibri"/>
          <w:i w:val="0"/>
          <w:color w:val="111111"/>
          <w:sz w:val="22"/>
        </w:rPr>
        <w:t>De twee VWI-documenten formuleren een duidelijke ontwerprichting. Operationele systeemcommunicatie loopt via de integratielaag, bevat geen businesslogica in die laag en gebruikt business events als standaard voor betekenisvolle state changes. Synchrone API's zijn alleen passend wanneer directe interactie functioneel noodzakelijk is.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F2F4F7"/>
            <w:tcMar>
              <w:top w:w="100" w:type="dxa"/>
              <w:start w:w="120" w:type="dxa"/>
              <w:bottom w:w="100" w:type="dxa"/>
              <w:end w:w="120" w:type="dxa"/>
            </w:tcMar>
            <w:vAlign w:val="center"/>
          </w:tcPr>
          <w:p>
            <w:pPr>
              <w:spacing w:after="0"/>
              <w:jc w:val="left"/>
            </w:pPr>
            <w:r>
              <w:rPr>
                <w:rFonts w:ascii="Calibri" w:hAnsi="Calibri"/>
                <w:b/>
                <w:color w:val="17365D"/>
                <w:sz w:val="18"/>
              </w:rPr>
              <w:t>VWI-eis</w:t>
            </w:r>
          </w:p>
        </w:tc>
        <w:tc>
          <w:tcPr>
            <w:tcW w:type="dxa" w:w="7360"/>
            <w:shd w:fill="F2F4F7"/>
            <w:tcMar>
              <w:top w:w="100" w:type="dxa"/>
              <w:start w:w="120" w:type="dxa"/>
              <w:bottom w:w="100" w:type="dxa"/>
              <w:end w:w="120" w:type="dxa"/>
            </w:tcMar>
            <w:vAlign w:val="center"/>
          </w:tcPr>
          <w:p>
            <w:pPr>
              <w:spacing w:after="0"/>
              <w:jc w:val="left"/>
            </w:pPr>
            <w:r>
              <w:rPr>
                <w:rFonts w:ascii="Calibri" w:hAnsi="Calibri"/>
                <w:b/>
                <w:color w:val="17365D"/>
                <w:sz w:val="18"/>
              </w:rPr>
              <w:t>Betekenis voor het WerkOrder-herontwerp</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AP-01 en AIS</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Geen nieuwe directe point-to-pointketens; bron- en doeladapters via de integratiecapability.</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AP-02</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Statusbesluiten, planningselecties en proceskeuzes horen bij verantwoordelijke domeinen, niet verborgen in integratielogica.</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AP-03 t/m AP-05</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State changes via push/events; API alleen voor noodzakelijke query/command; ETL/pull niet als standaard voor operationele uitwisseling.</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AP-06 t/m AP-09</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Alleen extern relevante businessgebeurtenissen; eenduidige naam, passende payload en gestandaardiseerde CloudEvents/BEDDA-context.</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AP-10 t/m AP-12</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Bron -&gt; VWIIM/canonical -&gt; doel; authoritative state change expliciet; applicatie-interne tabellen niet als verborgen contract.</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AP-13 t/m AP-17</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Idempotentie, RMS/replay, monitoring, technisch event-id en expliciet geversioneerde contracten.</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AP-18 t/m AP-21</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Lifecycle, ownership, comply-or-explain en geen project-specifieke interpretatie van principes.</w:t>
            </w:r>
          </w:p>
        </w:tc>
      </w:tr>
    </w:tbl>
    <w:p>
      <w:pPr>
        <w:spacing w:after="0"/>
      </w:pPr>
    </w:p>
    <w:p>
      <w:pPr>
        <w:spacing w:before="0" w:after="120" w:line="264" w:lineRule="auto"/>
      </w:pPr>
      <w:r>
        <w:rPr>
          <w:rFonts w:ascii="Calibri" w:hAnsi="Calibri"/>
          <w:i w:val="0"/>
          <w:color w:val="111111"/>
          <w:sz w:val="22"/>
        </w:rPr>
        <w:t>Voor BEDDA onderscheidt VWI Decision-, Transaction- en Transgression-events. De eventnaam volgt [Context/Scope] + [Business Object] + [Actie/Resultaat]. De header bevat minimaal technische CloudEvents-velden plus eventName, eventType, businessObject, herkomst, businessfunctie, correlationId en externalIdentifiers. Een werkordernummer is dus een business key/external identifier en niet de technische event-id.</w:t>
      </w:r>
    </w:p>
    <w:p>
      <w:pPr>
        <w:spacing w:before="80" w:after="120" w:line="252" w:lineRule="auto"/>
      </w:pPr>
      <w:r>
        <w:rPr>
          <w:rFonts w:ascii="Calibri" w:hAnsi="Calibri"/>
          <w:i/>
          <w:color w:val="5B6778"/>
          <w:sz w:val="18"/>
        </w:rPr>
        <w:t>Bronbasis: [S2] p. 12-25 en p. 27-31; [S3] p. 4-10, p. 13-29 en p. 30-32.</w:t>
      </w:r>
    </w:p>
    <w:p>
      <w:pPr>
        <w:pStyle w:val="Heading1"/>
      </w:pPr>
      <w:r>
        <w:t>5. Feitelijk WerkOrder-landschap</w:t>
      </w:r>
    </w:p>
    <w:p>
      <w:pPr>
        <w:spacing w:before="0" w:after="120" w:line="264" w:lineRule="auto"/>
      </w:pPr>
      <w:r>
        <w:rPr>
          <w:rFonts w:ascii="Calibri" w:hAnsi="Calibri"/>
          <w:i w:val="0"/>
          <w:color w:val="111111"/>
          <w:sz w:val="22"/>
        </w:rPr>
        <w:t>De scan groepeert de WerkOrder-uitwisseling in zeven primaire ketenclusters en twee aangrenzende capabilities. De grenzen hieronder zijn functioneel; een cluster kan uit meerdere Talend-jobs, routes, files, queues en databases bestaan.</w:t>
      </w:r>
    </w:p>
    <w:tbl>
      <w:tblPr>
        <w:tblStyle w:val="TableGrid"/>
        <w:tblW w:type="dxa" w:w="9360"/>
        <w:jc w:val="left"/>
        <w:tblLayout w:type="fixed"/>
        <w:tblLook w:firstColumn="1" w:firstRow="1" w:lastColumn="0" w:lastRow="0" w:noHBand="0" w:noVBand="1" w:val="04A0"/>
        <w:tblInd w:w="120" w:type="dxa"/>
      </w:tblPr>
      <w:tblGrid>
        <w:gridCol w:w="2150"/>
        <w:gridCol w:w="3950"/>
        <w:gridCol w:w="3260"/>
      </w:tblGrid>
      <w:tr>
        <w:trPr>
          <w:tblHeader w:val="true"/>
          <w:cantSplit/>
        </w:trPr>
        <w:tc>
          <w:tcPr>
            <w:tcW w:type="dxa" w:w="2150"/>
            <w:shd w:fill="F2F4F7"/>
            <w:tcMar>
              <w:top w:w="100" w:type="dxa"/>
              <w:start w:w="120" w:type="dxa"/>
              <w:bottom w:w="100" w:type="dxa"/>
              <w:end w:w="120" w:type="dxa"/>
            </w:tcMar>
            <w:vAlign w:val="center"/>
          </w:tcPr>
          <w:p>
            <w:pPr>
              <w:spacing w:after="0"/>
              <w:jc w:val="left"/>
            </w:pPr>
            <w:r>
              <w:rPr>
                <w:rFonts w:ascii="Calibri" w:hAnsi="Calibri"/>
                <w:b/>
                <w:color w:val="17365D"/>
                <w:sz w:val="17"/>
              </w:rPr>
              <w:t>Ketencluster</w:t>
            </w:r>
          </w:p>
        </w:tc>
        <w:tc>
          <w:tcPr>
            <w:tcW w:type="dxa" w:w="3950"/>
            <w:shd w:fill="F2F4F7"/>
            <w:tcMar>
              <w:top w:w="100" w:type="dxa"/>
              <w:start w:w="120" w:type="dxa"/>
              <w:bottom w:w="100" w:type="dxa"/>
              <w:end w:w="120" w:type="dxa"/>
            </w:tcMar>
            <w:vAlign w:val="center"/>
          </w:tcPr>
          <w:p>
            <w:pPr>
              <w:spacing w:after="0"/>
              <w:jc w:val="left"/>
            </w:pPr>
            <w:r>
              <w:rPr>
                <w:rFonts w:ascii="Calibri" w:hAnsi="Calibri"/>
                <w:b/>
                <w:color w:val="17365D"/>
                <w:sz w:val="17"/>
              </w:rPr>
              <w:t>Feitelijk zichtbare uitwisseling</w:t>
            </w:r>
          </w:p>
        </w:tc>
        <w:tc>
          <w:tcPr>
            <w:tcW w:type="dxa" w:w="3260"/>
            <w:shd w:fill="F2F4F7"/>
            <w:tcMar>
              <w:top w:w="100" w:type="dxa"/>
              <w:start w:w="120" w:type="dxa"/>
              <w:bottom w:w="100" w:type="dxa"/>
              <w:end w:w="120" w:type="dxa"/>
            </w:tcMar>
            <w:vAlign w:val="center"/>
          </w:tcPr>
          <w:p>
            <w:pPr>
              <w:spacing w:after="0"/>
              <w:jc w:val="left"/>
            </w:pPr>
            <w:r>
              <w:rPr>
                <w:rFonts w:ascii="Calibri" w:hAnsi="Calibri"/>
                <w:b/>
                <w:color w:val="17365D"/>
                <w:sz w:val="17"/>
              </w:rPr>
              <w:t>Huidige technische vorm</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Maximo &lt;-&gt; Quintiq</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Brede WerkOrder-aanlevering en planningsterugmelding/pickup</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File polling, MSSQL, XML, route/job</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Maximo -&gt; RHM -&gt; Smartflow</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Kern/status naar RHM; werk, planning en resources naar Smartflow; realisatie terug</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REST/MSSQL, XML/SOAP, stored processing</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Maximo &lt;-&gt; AssetCheck/VISE</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WerkOrder query/send/update, locaties, service requests en uitvoeringsupdates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REST, files, MSSQL, SOAP en achtergrondprocessen</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Infor/InforOSK &lt;-&gt; Maximo</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Nieuwe/gesloten WerkOrders en aanvullende uren/kosten</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XML/files, SOAP, MSSQL processtate</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Ortec/Vialis planning</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Gepland direct/indirect, gewijzigd, geannuleerd en werkbonupdates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File/JMS/SOAP routes en enrichment</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Maximo -&gt; 4PS</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WerkOrder/project-financecontext naar 4PS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JMS, routefilters en embedded Talend-job</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FlexTunnel &lt;-&gt; Maximo</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WerkOrderreferentie, schade/inspectie, status en uitvoering</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REST, files, MSSQL lookups en HTTP</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RHM/Smartflow/VSUren</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Realisatie, medewerkers, machines, toeslagen en uren</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MSSQL/XML/SOAP/REST; deels WerkOrder-adjacent</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VISE/SharePoint</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Project- en uitvoeringsdocumentatie/synchronisatie</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SOAP/REST/files; relatie met WerkOrder niet volledig veldmatig bewezen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2F8"/>
          </w:tcPr>
          <w:p>
            <w:pPr>
              <w:spacing w:after="0" w:line="264" w:lineRule="auto"/>
            </w:pPr>
            <w:r>
              <w:rPr>
                <w:rFonts w:ascii="Calibri" w:hAnsi="Calibri"/>
                <w:b/>
                <w:color w:val="17365D"/>
                <w:sz w:val="22"/>
              </w:rPr>
              <w:t xml:space="preserve">Belangrijk: </w:t>
            </w:r>
            <w:r>
              <w:rPr>
                <w:rFonts w:ascii="Calibri" w:hAnsi="Calibri"/>
                <w:sz w:val="22"/>
              </w:rPr>
              <w:t>Een Talend-job is geen businesscapability. Route, hoofdjob, subjob, loggingjob en retryjob kunnen samen een enkele informatie-uitwisseling vormen. Rationalisatie moet daarom per keten/capability gebeuren, niet per bestandsnaam.</w:t>
            </w:r>
          </w:p>
        </w:tc>
      </w:tr>
    </w:tbl>
    <w:p>
      <w:pPr>
        <w:spacing w:after="0"/>
      </w:pPr>
    </w:p>
    <w:p>
      <w:pPr>
        <w:pStyle w:val="Heading1"/>
      </w:pPr>
      <w:r>
        <w:t>6. Welke WerkOrder-informatie wordt uitgewisseld?</w:t>
      </w:r>
    </w:p>
    <w:p>
      <w:pPr>
        <w:spacing w:before="0" w:after="120" w:line="264" w:lineRule="auto"/>
      </w:pPr>
      <w:r>
        <w:rPr>
          <w:rFonts w:ascii="Calibri" w:hAnsi="Calibri"/>
          <w:i w:val="0"/>
          <w:color w:val="111111"/>
          <w:sz w:val="22"/>
        </w:rPr>
        <w:t>Uit de mappings, XML-velden en SQL volgt een samenhangend maar versnipperd objectbeeld. Niet iedere keten gebruikt alle segmenten.</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cantSplit/>
        </w:trPr>
        <w:tc>
          <w:tcPr>
            <w:tcW w:type="dxa" w:w="1800"/>
            <w:shd w:fill="F2F4F7"/>
            <w:tcMar>
              <w:top w:w="100" w:type="dxa"/>
              <w:start w:w="120" w:type="dxa"/>
              <w:bottom w:w="100" w:type="dxa"/>
              <w:end w:w="120" w:type="dxa"/>
            </w:tcMar>
            <w:vAlign w:val="center"/>
          </w:tcPr>
          <w:p>
            <w:pPr>
              <w:spacing w:after="0"/>
              <w:jc w:val="left"/>
            </w:pPr>
            <w:r>
              <w:rPr>
                <w:rFonts w:ascii="Calibri" w:hAnsi="Calibri"/>
                <w:b/>
                <w:color w:val="17365D"/>
                <w:sz w:val="17"/>
              </w:rPr>
              <w:t>Segment</w:t>
            </w:r>
          </w:p>
        </w:tc>
        <w:tc>
          <w:tcPr>
            <w:tcW w:type="dxa" w:w="3800"/>
            <w:shd w:fill="F2F4F7"/>
            <w:tcMar>
              <w:top w:w="100" w:type="dxa"/>
              <w:start w:w="120" w:type="dxa"/>
              <w:bottom w:w="100" w:type="dxa"/>
              <w:end w:w="120" w:type="dxa"/>
            </w:tcMar>
            <w:vAlign w:val="center"/>
          </w:tcPr>
          <w:p>
            <w:pPr>
              <w:spacing w:after="0"/>
              <w:jc w:val="left"/>
            </w:pPr>
            <w:r>
              <w:rPr>
                <w:rFonts w:ascii="Calibri" w:hAnsi="Calibri"/>
                <w:b/>
                <w:color w:val="17365D"/>
                <w:sz w:val="17"/>
              </w:rPr>
              <w:t>Aantoonbare bronvelden/constructies</w:t>
            </w:r>
          </w:p>
        </w:tc>
        <w:tc>
          <w:tcPr>
            <w:tcW w:type="dxa" w:w="3760"/>
            <w:shd w:fill="F2F4F7"/>
            <w:tcMar>
              <w:top w:w="100" w:type="dxa"/>
              <w:start w:w="120" w:type="dxa"/>
              <w:bottom w:w="100" w:type="dxa"/>
              <w:end w:w="120" w:type="dxa"/>
            </w:tcMar>
            <w:vAlign w:val="center"/>
          </w:tcPr>
          <w:p>
            <w:pPr>
              <w:spacing w:after="0"/>
              <w:jc w:val="left"/>
            </w:pPr>
            <w:r>
              <w:rPr>
                <w:rFonts w:ascii="Calibri" w:hAnsi="Calibri"/>
                <w:b/>
                <w:color w:val="17365D"/>
                <w:sz w:val="17"/>
              </w:rPr>
              <w:t>Semantische kandidaat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Identiteit</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WONUM, WorkOrderNr, JOBNUM, external identifiers</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Stabiele WerkOrder-business key met bron-/sitecontext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Omschrijving</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DESCRIPTION, Description, Name</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Opdrachtomschrijving of titel</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Lifecycle/status</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STATUS, StatusDate, changedate, HISTORYFLAG, QQProcessed</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Status, statusmoment en historische/technische verwerkingsmarkering</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Planning</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TARGSTARTDATE, TARGCOMPDATE, SCHEDSTART, SCHEDFINISH, ESTDUR, Cycle</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Doeldata, geplande data, duur en planningresultaat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Organisatie/locatie</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ORGID, SITEID, LOCATION, WOLO5/GEOCode</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Administratieve context, site en uitvoeringslocatie</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Classificatie</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WORKTYPE, WO3/TechnicalField, WOTYPE</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Werksoort, technische discipline of lokaal type</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Hierarchie</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PARENT</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Parent-childrelatie tussen WerkOrders</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Project/monitoring</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GLACCOUNT/ProjectNr, BC/MonitoringCode, WOLO4/ContractArea</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Project-, kosten-, monitoring- of contractrelatie</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Rollen</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LEAD, SUPERVISOR, employee/personnel references</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Verantwoordelijke en uitvoerende rollen</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Uitvoering/realisatie</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DamageCode, Result, FinishDate, realization, machine/employee</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Uitvoeringsfeedback, schade, voortgang en gerealiseerde inzet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Financieel</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NORMALHOURS, ADDITIONALCOST, WBS-, agreement- en customercontext</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Uren, kosten, projectstructuur en klant/overeenkomst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4CE"/>
          </w:tcPr>
          <w:p>
            <w:pPr>
              <w:spacing w:after="0" w:line="264" w:lineRule="auto"/>
            </w:pPr>
            <w:r>
              <w:rPr>
                <w:rFonts w:ascii="Calibri" w:hAnsi="Calibri"/>
                <w:b/>
                <w:color w:val="17365D"/>
                <w:sz w:val="22"/>
              </w:rPr>
              <w:t xml:space="preserve">VWIIM-grens: </w:t>
            </w:r>
            <w:r>
              <w:rPr>
                <w:rFonts w:ascii="Calibri" w:hAnsi="Calibri"/>
                <w:sz w:val="22"/>
              </w:rPr>
              <w:t>Deze segmenten zijn semantische kandidaten. Zonder het officiele VWIIM WerkOrder-object zijn propertynamen, cardinaliteiten, codelijsten, verplichtheid en formeel attribuutownership niet vast te stellen.</w:t>
            </w:r>
          </w:p>
        </w:tc>
      </w:tr>
    </w:tbl>
    <w:p>
      <w:pPr>
        <w:spacing w:after="0"/>
      </w:pPr>
    </w:p>
    <w:p>
      <w:pPr>
        <w:pStyle w:val="Heading1"/>
      </w:pPr>
      <w:r>
        <w:t>7. Analyse per ketencluster</w:t>
      </w:r>
    </w:p>
    <w:p>
      <w:pPr>
        <w:pStyle w:val="Heading2"/>
      </w:pPr>
      <w:r>
        <w:t>7.1 Maximo &lt;-&gt; Quintiq: planning als afzonderlijk segment</w:t>
      </w:r>
    </w:p>
    <w:p>
      <w:pPr>
        <w:spacing w:before="0" w:after="120" w:line="264" w:lineRule="auto"/>
      </w:pPr>
      <w:r>
        <w:rPr>
          <w:rFonts w:ascii="Calibri" w:hAnsi="Calibri"/>
          <w:i w:val="0"/>
          <w:color w:val="111111"/>
          <w:sz w:val="22"/>
        </w:rPr>
        <w:t>Vastgesteld. Maximo2Quintiq_Workorder mapt een brede WerkOrderdoorsnede: WONUM, GLACCOUNT, BC, doelstart/-einde, omschrijving, status, locatie, werksoort, site, remarks, shift/contractcontext en LEAD/SUPERVISOR. De huidige route leest files en roept een Talend-job aan.</w:t>
      </w:r>
    </w:p>
    <w:p>
      <w:pPr>
        <w:spacing w:before="0" w:after="120" w:line="264" w:lineRule="auto"/>
      </w:pPr>
      <w:r>
        <w:rPr>
          <w:rFonts w:ascii="Calibri" w:hAnsi="Calibri"/>
          <w:i w:val="0"/>
          <w:color w:val="111111"/>
          <w:sz w:val="22"/>
        </w:rPr>
        <w:t>Vastgesteld. Quintiq2Maximo_PlannedWorkOrder selecteert alleen gewijzigde WorkOrders met TriggerType='Workorder', status WOP, minimaal een vrijgegeven CapacityTask en geen delete request. BC, SCHEDSTART, SCHEDFINISH en WOPM6 worden uit WorkPackage/CapacityTask afgeleid, inclusief fallbacklogica.</w:t>
      </w:r>
    </w:p>
    <w:p>
      <w:pPr>
        <w:spacing w:before="0" w:after="120" w:line="264" w:lineRule="auto"/>
      </w:pPr>
      <w:r>
        <w:rPr>
          <w:rFonts w:ascii="Calibri" w:hAnsi="Calibri"/>
          <w:i w:val="0"/>
          <w:color w:val="111111"/>
          <w:sz w:val="22"/>
        </w:rPr>
        <w:t>Duiding. Dit zijn minimaal twee capabilities: een planningopdracht en een planningresultaat. WOP-selectie, released-capacity en fallbackdata zijn businessachtige regels en moeten door planning/operations worden bevestigd. LastRunDateTime, ProcessData, files en processed markers zijn technische implementatie.</w:t>
      </w:r>
    </w:p>
    <w:p>
      <w:pPr>
        <w:spacing w:before="0" w:after="120" w:line="264" w:lineRule="auto"/>
      </w:pPr>
      <w:r>
        <w:rPr>
          <w:rFonts w:ascii="Calibri" w:hAnsi="Calibri"/>
          <w:i w:val="0"/>
          <w:color w:val="111111"/>
          <w:sz w:val="22"/>
        </w:rPr>
        <w:t>Ontwerprichting. Gebruik een VWIIM-afgeleid planningsegment. Overweeg een Decision-event voor een expliciet vrijgegeven planningopdracht en een Transaction-event voor een gerealiseerd planningresultaat. Gebruik een API alleen wanneer een planner direct actuele detailinformatie moet opvragen.</w:t>
      </w:r>
    </w:p>
    <w:p>
      <w:pPr>
        <w:spacing w:before="80" w:after="120" w:line="252" w:lineRule="auto"/>
      </w:pPr>
      <w:r>
        <w:rPr>
          <w:rFonts w:ascii="Calibri" w:hAnsi="Calibri"/>
          <w:i/>
          <w:color w:val="5B6778"/>
          <w:sz w:val="18"/>
        </w:rPr>
        <w:t>Bronbasis: [S1] Maximo2Quintiq_Workorder, Maximo2Quintiq_Workorder_Route, Quintiq2Maximo_PlannedWorkOrder en WorkOrderPickedUpXML.</w:t>
      </w:r>
    </w:p>
    <w:p>
      <w:pPr>
        <w:pStyle w:val="Heading2"/>
      </w:pPr>
      <w:r>
        <w:t>7.2 Maximo -&gt; RHM -&gt; Smartflow: uitvoering en realisatie</w:t>
      </w:r>
    </w:p>
    <w:p>
      <w:pPr>
        <w:spacing w:before="0" w:after="120" w:line="264" w:lineRule="auto"/>
      </w:pPr>
      <w:r>
        <w:rPr>
          <w:rFonts w:ascii="Calibri" w:hAnsi="Calibri"/>
          <w:i w:val="0"/>
          <w:color w:val="111111"/>
          <w:sz w:val="22"/>
        </w:rPr>
        <w:t>Vastgesteld. Maximo2RHM_Workorders draagt een compact profiel over: WorkOrderNr, OrgId, SiteId, Description, Status, StatusDate, HistoryFlag, Parent, ProjectNr en MonitoringCode. De job gebruikt een API-bron, MSSQL-staging, last-runstate en een stored procedure.</w:t>
      </w:r>
    </w:p>
    <w:p>
      <w:pPr>
        <w:spacing w:before="0" w:after="120" w:line="264" w:lineRule="auto"/>
      </w:pPr>
      <w:r>
        <w:rPr>
          <w:rFonts w:ascii="Calibri" w:hAnsi="Calibri"/>
          <w:i w:val="0"/>
          <w:color w:val="111111"/>
          <w:sz w:val="22"/>
        </w:rPr>
        <w:t>Vastgesteld. RHM2Smartflow_Workorders verzendt WorkOrderNr, Description, Status, StatusDate, ProjectNr en MonitoringCode via XML/webservice en verwerkt afzonderlijk nieuwe en verwijderde orders. De keten bevat daarnaast planning, projecten, medewerkers, machines en kwalificaties; Smartflow levert realisatie en vraagresultaten terug.</w:t>
      </w:r>
    </w:p>
    <w:p>
      <w:pPr>
        <w:spacing w:before="0" w:after="120" w:line="264" w:lineRule="auto"/>
      </w:pPr>
      <w:r>
        <w:rPr>
          <w:rFonts w:ascii="Calibri" w:hAnsi="Calibri"/>
          <w:i w:val="0"/>
          <w:color w:val="111111"/>
          <w:sz w:val="22"/>
        </w:rPr>
        <w:t>Duiding. WerkOrder-kern, uitvoeringsopdracht, resourcecontext en realisatie zijn verschillende segmenten met mogelijk verschillende auteurs. SendToSmartFlow en HistoryFlag kunnen technische synchronisatiestate zijn en horen niet zonder validatie in het canonical WerkOrder-object.</w:t>
      </w:r>
    </w:p>
    <w:p>
      <w:pPr>
        <w:spacing w:before="0" w:after="120" w:line="264" w:lineRule="auto"/>
      </w:pPr>
      <w:r>
        <w:rPr>
          <w:rFonts w:ascii="Calibri" w:hAnsi="Calibri"/>
          <w:i w:val="0"/>
          <w:color w:val="111111"/>
          <w:sz w:val="22"/>
        </w:rPr>
        <w:t>Ontwerprichting. Scheid WerkOrderReleasedForExecution, planning/resourcecontext en ExecutionReported als afzonderlijke contracten of events. Leg vast of delete werkelijk verwijdering betekent of een lifecycle-state change zoals ingetrokken/geannuleerd.</w:t>
      </w:r>
    </w:p>
    <w:p>
      <w:pPr>
        <w:spacing w:before="80" w:after="120" w:line="252" w:lineRule="auto"/>
      </w:pPr>
      <w:r>
        <w:rPr>
          <w:rFonts w:ascii="Calibri" w:hAnsi="Calibri"/>
          <w:i/>
          <w:color w:val="5B6778"/>
          <w:sz w:val="18"/>
        </w:rPr>
        <w:t>Bronbasis: [S1] Maximo2RHM_Workorders; RHM2Smartflow_*; Smartflow2RHM_*; RHM2Maximo_Realization*.</w:t>
      </w:r>
    </w:p>
    <w:p>
      <w:pPr>
        <w:pStyle w:val="Heading2"/>
      </w:pPr>
      <w:r>
        <w:t>7.3 AssetCheck/VISE: query, opdracht en update zijn vermengd</w:t>
      </w:r>
    </w:p>
    <w:p>
      <w:pPr>
        <w:spacing w:before="0" w:after="120" w:line="264" w:lineRule="auto"/>
      </w:pPr>
      <w:r>
        <w:rPr>
          <w:rFonts w:ascii="Calibri" w:hAnsi="Calibri"/>
          <w:i w:val="0"/>
          <w:color w:val="111111"/>
          <w:sz w:val="22"/>
        </w:rPr>
        <w:t>Vastgesteld. De scan bevat REST-capabilities voor GetWorkOrder(s), SendWorkOrderUpdate, SendServiceRequest, locatiequery's en Maximo2AssetCheck_SendWorkOrder. Hoofdjobs orkestreren meerdere subjobs. Files en lokale proces-/authenticatietabellen ondersteunen buffering, status en logging.</w:t>
      </w:r>
    </w:p>
    <w:p>
      <w:pPr>
        <w:spacing w:before="0" w:after="120" w:line="264" w:lineRule="auto"/>
      </w:pPr>
      <w:r>
        <w:rPr>
          <w:rFonts w:ascii="Calibri" w:hAnsi="Calibri"/>
          <w:i w:val="0"/>
          <w:color w:val="111111"/>
          <w:sz w:val="22"/>
        </w:rPr>
        <w:t>Vastgesteld. Twee AssetCheck-roots overlappen sterk en bevatten daarnaast voorbeeldjobs, copies en deprecated achtergrondprocessen. De scan toont de callgraph goed, maar de businesspayload van WerkOrder is in de onderzochte tMaps grotendeels niet zichtbaar; veel tMaps documenteren logging in plaats van objectmapping.</w:t>
      </w:r>
    </w:p>
    <w:p>
      <w:pPr>
        <w:spacing w:before="0" w:after="120" w:line="264" w:lineRule="auto"/>
      </w:pPr>
      <w:r>
        <w:rPr>
          <w:rFonts w:ascii="Calibri" w:hAnsi="Calibri"/>
          <w:i w:val="0"/>
          <w:color w:val="111111"/>
          <w:sz w:val="22"/>
        </w:rPr>
        <w:t>Duiding. De toekomstige capability moet worden gesplitst in gerichte query's, WerkOrder-/uitvoeringsopdracht en uitvoeringsupdate/service request. Een GetWorkOrder-API kan passend zijn voor directe vraag-antwoordbehoefte; verspreiding van state changes via API of polling past niet bij de VWI-voorkeur.</w:t>
      </w:r>
    </w:p>
    <w:p>
      <w:pPr>
        <w:spacing w:before="0" w:after="120" w:line="264" w:lineRule="auto"/>
      </w:pPr>
      <w:r>
        <w:rPr>
          <w:rFonts w:ascii="Calibri" w:hAnsi="Calibri"/>
          <w:i w:val="0"/>
          <w:color w:val="111111"/>
          <w:sz w:val="22"/>
        </w:rPr>
        <w:t>Rationalisatie. Kies een leidende deployment, verwijder voorbeeld/copy/deprecatedvarianten uit de migratiescope en reconstrueer eerst de echte payload uit contractschema's of voorbeeldberichten.</w:t>
      </w:r>
    </w:p>
    <w:p>
      <w:pPr>
        <w:spacing w:before="80" w:after="120" w:line="252" w:lineRule="auto"/>
      </w:pPr>
      <w:r>
        <w:rPr>
          <w:rFonts w:ascii="Calibri" w:hAnsi="Calibri"/>
          <w:i/>
          <w:color w:val="5B6778"/>
          <w:sz w:val="18"/>
        </w:rPr>
        <w:t>Bronbasis: [S1] AssetCheck_Interface, Maximo2AssetCheck, ASSETCHECK/ASSETCHECK2, VISE2Maximo en SP/VISE-groepen.</w:t>
      </w:r>
    </w:p>
    <w:p>
      <w:pPr>
        <w:pStyle w:val="Heading2"/>
      </w:pPr>
      <w:r>
        <w:t>7.4 Infor/InforOSK &lt;-&gt; Maximo: lifecycle en financiele feedback</w:t>
      </w:r>
    </w:p>
    <w:p>
      <w:pPr>
        <w:spacing w:before="0" w:after="120" w:line="264" w:lineRule="auto"/>
      </w:pPr>
      <w:r>
        <w:rPr>
          <w:rFonts w:ascii="Calibri" w:hAnsi="Calibri"/>
          <w:i w:val="0"/>
          <w:color w:val="111111"/>
          <w:sz w:val="22"/>
        </w:rPr>
        <w:t>Vastgesteld. NewWorkorders mapt WONUM, description, BC en een vaste locatie naar een Infor-werkbonconstructie met vaste organisatie- en activitycodes. ClosedWorkorders stuurt WONUM met een andere vaste activitycode. Maximo2Infor levert normal hours en additional cost terug, gekoppeld aan WONUM/JOBNUM.</w:t>
      </w:r>
    </w:p>
    <w:p>
      <w:pPr>
        <w:spacing w:before="0" w:after="120" w:line="264" w:lineRule="auto"/>
      </w:pPr>
      <w:r>
        <w:rPr>
          <w:rFonts w:ascii="Calibri" w:hAnsi="Calibri"/>
          <w:i w:val="0"/>
          <w:color w:val="111111"/>
          <w:sz w:val="22"/>
        </w:rPr>
        <w:t>Duiding. De keten combineert WerkOrder-lifecycle met uren/kosten. Vaste codes zoals RWSN-AXD, 999 en 1000 kunnen domeinregels of historische doeladapterwaarden zijn. Zij mogen niet zonder betekenis in een canonical contract worden opgenomen.</w:t>
      </w:r>
    </w:p>
    <w:p>
      <w:pPr>
        <w:spacing w:before="0" w:after="120" w:line="264" w:lineRule="auto"/>
      </w:pPr>
      <w:r>
        <w:rPr>
          <w:rFonts w:ascii="Calibri" w:hAnsi="Calibri"/>
          <w:i w:val="0"/>
          <w:color w:val="111111"/>
          <w:sz w:val="22"/>
        </w:rPr>
        <w:t>Ontwerprichting. Modelleer lifecycle-events los van financiele/actuals-events. Laat de Infor-adapter lokale activitycodes afleiden uit een canonieke state, tenzij business bevestigt dat deze codes zelf domeinbetekenis hebben.</w:t>
      </w:r>
    </w:p>
    <w:p>
      <w:pPr>
        <w:spacing w:before="80" w:after="120" w:line="252" w:lineRule="auto"/>
      </w:pPr>
      <w:r>
        <w:rPr>
          <w:rFonts w:ascii="Calibri" w:hAnsi="Calibri"/>
          <w:i/>
          <w:color w:val="5B6778"/>
          <w:sz w:val="18"/>
        </w:rPr>
        <w:t>Bronbasis: [S1] Infor2Maximo_NewWorkorders, Infor2Maximo_ClosedWorkorders, InforOSK2Maximo_* en Maximo2Infor_SendAdditionInformation.</w:t>
      </w:r>
    </w:p>
    <w:p>
      <w:pPr>
        <w:pStyle w:val="Heading2"/>
      </w:pPr>
      <w:r>
        <w:t>7.5 Ortec/Vialis planning: eventcategorieen bestaan al, contract ontbreekt</w:t>
      </w:r>
    </w:p>
    <w:p>
      <w:pPr>
        <w:spacing w:before="0" w:after="120" w:line="264" w:lineRule="auto"/>
      </w:pPr>
      <w:r>
        <w:rPr>
          <w:rFonts w:ascii="Calibri" w:hAnsi="Calibri"/>
          <w:i w:val="0"/>
          <w:color w:val="111111"/>
          <w:sz w:val="22"/>
        </w:rPr>
        <w:t>Vastgesteld. Routes onderscheiden geplande directe, geplande indirecte, gewijzigde en geannuleerde werkorders. OrtecWerkorderInFilter leest verschillende file-ingangen, routeert en schrijft naar JMS/monitoring. VialisPlanningsTool combineert SOAP, JMS, enrichment en interne direct-routes.</w:t>
      </w:r>
    </w:p>
    <w:p>
      <w:pPr>
        <w:spacing w:before="0" w:after="120" w:line="264" w:lineRule="auto"/>
      </w:pPr>
      <w:r>
        <w:rPr>
          <w:rFonts w:ascii="Calibri" w:hAnsi="Calibri"/>
          <w:i w:val="0"/>
          <w:color w:val="111111"/>
          <w:sz w:val="22"/>
        </w:rPr>
        <w:t>Vastgesteld. De scan bevat drie vrijwel identieke Vialis/Planningtool-roots: twee zijn 100 procent gelijk op jobnamen en alle drie overlappen voor 93 procent. Dit is repository-/aanleverduplicatie die eerst moet worden ontdubbeld voordat aantallen als applicatielandschap worden gelezen.</w:t>
      </w:r>
    </w:p>
    <w:p>
      <w:pPr>
        <w:spacing w:before="0" w:after="120" w:line="264" w:lineRule="auto"/>
      </w:pPr>
      <w:r>
        <w:rPr>
          <w:rFonts w:ascii="Calibri" w:hAnsi="Calibri"/>
          <w:i w:val="0"/>
          <w:color w:val="111111"/>
          <w:sz w:val="22"/>
        </w:rPr>
        <w:t>Duiding. De eventcategorieen zijn een bruikbaar uitgangspunt, maar de namen beschrijven deels technische routes en de payload is niet als VWIIM-contract aangetoond. Direct/indirect is mogelijk context of classificatie, niet noodzakelijk een afzonderlijk eventtype.</w:t>
      </w:r>
    </w:p>
    <w:p>
      <w:pPr>
        <w:spacing w:before="0" w:after="120" w:line="264" w:lineRule="auto"/>
      </w:pPr>
      <w:r>
        <w:rPr>
          <w:rFonts w:ascii="Calibri" w:hAnsi="Calibri"/>
          <w:i w:val="0"/>
          <w:color w:val="111111"/>
          <w:sz w:val="22"/>
        </w:rPr>
        <w:t>Ontwerprichting. Consolideer naar een klein aantal betekenisvolle planning-state changes, met direct/indirect als attribuut als de businessbetekenis dat toelaat. Gebruik BEDDA-header en onafhankelijke event-id; laat consumer-specifieke SOAP- of filevormen in adapters.</w:t>
      </w:r>
    </w:p>
    <w:p>
      <w:pPr>
        <w:spacing w:before="80" w:after="120" w:line="252" w:lineRule="auto"/>
      </w:pPr>
      <w:r>
        <w:rPr>
          <w:rFonts w:ascii="Calibri" w:hAnsi="Calibri"/>
          <w:i/>
          <w:color w:val="5B6778"/>
          <w:sz w:val="18"/>
        </w:rPr>
        <w:t>Bronbasis: [S1] ortec_maximo-routes en drie Vialis_Planningtool-roots.</w:t>
      </w:r>
    </w:p>
    <w:p>
      <w:pPr>
        <w:pStyle w:val="Heading2"/>
      </w:pPr>
      <w:r>
        <w:t>7.6 Maximo -&gt; 4PS: brede bronpayload, doelcontract nog onvolledig</w:t>
      </w:r>
    </w:p>
    <w:p>
      <w:pPr>
        <w:spacing w:before="0" w:after="120" w:line="264" w:lineRule="auto"/>
      </w:pPr>
      <w:r>
        <w:rPr>
          <w:rFonts w:ascii="Calibri" w:hAnsi="Calibri"/>
          <w:i w:val="0"/>
          <w:color w:val="111111"/>
          <w:sz w:val="22"/>
        </w:rPr>
        <w:t>Vastgesteld. maximoFourpsWorkOrder consumeert en publiceert via JMS, bevat meerdere filters/wiretaps en roept de embedded job workorder aan. Een testpayload bevat een zeer brede Maximo PublishVLWO/WORKORDER-structuur met kern-, status-, planning-, locatie-, project-, WBS-, agreement-, customer- en kostengerelateerde velden.</w:t>
      </w:r>
    </w:p>
    <w:p>
      <w:pPr>
        <w:spacing w:before="0" w:after="120" w:line="264" w:lineRule="auto"/>
      </w:pPr>
      <w:r>
        <w:rPr>
          <w:rFonts w:ascii="Calibri" w:hAnsi="Calibri"/>
          <w:i w:val="0"/>
          <w:color w:val="111111"/>
          <w:sz w:val="22"/>
        </w:rPr>
        <w:t>Beperking. De scan laat in de embedded tMap alleen een statusoutput zien en bevat geen volledig gereconstrueerd 4PS-doelcontract. De brede testpayload bewijst welke broninformatie beschikbaar kan zijn, niet welke velden werkelijk naar 4PS worden geleverd.</w:t>
      </w:r>
    </w:p>
    <w:p>
      <w:pPr>
        <w:spacing w:before="0" w:after="120" w:line="264" w:lineRule="auto"/>
      </w:pPr>
      <w:r>
        <w:rPr>
          <w:rFonts w:ascii="Calibri" w:hAnsi="Calibri"/>
          <w:i w:val="0"/>
          <w:color w:val="111111"/>
          <w:sz w:val="22"/>
        </w:rPr>
        <w:t>Ontwerprichting. Bepaal eerst de echte 4PS-consumentenbehoefte en splits WerkOrder-kern/lifecycle van project-financecontext. Migreer niet de volledige Maximo-XML als generiek event; publiceer alleen functioneel noodzakelijke VWIIM-segmenten.</w:t>
      </w:r>
    </w:p>
    <w:p>
      <w:pPr>
        <w:spacing w:before="80" w:after="120" w:line="252" w:lineRule="auto"/>
      </w:pPr>
      <w:r>
        <w:rPr>
          <w:rFonts w:ascii="Calibri" w:hAnsi="Calibri"/>
          <w:i/>
          <w:color w:val="5B6778"/>
          <w:sz w:val="18"/>
        </w:rPr>
        <w:t>Bronbasis: [S1] maximoFourpsWorkOrder, workorder, routekanalen en PublishVLWO-testpayload.</w:t>
      </w:r>
    </w:p>
    <w:p>
      <w:pPr>
        <w:pStyle w:val="Heading2"/>
      </w:pPr>
      <w:r>
        <w:t>7.7 FlexTunnel en aangrenzende realisatieketens</w:t>
      </w:r>
    </w:p>
    <w:p>
      <w:pPr>
        <w:spacing w:before="0" w:after="120" w:line="264" w:lineRule="auto"/>
      </w:pPr>
      <w:r>
        <w:rPr>
          <w:rFonts w:ascii="Calibri" w:hAnsi="Calibri"/>
          <w:i w:val="0"/>
          <w:color w:val="111111"/>
          <w:sz w:val="22"/>
        </w:rPr>
        <w:t>Vastgesteld. Tunnel_Maximo2Flex_ServiceWorkorderImport verwerkt WorkOrder-referenties, resultaten, schadecodes, plandata, status, equipment en medewerkers. De job voert veel MSSQL-lookups en insert/updatekeuzes uit. RHM/Smartflow/VSUren verwerken daarnaast machines, medewerkers, toeslagen, uren en realisatie.</w:t>
      </w:r>
    </w:p>
    <w:p>
      <w:pPr>
        <w:spacing w:before="0" w:after="120" w:line="264" w:lineRule="auto"/>
      </w:pPr>
      <w:r>
        <w:rPr>
          <w:rFonts w:ascii="Calibri" w:hAnsi="Calibri"/>
          <w:i w:val="0"/>
          <w:color w:val="111111"/>
          <w:sz w:val="22"/>
        </w:rPr>
        <w:t>Duiding. Dit is niet noodzakelijk een volledige WerkOrder-uitwisseling. Veel informatie hoort waarschijnlijk bij inspectie, schade, resource assignment of realisatie met een relatie naar WerkOrder. Een allesomvattend WerkOrder-object zou deze domeinen onnodig koppelen.</w:t>
      </w:r>
    </w:p>
    <w:p>
      <w:pPr>
        <w:spacing w:before="0" w:after="120" w:line="264" w:lineRule="auto"/>
      </w:pPr>
      <w:r>
        <w:rPr>
          <w:rFonts w:ascii="Calibri" w:hAnsi="Calibri"/>
          <w:i w:val="0"/>
          <w:color w:val="111111"/>
          <w:sz w:val="22"/>
        </w:rPr>
        <w:t>Ontwerprichting. Modelleer zelfstandige businessobjecten en events voor ExecutionResult, Damage/Inspection, ResourceAssignment en TimeRegistration waar de business dat bevestigt; verbind ze via WerkOrder-identiteit en correlationId.</w:t>
      </w:r>
    </w:p>
    <w:p>
      <w:pPr>
        <w:spacing w:before="80" w:after="120" w:line="252" w:lineRule="auto"/>
      </w:pPr>
      <w:r>
        <w:rPr>
          <w:rFonts w:ascii="Calibri" w:hAnsi="Calibri"/>
          <w:i/>
          <w:color w:val="5B6778"/>
          <w:sz w:val="18"/>
        </w:rPr>
        <w:t>Bronbasis: [S1] FLEXTUNNEL, RHM2Smartflow, Smartflow2RHM en VSUren/RHM-jobs.</w:t>
      </w:r>
    </w:p>
    <w:p>
      <w:pPr>
        <w:pStyle w:val="Heading1"/>
      </w:pPr>
      <w:r>
        <w:t>8. Businesslogica, technische logica en historische vorm</w:t>
      </w:r>
    </w:p>
    <w:tbl>
      <w:tblPr>
        <w:tblStyle w:val="TableGrid"/>
        <w:tblW w:type="dxa" w:w="9360"/>
        <w:jc w:val="left"/>
        <w:tblLayout w:type="fixed"/>
        <w:tblLook w:firstColumn="1" w:firstRow="1" w:lastColumn="0" w:lastRow="0" w:noHBand="0" w:noVBand="1" w:val="04A0"/>
        <w:tblInd w:w="120" w:type="dxa"/>
      </w:tblPr>
      <w:tblGrid>
        <w:gridCol w:w="3200"/>
        <w:gridCol w:w="2100"/>
        <w:gridCol w:w="4060"/>
      </w:tblGrid>
      <w:tr>
        <w:trPr>
          <w:tblHeader w:val="true"/>
          <w:cantSplit/>
        </w:trPr>
        <w:tc>
          <w:tcPr>
            <w:tcW w:type="dxa" w:w="3200"/>
            <w:shd w:fill="F2F4F7"/>
            <w:tcMar>
              <w:top w:w="100" w:type="dxa"/>
              <w:start w:w="120" w:type="dxa"/>
              <w:bottom w:w="100" w:type="dxa"/>
              <w:end w:w="120" w:type="dxa"/>
            </w:tcMar>
            <w:vAlign w:val="center"/>
          </w:tcPr>
          <w:p>
            <w:pPr>
              <w:spacing w:after="0"/>
              <w:jc w:val="left"/>
            </w:pPr>
            <w:r>
              <w:rPr>
                <w:rFonts w:ascii="Calibri" w:hAnsi="Calibri"/>
                <w:b/>
                <w:color w:val="17365D"/>
                <w:sz w:val="17"/>
              </w:rPr>
              <w:t>Patroon uit de scan</w:t>
            </w:r>
          </w:p>
        </w:tc>
        <w:tc>
          <w:tcPr>
            <w:tcW w:type="dxa" w:w="2100"/>
            <w:shd w:fill="F2F4F7"/>
            <w:tcMar>
              <w:top w:w="100" w:type="dxa"/>
              <w:start w:w="120" w:type="dxa"/>
              <w:bottom w:w="100" w:type="dxa"/>
              <w:end w:w="120" w:type="dxa"/>
            </w:tcMar>
            <w:vAlign w:val="center"/>
          </w:tcPr>
          <w:p>
            <w:pPr>
              <w:spacing w:after="0"/>
              <w:jc w:val="left"/>
            </w:pPr>
            <w:r>
              <w:rPr>
                <w:rFonts w:ascii="Calibri" w:hAnsi="Calibri"/>
                <w:b/>
                <w:color w:val="17365D"/>
                <w:sz w:val="17"/>
              </w:rPr>
              <w:t>Voorlopige classificatie</w:t>
            </w:r>
          </w:p>
        </w:tc>
        <w:tc>
          <w:tcPr>
            <w:tcW w:type="dxa" w:w="4060"/>
            <w:shd w:fill="F2F4F7"/>
            <w:tcMar>
              <w:top w:w="100" w:type="dxa"/>
              <w:start w:w="120" w:type="dxa"/>
              <w:bottom w:w="100" w:type="dxa"/>
              <w:end w:w="120" w:type="dxa"/>
            </w:tcMar>
            <w:vAlign w:val="center"/>
          </w:tcPr>
          <w:p>
            <w:pPr>
              <w:spacing w:after="0"/>
              <w:jc w:val="left"/>
            </w:pPr>
            <w:r>
              <w:rPr>
                <w:rFonts w:ascii="Calibri" w:hAnsi="Calibri"/>
                <w:b/>
                <w:color w:val="17365D"/>
                <w:sz w:val="17"/>
              </w:rPr>
              <w:t>Actie voor herontwerp</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Status WOP + released CapacityTask + geen delete request</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Businessselectie</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Business owner bevestigt; als domeinregel beheren en testen.</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Eerste/laatste CapacityTask met WorkPackage-fallback</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Businessregel/fallback</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Betekenis van forecast, commitment en fallback expliciet maken.</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Nieuwe, gewijzigde, geplande en geannuleerde routes</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Business state categories</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Consolideren naar canonieke lifecycle-events.</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HistoryFlag, QQProcessed, SendToSmartFlow</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Grensgeval</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Bepalen of businessstate of technische synchronisatiemarkering.</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LastRunDateTime, Processes/ProcessData, temp tables</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Technische state</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Vervangen door platformcheckpoint, event-id en idempotentie.</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XML/JSON/XSLT, protocol- en datumconversie</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Technische transformatie</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In adapters/integratielaag houden.</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Filefolders: input/inprogress/processed/failed</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Historische buffering/retry</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Vervangen door beheerde messaging, DLQ en replay.</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Vaste Infor-/locatie-/activitycodes</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Doeladapter of businessregel</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Betekenis en eigenaar valideren; niet in common model gokken.</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Wiretap, StatCatcher, logtabellen en MessageCollector</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Observability</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Centraliseren in standaard tracing, metrics en alerts.</w:t>
            </w:r>
          </w:p>
        </w:tc>
      </w:tr>
    </w:tbl>
    <w:p>
      <w:pPr>
        <w:spacing w:after="0"/>
      </w:pPr>
    </w:p>
    <w:p>
      <w:pPr>
        <w:pStyle w:val="Heading1"/>
      </w:pPr>
      <w:r>
        <w:t>9. Toetsing aan VWI Integratiebeleid 0.8</w:t>
      </w:r>
    </w:p>
    <w:tbl>
      <w:tblPr>
        <w:tblStyle w:val="TableGrid"/>
        <w:tblW w:type="dxa" w:w="9360"/>
        <w:jc w:val="left"/>
        <w:tblLayout w:type="fixed"/>
        <w:tblLook w:firstColumn="1" w:firstRow="1" w:lastColumn="0" w:lastRow="0" w:noHBand="0" w:noVBand="1" w:val="04A0"/>
        <w:tblInd w:w="120" w:type="dxa"/>
      </w:tblPr>
      <w:tblGrid>
        <w:gridCol w:w="2200"/>
        <w:gridCol w:w="1700"/>
        <w:gridCol w:w="5460"/>
      </w:tblGrid>
      <w:tr>
        <w:trPr>
          <w:tblHeader w:val="true"/>
          <w:cantSplit/>
        </w:trPr>
        <w:tc>
          <w:tcPr>
            <w:tcW w:type="dxa" w:w="2200"/>
            <w:shd w:fill="F2F4F7"/>
            <w:tcMar>
              <w:top w:w="100" w:type="dxa"/>
              <w:start w:w="120" w:type="dxa"/>
              <w:bottom w:w="100" w:type="dxa"/>
              <w:end w:w="120" w:type="dxa"/>
            </w:tcMar>
            <w:vAlign w:val="center"/>
          </w:tcPr>
          <w:p>
            <w:pPr>
              <w:spacing w:after="0"/>
              <w:jc w:val="left"/>
            </w:pPr>
            <w:r>
              <w:rPr>
                <w:rFonts w:ascii="Calibri" w:hAnsi="Calibri"/>
                <w:b/>
                <w:color w:val="17365D"/>
                <w:sz w:val="16"/>
              </w:rPr>
              <w:t>Principegroep</w:t>
            </w:r>
          </w:p>
        </w:tc>
        <w:tc>
          <w:tcPr>
            <w:tcW w:type="dxa" w:w="1700"/>
            <w:shd w:fill="F2F4F7"/>
            <w:tcMar>
              <w:top w:w="100" w:type="dxa"/>
              <w:start w:w="120" w:type="dxa"/>
              <w:bottom w:w="100" w:type="dxa"/>
              <w:end w:w="120" w:type="dxa"/>
            </w:tcMar>
            <w:vAlign w:val="center"/>
          </w:tcPr>
          <w:p>
            <w:pPr>
              <w:spacing w:after="0"/>
              <w:jc w:val="left"/>
            </w:pPr>
            <w:r>
              <w:rPr>
                <w:rFonts w:ascii="Calibri" w:hAnsi="Calibri"/>
                <w:b/>
                <w:color w:val="17365D"/>
                <w:sz w:val="16"/>
              </w:rPr>
              <w:t>As-is oordeel</w:t>
            </w:r>
          </w:p>
        </w:tc>
        <w:tc>
          <w:tcPr>
            <w:tcW w:type="dxa" w:w="5460"/>
            <w:shd w:fill="F2F4F7"/>
            <w:tcMar>
              <w:top w:w="100" w:type="dxa"/>
              <w:start w:w="120" w:type="dxa"/>
              <w:bottom w:w="100" w:type="dxa"/>
              <w:end w:w="120" w:type="dxa"/>
            </w:tcMar>
            <w:vAlign w:val="center"/>
          </w:tcPr>
          <w:p>
            <w:pPr>
              <w:spacing w:after="0"/>
              <w:jc w:val="left"/>
            </w:pPr>
            <w:r>
              <w:rPr>
                <w:rFonts w:ascii="Calibri" w:hAnsi="Calibri"/>
                <w:b/>
                <w:color w:val="17365D"/>
                <w:sz w:val="16"/>
              </w:rPr>
              <w:t>Bewijs en consequentie</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AP-01 integratielaag</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Legacy-afwijking</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Talend fungeert als integratielaag, maar doelplatform AIS en expliciete governance zijn niet aangetoond.</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AP-02 geen businesslogica</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conform/risico</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Selectie, status- en fallbackregels staan in SQL, routes en mappings.</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AP-03 t/m AP-05 events/API/push</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Grotendeels niet conform</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1.273 file- en 659 databasecomponenten; polling/pull en filetransport zijn dominant. JMS bestaat, maar BEDDA-semantiek is niet bewezen.</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AP-06 t/m AP-09 eventstructuur</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aantoonbaar</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Geen uniforme eventnaam, eventtype en CloudEvents/BEDDA-header uit de scan vastgesteld.</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AP-10 VWIIM</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conform/onvolledig</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Geen formele contractschema's en geen bron -&gt; VWIIM -&gt; doelmapping.</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AP-11 authority</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Te valideren</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Technische producent zichtbaar; verantwoordelijke businessfunctie per state change ontbreekt.</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AP-12 interne data</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Risico</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Lokale tabellen, ProcessData en consumer-specifieke velden functioneren als interfacecontract.</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AP-13/14 idempotentie en RMS</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Deels lokaal, niet standaard</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Processed flags/checkpoints bestaan; onafhankelijke event-id, RMS en beheerste replay zijn niet bewezen.</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AP-15 observability</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Deels aanwezig</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938 logging/monitoring/foutcomponenten, maar versnipperd; patroonmonitoring en businessimpact niet aantoonbaar.</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AP-16 identifiers</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aantoonbaar</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Werkordernummers en record-id's zijn zichtbaar; uniforme onafhankelijke message-id ontbreekt.</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AP-17/18 contract en lifecycle</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conform/onvolledig</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Talend-artifactversies en deprecatedgroepen bestaan, maar formele contractversies/afbouwpaden ontbreken.</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AP-19 t/m AP-21 governance</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aantoonbaar</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Ownership, comply-or-explain en besluitregistratie staan niet in de scan.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4CE"/>
          </w:tcPr>
          <w:p>
            <w:pPr>
              <w:spacing w:after="0" w:line="264" w:lineRule="auto"/>
            </w:pPr>
            <w:r>
              <w:rPr>
                <w:rFonts w:ascii="Calibri" w:hAnsi="Calibri"/>
                <w:b/>
                <w:color w:val="17365D"/>
                <w:sz w:val="22"/>
              </w:rPr>
              <w:t xml:space="preserve">Nuance: </w:t>
            </w:r>
            <w:r>
              <w:rPr>
                <w:rFonts w:ascii="Calibri" w:hAnsi="Calibri"/>
                <w:sz w:val="22"/>
              </w:rPr>
              <w:t>Niet aantoonbaar betekent niet automatisch afwezig. De statische scan bevat geen architectuurregister, contractcatalogus, deploymentstatus, TMC-runtime of eigenaarschapsregister. Deze bronnen moeten worden gekoppeld voordat een definitief compliance-oordeel wordt vastgesteld.</w:t>
            </w:r>
          </w:p>
        </w:tc>
      </w:tr>
    </w:tbl>
    <w:p>
      <w:pPr>
        <w:spacing w:after="0"/>
      </w:pPr>
    </w:p>
    <w:p>
      <w:pPr>
        <w:pStyle w:val="Heading1"/>
      </w:pPr>
      <w:r>
        <w:t>10. Voorgestelde toekomstige inrichting</w:t>
      </w:r>
    </w:p>
    <w:p>
      <w:pPr>
        <w:spacing w:before="0" w:after="120" w:line="264" w:lineRule="auto"/>
      </w:pPr>
      <w:r>
        <w:rPr>
          <w:rFonts w:ascii="Calibri" w:hAnsi="Calibri"/>
          <w:i w:val="0"/>
          <w:color w:val="111111"/>
          <w:sz w:val="22"/>
        </w:rPr>
        <w:t>De veiligste richting is een VWIIM-afgeleide WerkOrder-common layer met doelgerichte segmenten. De integratielaag faciliteert transport, mapping, contractvalidatie, routing, idempotentie, observability en replay; de businessdomeinen bepalen state changes, regels en ownership.</w:t>
      </w:r>
    </w:p>
    <w:p>
      <w:pPr>
        <w:pStyle w:val="ListNumber"/>
        <w:spacing w:after="100" w:line="280" w:lineRule="auto"/>
      </w:pPr>
      <w:r>
        <w:rPr>
          <w:rFonts w:ascii="Calibri" w:hAnsi="Calibri"/>
          <w:sz w:val="22"/>
        </w:rPr>
        <w:t>Bronadapter: vertaalt Maximo, Quintiq, RHM, Smartflow, Infor, Ortec, AssetCheck en 4PS naar een beheerd broncontract.</w:t>
      </w:r>
    </w:p>
    <w:p>
      <w:pPr>
        <w:pStyle w:val="ListNumber"/>
        <w:spacing w:after="100" w:line="280" w:lineRule="auto"/>
      </w:pPr>
      <w:r>
        <w:rPr>
          <w:rFonts w:ascii="Calibri" w:hAnsi="Calibri"/>
          <w:sz w:val="22"/>
        </w:rPr>
        <w:t>Canonical/VWIIM-laag: definieert WerkOrder-kern en relaties naar Planning, Location, ResourceAssignment, ExecutionResult en FinancialContext.</w:t>
      </w:r>
    </w:p>
    <w:p>
      <w:pPr>
        <w:pStyle w:val="ListNumber"/>
        <w:spacing w:after="100" w:line="280" w:lineRule="auto"/>
      </w:pPr>
      <w:r>
        <w:rPr>
          <w:rFonts w:ascii="Calibri" w:hAnsi="Calibri"/>
          <w:sz w:val="22"/>
        </w:rPr>
        <w:t>BEDDA-publicatie: publiceert alleen extern relevante state changes met gestandaardiseerde header, technisch event-id, correlationId en externalIdentifiers.</w:t>
      </w:r>
    </w:p>
    <w:p>
      <w:pPr>
        <w:pStyle w:val="ListNumber"/>
        <w:spacing w:after="100" w:line="280" w:lineRule="auto"/>
      </w:pPr>
      <w:r>
        <w:rPr>
          <w:rFonts w:ascii="Calibri" w:hAnsi="Calibri"/>
          <w:sz w:val="22"/>
        </w:rPr>
        <w:t>Consumeradapter: vertaalt een canoniek segment naar de minimale doelstructuur; lokale codes en protocollen blijven uit het common model.</w:t>
      </w:r>
    </w:p>
    <w:p>
      <w:pPr>
        <w:pStyle w:val="ListNumber"/>
        <w:spacing w:after="100" w:line="280" w:lineRule="auto"/>
      </w:pPr>
      <w:r>
        <w:rPr>
          <w:rFonts w:ascii="Calibri" w:hAnsi="Calibri"/>
          <w:sz w:val="22"/>
        </w:rPr>
        <w:t>Platformcapaciteiten: Service Bus, APIM voor noodzakelijke query's, RMS, DLQ/retry, tracing, schema registry en contracttests.</w:t>
      </w:r>
    </w:p>
    <w:p>
      <w:pPr>
        <w:pStyle w:val="Heading2"/>
      </w:pPr>
      <w:r>
        <w:t>10.1 Kandidaat-events voor validatie</w:t>
      </w:r>
    </w:p>
    <w:tbl>
      <w:tblPr>
        <w:tblStyle w:val="TableGrid"/>
        <w:tblW w:type="dxa" w:w="9360"/>
        <w:jc w:val="left"/>
        <w:tblLayout w:type="fixed"/>
        <w:tblLook w:firstColumn="1" w:firstRow="1" w:lastColumn="0" w:lastRow="0" w:noHBand="0" w:noVBand="1" w:val="04A0"/>
        <w:tblInd w:w="120" w:type="dxa"/>
      </w:tblPr>
      <w:tblGrid>
        <w:gridCol w:w="2700"/>
        <w:gridCol w:w="3400"/>
        <w:gridCol w:w="3260"/>
      </w:tblGrid>
      <w:tr>
        <w:trPr>
          <w:tblHeader w:val="true"/>
          <w:cantSplit/>
        </w:trPr>
        <w:tc>
          <w:tcPr>
            <w:tcW w:type="dxa" w:w="2700"/>
            <w:shd w:fill="F2F4F7"/>
            <w:tcMar>
              <w:top w:w="100" w:type="dxa"/>
              <w:start w:w="120" w:type="dxa"/>
              <w:bottom w:w="100" w:type="dxa"/>
              <w:end w:w="120" w:type="dxa"/>
            </w:tcMar>
            <w:vAlign w:val="center"/>
          </w:tcPr>
          <w:p>
            <w:pPr>
              <w:spacing w:after="0"/>
              <w:jc w:val="left"/>
            </w:pPr>
            <w:r>
              <w:rPr>
                <w:rFonts w:ascii="Calibri" w:hAnsi="Calibri"/>
                <w:b/>
                <w:color w:val="17365D"/>
                <w:sz w:val="17"/>
              </w:rPr>
              <w:t>Kandidaatnaam</w:t>
            </w:r>
          </w:p>
        </w:tc>
        <w:tc>
          <w:tcPr>
            <w:tcW w:type="dxa" w:w="3400"/>
            <w:shd w:fill="F2F4F7"/>
            <w:tcMar>
              <w:top w:w="100" w:type="dxa"/>
              <w:start w:w="120" w:type="dxa"/>
              <w:bottom w:w="100" w:type="dxa"/>
              <w:end w:w="120" w:type="dxa"/>
            </w:tcMar>
            <w:vAlign w:val="center"/>
          </w:tcPr>
          <w:p>
            <w:pPr>
              <w:spacing w:after="0"/>
              <w:jc w:val="left"/>
            </w:pPr>
            <w:r>
              <w:rPr>
                <w:rFonts w:ascii="Calibri" w:hAnsi="Calibri"/>
                <w:b/>
                <w:color w:val="17365D"/>
                <w:sz w:val="17"/>
              </w:rPr>
              <w:t>Waargenomen aanleiding</w:t>
            </w:r>
          </w:p>
        </w:tc>
        <w:tc>
          <w:tcPr>
            <w:tcW w:type="dxa" w:w="3260"/>
            <w:shd w:fill="F2F4F7"/>
            <w:tcMar>
              <w:top w:w="100" w:type="dxa"/>
              <w:start w:w="120" w:type="dxa"/>
              <w:bottom w:w="100" w:type="dxa"/>
              <w:end w:w="120" w:type="dxa"/>
            </w:tcMar>
            <w:vAlign w:val="center"/>
          </w:tcPr>
          <w:p>
            <w:pPr>
              <w:spacing w:after="0"/>
              <w:jc w:val="left"/>
            </w:pPr>
            <w:r>
              <w:rPr>
                <w:rFonts w:ascii="Calibri" w:hAnsi="Calibri"/>
                <w:b/>
                <w:color w:val="17365D"/>
                <w:sz w:val="17"/>
              </w:rPr>
              <w:t>Te besluiten</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WorkOrderCreated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Nieuwe WerkOrders richting Infor/andere afnemers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Is creatie buiten het brondomein relevant en wie publiceert?</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WorkOrderReleasedForPlanning</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WOP/released CapacityTask en Maximo -&gt; Quintiq</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Decision of andere state; benodigde volledige payload.</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WorkOrderPlanned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Quintiq-planning terug naar Maximo</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Auteur van planvelden; transaction/decision-classificatie.</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WorkOrderPlanningChanged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Gewijzigde/geplande Ortec-routes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Samenvoegen van direct/indirect en gewijzigdcategorieen.</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WorkOrderCancelled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Geannuleerde routes en deleteflows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Cancel, revoke, delete of historiseren.</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WorkOrderReleasedForExecution</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RHM -&gt; Smartflow/AssetCheck opdrachten</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Welke uitvoeringscontext is zelfstandig nodig?</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WorkOrderExecutionReported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Smartflow/FlexTunnel/AssetCheck feedback</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Is dit WerkOrder-event of apart ExecutionResult-object?</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WorkOrderCompleted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ClosedWorkorders richting Infor</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Canonieke eindstatus en authoritative businessfunctie.</w:t>
            </w:r>
          </w:p>
        </w:tc>
      </w:tr>
    </w:tbl>
    <w:p>
      <w:pPr>
        <w:spacing w:after="0"/>
      </w:pPr>
    </w:p>
    <w:p>
      <w:pPr>
        <w:spacing w:before="0" w:after="120" w:line="264" w:lineRule="auto"/>
      </w:pPr>
      <w:r>
        <w:rPr>
          <w:rFonts w:ascii="Calibri" w:hAnsi="Calibri"/>
          <w:i w:val="0"/>
          <w:color w:val="111111"/>
          <w:sz w:val="22"/>
        </w:rPr>
        <w:t>Deze namen zijn ontwerpvoorstellen, geen vastgestelde VWI-events. De uiteindelijke naam volgt VWIIM, businessbetekenis en de BEDDA-naamgevingsstructuur. Technische failures horen niet automatisch als Transgression-event te worden gepubliceerd; een transgression is een businessafwijking, geen integratiefout.</w:t>
      </w:r>
    </w:p>
    <w:p>
      <w:pPr>
        <w:pStyle w:val="Heading1"/>
      </w:pPr>
      <w:r>
        <w:t>11. Rationalisatieadvies en volgorde</w:t>
      </w:r>
    </w:p>
    <w:tbl>
      <w:tblPr>
        <w:tblStyle w:val="TableGrid"/>
        <w:tblW w:type="dxa" w:w="9360"/>
        <w:jc w:val="left"/>
        <w:tblLayout w:type="fixed"/>
        <w:tblLook w:firstColumn="1" w:firstRow="1" w:lastColumn="0" w:lastRow="0" w:noHBand="0" w:noVBand="1" w:val="04A0"/>
        <w:tblInd w:w="120" w:type="dxa"/>
      </w:tblPr>
      <w:tblGrid>
        <w:gridCol w:w="900"/>
        <w:gridCol w:w="5000"/>
        <w:gridCol w:w="3460"/>
      </w:tblGrid>
      <w:tr>
        <w:trPr>
          <w:tblHeader w:val="true"/>
          <w:cantSplit/>
        </w:trPr>
        <w:tc>
          <w:tcPr>
            <w:tcW w:type="dxa" w:w="900"/>
            <w:shd w:fill="F2F4F7"/>
            <w:tcMar>
              <w:top w:w="100" w:type="dxa"/>
              <w:start w:w="120" w:type="dxa"/>
              <w:bottom w:w="100" w:type="dxa"/>
              <w:end w:w="120" w:type="dxa"/>
            </w:tcMar>
            <w:vAlign w:val="center"/>
          </w:tcPr>
          <w:p>
            <w:pPr>
              <w:spacing w:after="0"/>
              <w:jc w:val="center"/>
            </w:pPr>
            <w:r>
              <w:rPr>
                <w:rFonts w:ascii="Calibri" w:hAnsi="Calibri"/>
                <w:b/>
                <w:color w:val="17365D"/>
                <w:sz w:val="17"/>
              </w:rPr>
              <w:t>Prioriteit</w:t>
            </w:r>
          </w:p>
        </w:tc>
        <w:tc>
          <w:tcPr>
            <w:tcW w:type="dxa" w:w="5000"/>
            <w:shd w:fill="F2F4F7"/>
            <w:tcMar>
              <w:top w:w="100" w:type="dxa"/>
              <w:start w:w="120" w:type="dxa"/>
              <w:bottom w:w="100" w:type="dxa"/>
              <w:end w:w="120" w:type="dxa"/>
            </w:tcMar>
            <w:vAlign w:val="center"/>
          </w:tcPr>
          <w:p>
            <w:pPr>
              <w:spacing w:after="0"/>
              <w:jc w:val="left"/>
            </w:pPr>
            <w:r>
              <w:rPr>
                <w:rFonts w:ascii="Calibri" w:hAnsi="Calibri"/>
                <w:b/>
                <w:color w:val="17365D"/>
                <w:sz w:val="17"/>
              </w:rPr>
              <w:t>Actie</w:t>
            </w:r>
          </w:p>
        </w:tc>
        <w:tc>
          <w:tcPr>
            <w:tcW w:type="dxa" w:w="3460"/>
            <w:shd w:fill="F2F4F7"/>
            <w:tcMar>
              <w:top w:w="100" w:type="dxa"/>
              <w:start w:w="120" w:type="dxa"/>
              <w:bottom w:w="100" w:type="dxa"/>
              <w:end w:w="120" w:type="dxa"/>
            </w:tcMar>
            <w:vAlign w:val="center"/>
          </w:tcPr>
          <w:p>
            <w:pPr>
              <w:spacing w:after="0"/>
              <w:jc w:val="left"/>
            </w:pPr>
            <w:r>
              <w:rPr>
                <w:rFonts w:ascii="Calibri" w:hAnsi="Calibri"/>
                <w:b/>
                <w:color w:val="17365D"/>
                <w:sz w:val="17"/>
              </w:rPr>
              <w:t>Resultaat</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1</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Lever VWIIM WerkOrder en wijs ownership per segment/state change toe.</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Semantische basis voor alle volgende besluiten.</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2</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Koppel deployment- en TMC-runtime aan de 358 artefacten.</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Actieve ketens, volumes, failures en leidende versies bewezen.</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3</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Ontdubbel AssetCheck- en Vialis-roots; sluit voorbeeld/copy/test uit.</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Betrouwbare migratiescope en minder schijncomplexiteit.</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4</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Reconstructeer ontbrekende payloads voor AssetCheck, 4PS en Ortec/Vialis.</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Volledige bron -&gt; VWIIM -&gt; doelmapping.</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5</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Classificeer SQL/mappingregels met business owners.</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Businessregels uit integratiecode naar beheerste domeinlogica.</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6</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Ontwerp klein eventportfolio en gerichte query-API's.</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BEDDA-conforme capabilities in plaats van job-voor-jobmigratie.</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7</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Migreer adapters per capability met parallelle contracttests.</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Beheersbare uitfasering zonder big bang.</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8</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Registreer lifecycle, deprecation en afbouwpad per legacyketen.</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Talend aantoonbaar en controleerbaar uitgefaseerd.</w:t>
            </w:r>
          </w:p>
        </w:tc>
      </w:tr>
    </w:tbl>
    <w:p>
      <w:pPr>
        <w:spacing w:after="0"/>
      </w:pPr>
    </w:p>
    <w:p>
      <w:pPr>
        <w:pStyle w:val="Heading1"/>
      </w:pPr>
      <w:r>
        <w:t>12. Gerichte validatievragen</w:t>
      </w:r>
    </w:p>
    <w:p>
      <w:pPr>
        <w:spacing w:before="0" w:after="120" w:line="264" w:lineRule="auto"/>
      </w:pPr>
      <w:r>
        <w:rPr>
          <w:rFonts w:ascii="Calibri" w:hAnsi="Calibri"/>
          <w:i w:val="0"/>
          <w:color w:val="111111"/>
          <w:sz w:val="22"/>
        </w:rPr>
        <w:t>Alleen onderstaande vragen zijn nog nodig omdat zij niet betrouwbaar uit code of scan zijn af te leiden en direct invloed hebben op het herontwerp.</w:t>
      </w:r>
    </w:p>
    <w:p>
      <w:pPr>
        <w:pStyle w:val="ListBullet"/>
        <w:spacing w:after="100" w:line="280" w:lineRule="auto"/>
      </w:pPr>
      <w:r>
        <w:rPr>
          <w:rFonts w:ascii="Calibri" w:hAnsi="Calibri"/>
          <w:sz w:val="22"/>
        </w:rPr>
        <w:t>Wat is de officiele VWIIM-definitie van WerkOrder, inclusief relaties, codelijsten, cardinaliteiten en verplichte velden?</w:t>
      </w:r>
    </w:p>
    <w:p>
      <w:pPr>
        <w:pStyle w:val="ListBullet"/>
        <w:spacing w:after="100" w:line="280" w:lineRule="auto"/>
      </w:pPr>
      <w:r>
        <w:rPr>
          <w:rFonts w:ascii="Calibri" w:hAnsi="Calibri"/>
          <w:sz w:val="22"/>
        </w:rPr>
        <w:t>Welke businessfunctie is authoritative voor creatie, status, planning, locatie, uitvoering, realisatie en financiele context?</w:t>
      </w:r>
    </w:p>
    <w:p>
      <w:pPr>
        <w:pStyle w:val="ListBullet"/>
        <w:spacing w:after="100" w:line="280" w:lineRule="auto"/>
      </w:pPr>
      <w:r>
        <w:rPr>
          <w:rFonts w:ascii="Calibri" w:hAnsi="Calibri"/>
          <w:sz w:val="22"/>
        </w:rPr>
        <w:t>Welke van de huidige consumers blijven toekomstig bestaan en welk minimaal segment hebben zij werkelijk nodig?</w:t>
      </w:r>
    </w:p>
    <w:p>
      <w:pPr>
        <w:pStyle w:val="ListBullet"/>
        <w:spacing w:after="100" w:line="280" w:lineRule="auto"/>
      </w:pPr>
      <w:r>
        <w:rPr>
          <w:rFonts w:ascii="Calibri" w:hAnsi="Calibri"/>
          <w:sz w:val="22"/>
        </w:rPr>
        <w:t>Welke deployments/jobs zijn in PROD actief en welke roots/copies/tests zijn alleen repositoryhistorie?</w:t>
      </w:r>
    </w:p>
    <w:p>
      <w:pPr>
        <w:pStyle w:val="ListBullet"/>
        <w:spacing w:after="100" w:line="280" w:lineRule="auto"/>
      </w:pPr>
      <w:r>
        <w:rPr>
          <w:rFonts w:ascii="Calibri" w:hAnsi="Calibri"/>
          <w:sz w:val="22"/>
        </w:rPr>
        <w:t>Wat betekenen WOP, BC, WO3, WO14, WOLO4/5, WOPM1/5/6 en HistoryFlag functioneel?</w:t>
      </w:r>
    </w:p>
    <w:p>
      <w:pPr>
        <w:pStyle w:val="ListBullet"/>
        <w:spacing w:after="100" w:line="280" w:lineRule="auto"/>
      </w:pPr>
      <w:r>
        <w:rPr>
          <w:rFonts w:ascii="Calibri" w:hAnsi="Calibri"/>
          <w:sz w:val="22"/>
        </w:rPr>
        <w:t>Is een verwijderde WerkOrder een technische delete, een annulering, een intrekking of een historische afsluiting?</w:t>
      </w:r>
    </w:p>
    <w:p>
      <w:pPr>
        <w:pStyle w:val="ListBullet"/>
        <w:spacing w:after="100" w:line="280" w:lineRule="auto"/>
      </w:pPr>
      <w:r>
        <w:rPr>
          <w:rFonts w:ascii="Calibri" w:hAnsi="Calibri"/>
          <w:sz w:val="22"/>
        </w:rPr>
        <w:t>Zijn Ortec direct/indirect afzonderlijke state changes of attributen van dezelfde planninggebeurtenis?</w:t>
      </w:r>
    </w:p>
    <w:p>
      <w:pPr>
        <w:pStyle w:val="ListBullet"/>
        <w:spacing w:after="100" w:line="280" w:lineRule="auto"/>
      </w:pPr>
      <w:r>
        <w:rPr>
          <w:rFonts w:ascii="Calibri" w:hAnsi="Calibri"/>
          <w:sz w:val="22"/>
        </w:rPr>
        <w:t>Welke exacte AssetCheck- en 4PS-payloads worden in productie verzonden en terugontvangen?</w:t>
      </w:r>
    </w:p>
    <w:p>
      <w:pPr>
        <w:pStyle w:val="ListBullet"/>
        <w:spacing w:after="100" w:line="280" w:lineRule="auto"/>
      </w:pPr>
      <w:r>
        <w:rPr>
          <w:rFonts w:ascii="Calibri" w:hAnsi="Calibri"/>
          <w:sz w:val="22"/>
        </w:rPr>
        <w:t>Welke volumes, latency, herstelbehoefte, replaygrenzen en businessimpact gelden per capability?</w:t>
      </w:r>
    </w:p>
    <w:p>
      <w:pPr>
        <w:pStyle w:val="ListBullet"/>
        <w:spacing w:after="100" w:line="280" w:lineRule="auto"/>
      </w:pPr>
      <w:r>
        <w:rPr>
          <w:rFonts w:ascii="Calibri" w:hAnsi="Calibri"/>
          <w:sz w:val="22"/>
        </w:rPr>
        <w:t>Welke persoonsgegevens en vertrouwelijke velden mogen in events worden opgenomen en welke moeten via referentie/query beschikbaar zijn?</w:t>
      </w:r>
    </w:p>
    <w:p>
      <w:pPr>
        <w:pStyle w:val="Heading1"/>
      </w:pPr>
      <w:r>
        <w:t>13. Eindconclusie</w:t>
      </w:r>
    </w:p>
    <w:p>
      <w:pPr>
        <w:spacing w:before="0" w:after="120" w:line="264" w:lineRule="auto"/>
      </w:pPr>
      <w:r>
        <w:rPr>
          <w:rFonts w:ascii="Calibri" w:hAnsi="Calibri"/>
          <w:i w:val="0"/>
          <w:color w:val="111111"/>
          <w:sz w:val="22"/>
        </w:rPr>
        <w:t>De nieuwe scan maakt een wezenlijk betere WerkOrder-analyse mogelijk dan een generieke Talend-vragenlijst. Zij toont de feitelijke ketens, veel informatievelden, technische vormen, embedded regels en duplicatie. Daarmee kan Nexus grotendeels automatisch expliciet maken wat vandaag verborgen in jobs, routes, SQL en mappings zit.</w:t>
      </w:r>
    </w:p>
    <w:p>
      <w:pPr>
        <w:spacing w:before="0" w:after="120" w:line="264" w:lineRule="auto"/>
      </w:pPr>
      <w:r>
        <w:rPr>
          <w:rFonts w:ascii="Calibri" w:hAnsi="Calibri"/>
          <w:i w:val="0"/>
          <w:color w:val="111111"/>
          <w:sz w:val="22"/>
        </w:rPr>
        <w:t>De scan alleen kan echter niet bepalen welke businessuitwisseling moet blijven bestaan, wie formeel eigenaar is, welke deployment actief is of hoe het officiele VWIIM WerkOrder-contract luidt. Die ontbrekende informatie moet gericht worden aangevuld, niet via een brede beheerquestionnaire maar via een korte beslisagenda per capability.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4EA"/>
          </w:tcPr>
          <w:p>
            <w:pPr>
              <w:spacing w:after="0" w:line="264" w:lineRule="auto"/>
            </w:pPr>
            <w:r>
              <w:rPr>
                <w:rFonts w:ascii="Calibri" w:hAnsi="Calibri"/>
                <w:b/>
                <w:color w:val="17365D"/>
                <w:sz w:val="22"/>
              </w:rPr>
              <w:t xml:space="preserve">Beslisadvies: </w:t>
            </w:r>
            <w:r>
              <w:rPr>
                <w:rFonts w:ascii="Calibri" w:hAnsi="Calibri"/>
                <w:sz w:val="22"/>
              </w:rPr>
              <w:t>Gebruik dit dossier als startpunt voor een gezamenlijke business-/architectuursessie. Beslis eerst over WerkOrder-segmenten, state changes en authority; ontwerp daarna BEDDA-events en gerichte API's; migreer ten slotte per capability. Start niet met het een-op-een herbouwen van 358 Talend-artefacten.</w:t>
            </w:r>
          </w:p>
        </w:tc>
      </w:tr>
    </w:tbl>
    <w:p>
      <w:pPr>
        <w:spacing w:after="0"/>
      </w:pPr>
    </w:p>
    <w:p>
      <w:r>
        <w:br w:type="page"/>
      </w:r>
    </w:p>
    <w:p>
      <w:pPr>
        <w:pStyle w:val="Heading1"/>
      </w:pPr>
      <w:r>
        <w:t>Bijlage A. Bron- en claimregister</w:t>
      </w:r>
    </w:p>
    <w:tbl>
      <w:tblPr>
        <w:tblStyle w:val="TableGrid"/>
        <w:tblW w:type="dxa" w:w="9360"/>
        <w:jc w:val="left"/>
        <w:tblLayout w:type="fixed"/>
        <w:tblLook w:firstColumn="1" w:firstRow="1" w:lastColumn="0" w:lastRow="0" w:noHBand="0" w:noVBand="1" w:val="04A0"/>
        <w:tblInd w:w="120" w:type="dxa"/>
      </w:tblPr>
      <w:tblGrid>
        <w:gridCol w:w="700"/>
        <w:gridCol w:w="3900"/>
        <w:gridCol w:w="4760"/>
      </w:tblGrid>
      <w:tr>
        <w:trPr>
          <w:tblHeader w:val="true"/>
          <w:cantSplit/>
        </w:trPr>
        <w:tc>
          <w:tcPr>
            <w:tcW w:type="dxa" w:w="700"/>
            <w:shd w:fill="F2F4F7"/>
            <w:tcMar>
              <w:top w:w="100" w:type="dxa"/>
              <w:start w:w="120" w:type="dxa"/>
              <w:bottom w:w="100" w:type="dxa"/>
              <w:end w:w="120" w:type="dxa"/>
            </w:tcMar>
            <w:vAlign w:val="center"/>
          </w:tcPr>
          <w:p>
            <w:pPr>
              <w:spacing w:after="0"/>
              <w:jc w:val="left"/>
            </w:pPr>
            <w:r>
              <w:rPr>
                <w:rFonts w:ascii="Calibri" w:hAnsi="Calibri"/>
                <w:b/>
                <w:color w:val="17365D"/>
                <w:sz w:val="18"/>
              </w:rPr>
              <w:t>ID</w:t>
            </w:r>
          </w:p>
        </w:tc>
        <w:tc>
          <w:tcPr>
            <w:tcW w:type="dxa" w:w="3900"/>
            <w:shd w:fill="F2F4F7"/>
            <w:tcMar>
              <w:top w:w="100" w:type="dxa"/>
              <w:start w:w="120" w:type="dxa"/>
              <w:bottom w:w="100" w:type="dxa"/>
              <w:end w:w="120" w:type="dxa"/>
            </w:tcMar>
            <w:vAlign w:val="center"/>
          </w:tcPr>
          <w:p>
            <w:pPr>
              <w:spacing w:after="0"/>
              <w:jc w:val="left"/>
            </w:pPr>
            <w:r>
              <w:rPr>
                <w:rFonts w:ascii="Calibri" w:hAnsi="Calibri"/>
                <w:b/>
                <w:color w:val="17365D"/>
                <w:sz w:val="18"/>
              </w:rPr>
              <w:t>Bron</w:t>
            </w:r>
          </w:p>
        </w:tc>
        <w:tc>
          <w:tcPr>
            <w:tcW w:type="dxa" w:w="4760"/>
            <w:shd w:fill="F2F4F7"/>
            <w:tcMar>
              <w:top w:w="100" w:type="dxa"/>
              <w:start w:w="120" w:type="dxa"/>
              <w:bottom w:w="100" w:type="dxa"/>
              <w:end w:w="120" w:type="dxa"/>
            </w:tcMar>
            <w:vAlign w:val="center"/>
          </w:tcPr>
          <w:p>
            <w:pPr>
              <w:spacing w:after="0"/>
              <w:jc w:val="left"/>
            </w:pPr>
            <w:r>
              <w:rPr>
                <w:rFonts w:ascii="Calibri" w:hAnsi="Calibri"/>
                <w:b/>
                <w:color w:val="17365D"/>
                <w:sz w:val="18"/>
              </w:rPr>
              <w:t>Gebruik en beperking</w:t>
            </w:r>
          </w:p>
        </w:tc>
      </w:tr>
      <w:tr>
        <w:trPr>
          <w:cantSplit/>
        </w:trPr>
        <w:tc>
          <w:tcPr>
            <w:tcW w:type="dxa" w:w="700"/>
            <w:tcMar>
              <w:top w:w="100" w:type="dxa"/>
              <w:start w:w="120" w:type="dxa"/>
              <w:bottom w:w="100" w:type="dxa"/>
              <w:end w:w="120" w:type="dxa"/>
            </w:tcMar>
            <w:vAlign w:val="center"/>
          </w:tcPr>
          <w:p>
            <w:pPr>
              <w:spacing w:after="0" w:line="252" w:lineRule="auto"/>
              <w:jc w:val="left"/>
            </w:pPr>
            <w:r>
              <w:rPr>
                <w:rFonts w:ascii="Calibri" w:hAnsi="Calibri"/>
                <w:sz w:val="18"/>
              </w:rPr>
              <w:t>S1</w:t>
            </w:r>
          </w:p>
        </w:tc>
        <w:tc>
          <w:tcPr>
            <w:tcW w:type="dxa" w:w="3900"/>
            <w:tcMar>
              <w:top w:w="100" w:type="dxa"/>
              <w:start w:w="120" w:type="dxa"/>
              <w:bottom w:w="100" w:type="dxa"/>
              <w:end w:w="120" w:type="dxa"/>
            </w:tcMar>
            <w:vAlign w:val="center"/>
          </w:tcPr>
          <w:p>
            <w:pPr>
              <w:spacing w:after="0" w:line="252" w:lineRule="auto"/>
              <w:jc w:val="left"/>
            </w:pPr>
            <w:r>
              <w:rPr>
                <w:rFonts w:ascii="Calibri" w:hAnsi="Calibri"/>
                <w:sz w:val="18"/>
              </w:rPr>
              <w:t>intodoc-output/VW_Werkorder/scan_result.json</w:t>
            </w:r>
          </w:p>
        </w:tc>
        <w:tc>
          <w:tcPr>
            <w:tcW w:type="dxa" w:w="4760"/>
            <w:tcMar>
              <w:top w:w="100" w:type="dxa"/>
              <w:start w:w="120" w:type="dxa"/>
              <w:bottom w:w="100" w:type="dxa"/>
              <w:end w:w="120" w:type="dxa"/>
            </w:tcMar>
            <w:vAlign w:val="center"/>
          </w:tcPr>
          <w:p>
            <w:pPr>
              <w:spacing w:after="0" w:line="252" w:lineRule="auto"/>
              <w:jc w:val="left"/>
            </w:pPr>
            <w:r>
              <w:rPr>
                <w:rFonts w:ascii="Calibri" w:hAnsi="Calibri"/>
                <w:sz w:val="18"/>
              </w:rPr>
              <w:t>Technische feiten uit Talend-repository, scan 18-08-2026; geen runtime of formeel ownership.</w:t>
            </w:r>
          </w:p>
        </w:tc>
      </w:tr>
      <w:tr>
        <w:trPr>
          <w:cantSplit/>
        </w:trPr>
        <w:tc>
          <w:tcPr>
            <w:tcW w:type="dxa" w:w="700"/>
            <w:tcMar>
              <w:top w:w="100" w:type="dxa"/>
              <w:start w:w="120" w:type="dxa"/>
              <w:bottom w:w="100" w:type="dxa"/>
              <w:end w:w="120" w:type="dxa"/>
            </w:tcMar>
            <w:vAlign w:val="center"/>
          </w:tcPr>
          <w:p>
            <w:pPr>
              <w:spacing w:after="0" w:line="252" w:lineRule="auto"/>
              <w:jc w:val="left"/>
            </w:pPr>
            <w:r>
              <w:rPr>
                <w:rFonts w:ascii="Calibri" w:hAnsi="Calibri"/>
                <w:sz w:val="18"/>
              </w:rPr>
              <w:t>S2</w:t>
            </w:r>
          </w:p>
        </w:tc>
        <w:tc>
          <w:tcPr>
            <w:tcW w:type="dxa" w:w="3900"/>
            <w:tcMar>
              <w:top w:w="100" w:type="dxa"/>
              <w:start w:w="120" w:type="dxa"/>
              <w:bottom w:w="100" w:type="dxa"/>
              <w:end w:w="120" w:type="dxa"/>
            </w:tcMar>
            <w:vAlign w:val="center"/>
          </w:tcPr>
          <w:p>
            <w:pPr>
              <w:spacing w:after="0" w:line="252" w:lineRule="auto"/>
              <w:jc w:val="left"/>
            </w:pPr>
            <w:r>
              <w:rPr>
                <w:rFonts w:ascii="Calibri" w:hAnsi="Calibri"/>
                <w:sz w:val="18"/>
              </w:rPr>
              <w:t>VWI Integratie Beleid 0.8</w:t>
            </w:r>
          </w:p>
        </w:tc>
        <w:tc>
          <w:tcPr>
            <w:tcW w:type="dxa" w:w="4760"/>
            <w:tcMar>
              <w:top w:w="100" w:type="dxa"/>
              <w:start w:w="120" w:type="dxa"/>
              <w:bottom w:w="100" w:type="dxa"/>
              <w:end w:w="120" w:type="dxa"/>
            </w:tcMar>
            <w:vAlign w:val="center"/>
          </w:tcPr>
          <w:p>
            <w:pPr>
              <w:spacing w:after="0" w:line="252" w:lineRule="auto"/>
              <w:jc w:val="left"/>
            </w:pPr>
            <w:r>
              <w:rPr>
                <w:rFonts w:ascii="Calibri" w:hAnsi="Calibri"/>
                <w:sz w:val="18"/>
              </w:rPr>
              <w:t>Normatieve beleidsrichting, versie 17-06-2026; intern concept met reviewopmerkingen.</w:t>
            </w:r>
          </w:p>
        </w:tc>
      </w:tr>
      <w:tr>
        <w:trPr>
          <w:cantSplit/>
        </w:trPr>
        <w:tc>
          <w:tcPr>
            <w:tcW w:type="dxa" w:w="700"/>
            <w:tcMar>
              <w:top w:w="100" w:type="dxa"/>
              <w:start w:w="120" w:type="dxa"/>
              <w:bottom w:w="100" w:type="dxa"/>
              <w:end w:w="120" w:type="dxa"/>
            </w:tcMar>
            <w:vAlign w:val="center"/>
          </w:tcPr>
          <w:p>
            <w:pPr>
              <w:spacing w:after="0" w:line="252" w:lineRule="auto"/>
              <w:jc w:val="left"/>
            </w:pPr>
            <w:r>
              <w:rPr>
                <w:rFonts w:ascii="Calibri" w:hAnsi="Calibri"/>
                <w:sz w:val="18"/>
              </w:rPr>
              <w:t>S3</w:t>
            </w:r>
          </w:p>
        </w:tc>
        <w:tc>
          <w:tcPr>
            <w:tcW w:type="dxa" w:w="3900"/>
            <w:tcMar>
              <w:top w:w="100" w:type="dxa"/>
              <w:start w:w="120" w:type="dxa"/>
              <w:bottom w:w="100" w:type="dxa"/>
              <w:end w:w="120" w:type="dxa"/>
            </w:tcMar>
            <w:vAlign w:val="center"/>
          </w:tcPr>
          <w:p>
            <w:pPr>
              <w:spacing w:after="0" w:line="252" w:lineRule="auto"/>
              <w:jc w:val="left"/>
            </w:pPr>
            <w:r>
              <w:rPr>
                <w:rFonts w:ascii="Calibri" w:hAnsi="Calibri"/>
                <w:sz w:val="18"/>
              </w:rPr>
              <w:t>VWI Integratie Kaders &amp; Richtlijnen 0.8</w:t>
            </w:r>
          </w:p>
        </w:tc>
        <w:tc>
          <w:tcPr>
            <w:tcW w:type="dxa" w:w="4760"/>
            <w:tcMar>
              <w:top w:w="100" w:type="dxa"/>
              <w:start w:w="120" w:type="dxa"/>
              <w:bottom w:w="100" w:type="dxa"/>
              <w:end w:w="120" w:type="dxa"/>
            </w:tcMar>
            <w:vAlign w:val="center"/>
          </w:tcPr>
          <w:p>
            <w:pPr>
              <w:spacing w:after="0" w:line="252" w:lineRule="auto"/>
              <w:jc w:val="left"/>
            </w:pPr>
            <w:r>
              <w:rPr>
                <w:rFonts w:ascii="Calibri" w:hAnsi="Calibri"/>
                <w:sz w:val="18"/>
              </w:rPr>
              <w:t>Uitwerking principes en BEDDA-eventstructuur, versie 17-06-2026; intern concept.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3500"/>
        <w:gridCol w:w="4200"/>
        <w:gridCol w:w="1660"/>
      </w:tblGrid>
      <w:tr>
        <w:trPr>
          <w:tblHeader w:val="true"/>
          <w:cantSplit/>
        </w:trPr>
        <w:tc>
          <w:tcPr>
            <w:tcW w:type="dxa" w:w="3500"/>
            <w:shd w:fill="F2F4F7"/>
            <w:tcMar>
              <w:top w:w="100" w:type="dxa"/>
              <w:start w:w="120" w:type="dxa"/>
              <w:bottom w:w="100" w:type="dxa"/>
              <w:end w:w="120" w:type="dxa"/>
            </w:tcMar>
            <w:vAlign w:val="center"/>
          </w:tcPr>
          <w:p>
            <w:pPr>
              <w:spacing w:after="0"/>
              <w:jc w:val="left"/>
            </w:pPr>
            <w:r>
              <w:rPr>
                <w:rFonts w:ascii="Calibri" w:hAnsi="Calibri"/>
                <w:b/>
                <w:color w:val="17365D"/>
                <w:sz w:val="17"/>
              </w:rPr>
              <w:t>Claim</w:t>
            </w:r>
          </w:p>
        </w:tc>
        <w:tc>
          <w:tcPr>
            <w:tcW w:type="dxa" w:w="4200"/>
            <w:shd w:fill="F2F4F7"/>
            <w:tcMar>
              <w:top w:w="100" w:type="dxa"/>
              <w:start w:w="120" w:type="dxa"/>
              <w:bottom w:w="100" w:type="dxa"/>
              <w:end w:w="120" w:type="dxa"/>
            </w:tcMar>
            <w:vAlign w:val="center"/>
          </w:tcPr>
          <w:p>
            <w:pPr>
              <w:spacing w:after="0"/>
              <w:jc w:val="left"/>
            </w:pPr>
            <w:r>
              <w:rPr>
                <w:rFonts w:ascii="Calibri" w:hAnsi="Calibri"/>
                <w:b/>
                <w:color w:val="17365D"/>
                <w:sz w:val="17"/>
              </w:rPr>
              <w:t>Statisch bewijs</w:t>
            </w:r>
          </w:p>
        </w:tc>
        <w:tc>
          <w:tcPr>
            <w:tcW w:type="dxa" w:w="1660"/>
            <w:shd w:fill="F2F4F7"/>
            <w:tcMar>
              <w:top w:w="100" w:type="dxa"/>
              <w:start w:w="120" w:type="dxa"/>
              <w:bottom w:w="100" w:type="dxa"/>
              <w:end w:w="120" w:type="dxa"/>
            </w:tcMar>
            <w:vAlign w:val="center"/>
          </w:tcPr>
          <w:p>
            <w:pPr>
              <w:spacing w:after="0"/>
              <w:jc w:val="left"/>
            </w:pPr>
            <w:r>
              <w:rPr>
                <w:rFonts w:ascii="Calibri" w:hAnsi="Calibri"/>
                <w:b/>
                <w:color w:val="17365D"/>
                <w:sz w:val="17"/>
              </w:rPr>
              <w:t>Status</w:t>
            </w:r>
          </w:p>
        </w:tc>
      </w:tr>
      <w:tr>
        <w:trPr>
          <w:cantSplit/>
        </w:trPr>
        <w:tc>
          <w:tcPr>
            <w:tcW w:type="dxa" w:w="3500"/>
            <w:tcMar>
              <w:top w:w="100" w:type="dxa"/>
              <w:start w:w="120" w:type="dxa"/>
              <w:bottom w:w="100" w:type="dxa"/>
              <w:end w:w="120" w:type="dxa"/>
            </w:tcMar>
            <w:vAlign w:val="center"/>
          </w:tcPr>
          <w:p>
            <w:pPr>
              <w:spacing w:after="0" w:line="252" w:lineRule="auto"/>
              <w:jc w:val="left"/>
            </w:pPr>
            <w:r>
              <w:rPr>
                <w:rFonts w:ascii="Calibri" w:hAnsi="Calibri"/>
                <w:sz w:val="17"/>
              </w:rPr>
              <w:t>WerkOrder wordt in meerdere functionele segmenten uitgewisseld.</w:t>
            </w:r>
          </w:p>
        </w:tc>
        <w:tc>
          <w:tcPr>
            <w:tcW w:type="dxa" w:w="4200"/>
            <w:tcMar>
              <w:top w:w="100" w:type="dxa"/>
              <w:start w:w="120" w:type="dxa"/>
              <w:bottom w:w="100" w:type="dxa"/>
              <w:end w:w="120" w:type="dxa"/>
            </w:tcMar>
            <w:vAlign w:val="center"/>
          </w:tcPr>
          <w:p>
            <w:pPr>
              <w:spacing w:after="0" w:line="252" w:lineRule="auto"/>
              <w:jc w:val="left"/>
            </w:pPr>
            <w:r>
              <w:rPr>
                <w:rFonts w:ascii="Calibri" w:hAnsi="Calibri"/>
                <w:sz w:val="17"/>
              </w:rPr>
              <w:t>Mappings/SQL over kern, planning, lifecycle, uitvoering en financien.</w:t>
            </w:r>
          </w:p>
        </w:tc>
        <w:tc>
          <w:tcPr>
            <w:tcW w:type="dxa" w:w="1660"/>
            <w:tcMar>
              <w:top w:w="100" w:type="dxa"/>
              <w:start w:w="120" w:type="dxa"/>
              <w:bottom w:w="100" w:type="dxa"/>
              <w:end w:w="120" w:type="dxa"/>
            </w:tcMar>
            <w:vAlign w:val="center"/>
          </w:tcPr>
          <w:p>
            <w:pPr>
              <w:spacing w:after="0" w:line="252" w:lineRule="auto"/>
              <w:jc w:val="left"/>
            </w:pPr>
            <w:r>
              <w:rPr>
                <w:rFonts w:ascii="Calibri" w:hAnsi="Calibri"/>
                <w:sz w:val="17"/>
              </w:rPr>
              <w:t>Vastgesteld</w:t>
            </w:r>
          </w:p>
        </w:tc>
      </w:tr>
      <w:tr>
        <w:trPr>
          <w:cantSplit/>
        </w:trPr>
        <w:tc>
          <w:tcPr>
            <w:tcW w:type="dxa" w:w="3500"/>
            <w:tcMar>
              <w:top w:w="100" w:type="dxa"/>
              <w:start w:w="120" w:type="dxa"/>
              <w:bottom w:w="100" w:type="dxa"/>
              <w:end w:w="120" w:type="dxa"/>
            </w:tcMar>
            <w:vAlign w:val="center"/>
          </w:tcPr>
          <w:p>
            <w:pPr>
              <w:spacing w:after="0" w:line="252" w:lineRule="auto"/>
              <w:jc w:val="left"/>
            </w:pPr>
            <w:r>
              <w:rPr>
                <w:rFonts w:ascii="Calibri" w:hAnsi="Calibri"/>
                <w:sz w:val="17"/>
              </w:rPr>
              <w:t>Maximo -&gt; Quintiq bevat een brede WerkOrderrepresentatie.</w:t>
            </w:r>
          </w:p>
        </w:tc>
        <w:tc>
          <w:tcPr>
            <w:tcW w:type="dxa" w:w="4200"/>
            <w:tcMar>
              <w:top w:w="100" w:type="dxa"/>
              <w:start w:w="120" w:type="dxa"/>
              <w:bottom w:w="100" w:type="dxa"/>
              <w:end w:w="120" w:type="dxa"/>
            </w:tcMar>
            <w:vAlign w:val="center"/>
          </w:tcPr>
          <w:p>
            <w:pPr>
              <w:spacing w:after="0" w:line="252" w:lineRule="auto"/>
              <w:jc w:val="left"/>
            </w:pPr>
            <w:r>
              <w:rPr>
                <w:rFonts w:ascii="Calibri" w:hAnsi="Calibri"/>
                <w:sz w:val="17"/>
              </w:rPr>
              <w:t>23 tMap-outputvelden inclusief planning, locatie, rollen en context.</w:t>
            </w:r>
          </w:p>
        </w:tc>
        <w:tc>
          <w:tcPr>
            <w:tcW w:type="dxa" w:w="1660"/>
            <w:tcMar>
              <w:top w:w="100" w:type="dxa"/>
              <w:start w:w="120" w:type="dxa"/>
              <w:bottom w:w="100" w:type="dxa"/>
              <w:end w:w="120" w:type="dxa"/>
            </w:tcMar>
            <w:vAlign w:val="center"/>
          </w:tcPr>
          <w:p>
            <w:pPr>
              <w:spacing w:after="0" w:line="252" w:lineRule="auto"/>
              <w:jc w:val="left"/>
            </w:pPr>
            <w:r>
              <w:rPr>
                <w:rFonts w:ascii="Calibri" w:hAnsi="Calibri"/>
                <w:sz w:val="17"/>
              </w:rPr>
              <w:t>Vastgesteld</w:t>
            </w:r>
          </w:p>
        </w:tc>
      </w:tr>
      <w:tr>
        <w:trPr>
          <w:cantSplit/>
        </w:trPr>
        <w:tc>
          <w:tcPr>
            <w:tcW w:type="dxa" w:w="3500"/>
            <w:tcMar>
              <w:top w:w="100" w:type="dxa"/>
              <w:start w:w="120" w:type="dxa"/>
              <w:bottom w:w="100" w:type="dxa"/>
              <w:end w:w="120" w:type="dxa"/>
            </w:tcMar>
            <w:vAlign w:val="center"/>
          </w:tcPr>
          <w:p>
            <w:pPr>
              <w:spacing w:after="0" w:line="252" w:lineRule="auto"/>
              <w:jc w:val="left"/>
            </w:pPr>
            <w:r>
              <w:rPr>
                <w:rFonts w:ascii="Calibri" w:hAnsi="Calibri"/>
                <w:sz w:val="17"/>
              </w:rPr>
              <w:t>Quintiq -&gt; Maximo bevat planningselectie en fallbacklogica.</w:t>
            </w:r>
          </w:p>
        </w:tc>
        <w:tc>
          <w:tcPr>
            <w:tcW w:type="dxa" w:w="4200"/>
            <w:tcMar>
              <w:top w:w="100" w:type="dxa"/>
              <w:start w:w="120" w:type="dxa"/>
              <w:bottom w:w="100" w:type="dxa"/>
              <w:end w:w="120" w:type="dxa"/>
            </w:tcMar>
            <w:vAlign w:val="center"/>
          </w:tcPr>
          <w:p>
            <w:pPr>
              <w:spacing w:after="0" w:line="252" w:lineRule="auto"/>
              <w:jc w:val="left"/>
            </w:pPr>
            <w:r>
              <w:rPr>
                <w:rFonts w:ascii="Calibri" w:hAnsi="Calibri"/>
                <w:sz w:val="17"/>
              </w:rPr>
              <w:t>SQL op WOP/CapacityTask en afleiding van BC/SCHEDSTART/SCHEDFINISH/WOPM6.</w:t>
            </w:r>
          </w:p>
        </w:tc>
        <w:tc>
          <w:tcPr>
            <w:tcW w:type="dxa" w:w="1660"/>
            <w:tcMar>
              <w:top w:w="100" w:type="dxa"/>
              <w:start w:w="120" w:type="dxa"/>
              <w:bottom w:w="100" w:type="dxa"/>
              <w:end w:w="120" w:type="dxa"/>
            </w:tcMar>
            <w:vAlign w:val="center"/>
          </w:tcPr>
          <w:p>
            <w:pPr>
              <w:spacing w:after="0" w:line="252" w:lineRule="auto"/>
              <w:jc w:val="left"/>
            </w:pPr>
            <w:r>
              <w:rPr>
                <w:rFonts w:ascii="Calibri" w:hAnsi="Calibri"/>
                <w:sz w:val="17"/>
              </w:rPr>
              <w:t>Vastgesteld</w:t>
            </w:r>
          </w:p>
        </w:tc>
      </w:tr>
      <w:tr>
        <w:trPr>
          <w:cantSplit/>
        </w:trPr>
        <w:tc>
          <w:tcPr>
            <w:tcW w:type="dxa" w:w="3500"/>
            <w:tcMar>
              <w:top w:w="100" w:type="dxa"/>
              <w:start w:w="120" w:type="dxa"/>
              <w:bottom w:w="100" w:type="dxa"/>
              <w:end w:w="120" w:type="dxa"/>
            </w:tcMar>
            <w:vAlign w:val="center"/>
          </w:tcPr>
          <w:p>
            <w:pPr>
              <w:spacing w:after="0" w:line="252" w:lineRule="auto"/>
              <w:jc w:val="left"/>
            </w:pPr>
            <w:r>
              <w:rPr>
                <w:rFonts w:ascii="Calibri" w:hAnsi="Calibri"/>
                <w:sz w:val="17"/>
              </w:rPr>
              <w:t>AssetCheck- en Vialis-aanlevering bevat duplicatie.</w:t>
            </w:r>
          </w:p>
        </w:tc>
        <w:tc>
          <w:tcPr>
            <w:tcW w:type="dxa" w:w="4200"/>
            <w:tcMar>
              <w:top w:w="100" w:type="dxa"/>
              <w:start w:w="120" w:type="dxa"/>
              <w:bottom w:w="100" w:type="dxa"/>
              <w:end w:w="120" w:type="dxa"/>
            </w:tcMar>
            <w:vAlign w:val="center"/>
          </w:tcPr>
          <w:p>
            <w:pPr>
              <w:spacing w:after="0" w:line="252" w:lineRule="auto"/>
              <w:jc w:val="left"/>
            </w:pPr>
            <w:r>
              <w:rPr>
                <w:rFonts w:ascii="Calibri" w:hAnsi="Calibri"/>
                <w:sz w:val="17"/>
              </w:rPr>
              <w:t>45 overlappende AssetCheck-jobnamen; 93-100% Vialis-root-overlap.</w:t>
            </w:r>
          </w:p>
        </w:tc>
        <w:tc>
          <w:tcPr>
            <w:tcW w:type="dxa" w:w="1660"/>
            <w:tcMar>
              <w:top w:w="100" w:type="dxa"/>
              <w:start w:w="120" w:type="dxa"/>
              <w:bottom w:w="100" w:type="dxa"/>
              <w:end w:w="120" w:type="dxa"/>
            </w:tcMar>
            <w:vAlign w:val="center"/>
          </w:tcPr>
          <w:p>
            <w:pPr>
              <w:spacing w:after="0" w:line="252" w:lineRule="auto"/>
              <w:jc w:val="left"/>
            </w:pPr>
            <w:r>
              <w:rPr>
                <w:rFonts w:ascii="Calibri" w:hAnsi="Calibri"/>
                <w:sz w:val="17"/>
              </w:rPr>
              <w:t>Vastgesteld</w:t>
            </w:r>
          </w:p>
        </w:tc>
      </w:tr>
      <w:tr>
        <w:trPr>
          <w:cantSplit/>
        </w:trPr>
        <w:tc>
          <w:tcPr>
            <w:tcW w:type="dxa" w:w="3500"/>
            <w:tcMar>
              <w:top w:w="100" w:type="dxa"/>
              <w:start w:w="120" w:type="dxa"/>
              <w:bottom w:w="100" w:type="dxa"/>
              <w:end w:w="120" w:type="dxa"/>
            </w:tcMar>
            <w:vAlign w:val="center"/>
          </w:tcPr>
          <w:p>
            <w:pPr>
              <w:spacing w:after="0" w:line="252" w:lineRule="auto"/>
              <w:jc w:val="left"/>
            </w:pPr>
            <w:r>
              <w:rPr>
                <w:rFonts w:ascii="Calibri" w:hAnsi="Calibri"/>
                <w:sz w:val="17"/>
              </w:rPr>
              <w:t>Het landschap is productieactief.</w:t>
            </w:r>
          </w:p>
        </w:tc>
        <w:tc>
          <w:tcPr>
            <w:tcW w:type="dxa" w:w="4200"/>
            <w:tcMar>
              <w:top w:w="100" w:type="dxa"/>
              <w:start w:w="120" w:type="dxa"/>
              <w:bottom w:w="100" w:type="dxa"/>
              <w:end w:w="120" w:type="dxa"/>
            </w:tcMar>
            <w:vAlign w:val="center"/>
          </w:tcPr>
          <w:p>
            <w:pPr>
              <w:spacing w:after="0" w:line="252" w:lineRule="auto"/>
              <w:jc w:val="left"/>
            </w:pPr>
            <w:r>
              <w:rPr>
                <w:rFonts w:ascii="Calibri" w:hAnsi="Calibri"/>
                <w:sz w:val="17"/>
              </w:rPr>
              <w:t>Niet aantoonbaar uit active=True of repositoryselectie.</w:t>
            </w:r>
          </w:p>
        </w:tc>
        <w:tc>
          <w:tcPr>
            <w:tcW w:type="dxa" w:w="1660"/>
            <w:tcMar>
              <w:top w:w="100" w:type="dxa"/>
              <w:start w:w="120" w:type="dxa"/>
              <w:bottom w:w="100" w:type="dxa"/>
              <w:end w:w="120" w:type="dxa"/>
            </w:tcMar>
            <w:vAlign w:val="center"/>
          </w:tcPr>
          <w:p>
            <w:pPr>
              <w:spacing w:after="0" w:line="252" w:lineRule="auto"/>
              <w:jc w:val="left"/>
            </w:pPr>
            <w:r>
              <w:rPr>
                <w:rFonts w:ascii="Calibri" w:hAnsi="Calibri"/>
                <w:sz w:val="17"/>
              </w:rPr>
              <w:t>Te valideren met runtime</w:t>
            </w:r>
          </w:p>
        </w:tc>
      </w:tr>
      <w:tr>
        <w:trPr>
          <w:cantSplit/>
        </w:trPr>
        <w:tc>
          <w:tcPr>
            <w:tcW w:type="dxa" w:w="3500"/>
            <w:tcMar>
              <w:top w:w="100" w:type="dxa"/>
              <w:start w:w="120" w:type="dxa"/>
              <w:bottom w:w="100" w:type="dxa"/>
              <w:end w:w="120" w:type="dxa"/>
            </w:tcMar>
            <w:vAlign w:val="center"/>
          </w:tcPr>
          <w:p>
            <w:pPr>
              <w:spacing w:after="0" w:line="252" w:lineRule="auto"/>
              <w:jc w:val="left"/>
            </w:pPr>
            <w:r>
              <w:rPr>
                <w:rFonts w:ascii="Calibri" w:hAnsi="Calibri"/>
                <w:sz w:val="17"/>
              </w:rPr>
              <w:t>Maximo is formeel auteur van alle uitgaande velden.</w:t>
            </w:r>
          </w:p>
        </w:tc>
        <w:tc>
          <w:tcPr>
            <w:tcW w:type="dxa" w:w="4200"/>
            <w:tcMar>
              <w:top w:w="100" w:type="dxa"/>
              <w:start w:w="120" w:type="dxa"/>
              <w:bottom w:w="100" w:type="dxa"/>
              <w:end w:w="120" w:type="dxa"/>
            </w:tcMar>
            <w:vAlign w:val="center"/>
          </w:tcPr>
          <w:p>
            <w:pPr>
              <w:spacing w:after="0" w:line="252" w:lineRule="auto"/>
              <w:jc w:val="left"/>
            </w:pPr>
            <w:r>
              <w:rPr>
                <w:rFonts w:ascii="Calibri" w:hAnsi="Calibri"/>
                <w:sz w:val="17"/>
              </w:rPr>
              <w:t>Technische bronrichting zichtbaar; business authority ontbreekt.</w:t>
            </w:r>
          </w:p>
        </w:tc>
        <w:tc>
          <w:tcPr>
            <w:tcW w:type="dxa" w:w="1660"/>
            <w:tcMar>
              <w:top w:w="100" w:type="dxa"/>
              <w:start w:w="120" w:type="dxa"/>
              <w:bottom w:w="100" w:type="dxa"/>
              <w:end w:w="120" w:type="dxa"/>
            </w:tcMar>
            <w:vAlign w:val="center"/>
          </w:tcPr>
          <w:p>
            <w:pPr>
              <w:spacing w:after="0" w:line="252" w:lineRule="auto"/>
              <w:jc w:val="left"/>
            </w:pPr>
            <w:r>
              <w:rPr>
                <w:rFonts w:ascii="Calibri" w:hAnsi="Calibri"/>
                <w:sz w:val="17"/>
              </w:rPr>
              <w:t>Niet bewezen</w:t>
            </w:r>
          </w:p>
        </w:tc>
      </w:tr>
      <w:tr>
        <w:trPr>
          <w:cantSplit/>
        </w:trPr>
        <w:tc>
          <w:tcPr>
            <w:tcW w:type="dxa" w:w="3500"/>
            <w:tcMar>
              <w:top w:w="100" w:type="dxa"/>
              <w:start w:w="120" w:type="dxa"/>
              <w:bottom w:w="100" w:type="dxa"/>
              <w:end w:w="120" w:type="dxa"/>
            </w:tcMar>
            <w:vAlign w:val="center"/>
          </w:tcPr>
          <w:p>
            <w:pPr>
              <w:spacing w:after="0" w:line="252" w:lineRule="auto"/>
              <w:jc w:val="left"/>
            </w:pPr>
            <w:r>
              <w:rPr>
                <w:rFonts w:ascii="Calibri" w:hAnsi="Calibri"/>
                <w:sz w:val="17"/>
              </w:rPr>
              <w:t>De voorgestelde eventnamen zijn officiele VWI-contracten.</w:t>
            </w:r>
          </w:p>
        </w:tc>
        <w:tc>
          <w:tcPr>
            <w:tcW w:type="dxa" w:w="4200"/>
            <w:tcMar>
              <w:top w:w="100" w:type="dxa"/>
              <w:start w:w="120" w:type="dxa"/>
              <w:bottom w:w="100" w:type="dxa"/>
              <w:end w:w="120" w:type="dxa"/>
            </w:tcMar>
            <w:vAlign w:val="center"/>
          </w:tcPr>
          <w:p>
            <w:pPr>
              <w:spacing w:after="0" w:line="252" w:lineRule="auto"/>
              <w:jc w:val="left"/>
            </w:pPr>
            <w:r>
              <w:rPr>
                <w:rFonts w:ascii="Calibri" w:hAnsi="Calibri"/>
                <w:sz w:val="17"/>
              </w:rPr>
              <w:t>Afgeleid uit ketencategorieen en VWI-naamgevingsregels.</w:t>
            </w:r>
          </w:p>
        </w:tc>
        <w:tc>
          <w:tcPr>
            <w:tcW w:type="dxa" w:w="1660"/>
            <w:tcMar>
              <w:top w:w="100" w:type="dxa"/>
              <w:start w:w="120" w:type="dxa"/>
              <w:bottom w:w="100" w:type="dxa"/>
              <w:end w:w="120" w:type="dxa"/>
            </w:tcMar>
            <w:vAlign w:val="center"/>
          </w:tcPr>
          <w:p>
            <w:pPr>
              <w:spacing w:after="0" w:line="252" w:lineRule="auto"/>
              <w:jc w:val="left"/>
            </w:pPr>
            <w:r>
              <w:rPr>
                <w:rFonts w:ascii="Calibri" w:hAnsi="Calibri"/>
                <w:sz w:val="17"/>
              </w:rPr>
              <w:t>Ontwerpvoorstel</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8"/>
        <w:sz w:val="18"/>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B6778"/>
        <w:sz w:val="18"/>
      </w:rPr>
      <w:t>VWI WerkOrder | Integratieanalyse en herontwerpinput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WerkOrder integratieanalyse tegen VWI Integratiebeleid 0.8</dc:title>
  <dc:subject>Talend-scan, VWIIM, BEDDA, rationalisatie en herontwerp</dc:subject>
  <dc:creator>Nexus / IntoData</dc:creator>
  <cp:keywords>WerkOrder, Talend, VWIIM, BEDDA, AIS, integratie, rationalisatie</cp:keywords>
  <dc:description>Gebaseerd op statische scan en VWI-conceptdocumenten; geen credentials of runtimepayloads opgenomen.</dc:description>
  <cp:lastModifiedBy/>
  <cp:revision>1</cp:revision>
  <dcterms:created xsi:type="dcterms:W3CDTF">2013-12-23T23:15:00Z</dcterms:created>
  <dcterms:modified xsi:type="dcterms:W3CDTF">2013-12-23T23:15:00Z</dcterms:modified>
  <cp:category/>
</cp:coreProperties>
</file>