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7365D"/>
          <w:sz w:val="50"/>
        </w:rPr>
        <w:t>WERKORDER INTEGRATIEANALYSE</w:t>
      </w:r>
    </w:p>
    <w:p>
      <w:pPr>
        <w:spacing w:after="360"/>
      </w:pPr>
      <w:r>
        <w:rPr>
          <w:rFonts w:ascii="Calibri" w:hAnsi="Calibri"/>
          <w:i w:val="0"/>
          <w:color w:val="5B6778"/>
          <w:sz w:val="28"/>
        </w:rPr>
        <w:t>Van Talend-scan en TMC-runtime naar VWI-conforme rationalisatie- en herontwerpinput</w:t>
      </w:r>
    </w:p>
    <w:p>
      <w:pPr>
        <w:spacing w:after="40" w:line="252" w:lineRule="auto"/>
      </w:pPr>
      <w:r>
        <w:rPr>
          <w:rFonts w:ascii="Calibri" w:hAnsi="Calibri"/>
          <w:b/>
          <w:sz w:val="21"/>
        </w:rPr>
        <w:t xml:space="preserve">Object: </w:t>
      </w:r>
      <w:r>
        <w:rPr>
          <w:rFonts w:ascii="Calibri" w:hAnsi="Calibri"/>
          <w:sz w:val="21"/>
        </w:rPr>
        <w:t>WerkOrder en direct gerelateerde planning-, uitvoering- en realisatiesegmenten</w:t>
      </w:r>
    </w:p>
    <w:p>
      <w:pPr>
        <w:spacing w:after="40" w:line="252" w:lineRule="auto"/>
      </w:pPr>
      <w:r>
        <w:rPr>
          <w:rFonts w:ascii="Calibri" w:hAnsi="Calibri"/>
          <w:b/>
          <w:sz w:val="21"/>
        </w:rPr>
        <w:t xml:space="preserve">Technische bron: </w:t>
      </w:r>
      <w:r>
        <w:rPr>
          <w:rFonts w:ascii="Calibri" w:hAnsi="Calibri"/>
          <w:sz w:val="21"/>
        </w:rPr>
        <w:t>scan_result.json van VW_Werkorder (18 augustus 2026) en TMC-runtime-snapshot (laatst succesvol gesynchroniseerd 16 augustus 2026)</w:t>
      </w:r>
    </w:p>
    <w:p>
      <w:pPr>
        <w:spacing w:after="40" w:line="252" w:lineRule="auto"/>
      </w:pPr>
      <w:r>
        <w:rPr>
          <w:rFonts w:ascii="Calibri" w:hAnsi="Calibri"/>
          <w:b/>
          <w:sz w:val="21"/>
        </w:rPr>
        <w:t xml:space="preserve">Architectuurkader: </w:t>
      </w:r>
      <w:r>
        <w:rPr>
          <w:rFonts w:ascii="Calibri" w:hAnsi="Calibri"/>
          <w:sz w:val="21"/>
        </w:rPr>
        <w:t>VWI Integratie Beleid 0.8 en VWI Integratie Kaders &amp; Richtlijnen 0.8</w:t>
      </w:r>
    </w:p>
    <w:p>
      <w:pPr>
        <w:spacing w:after="40" w:line="252" w:lineRule="auto"/>
      </w:pPr>
      <w:r>
        <w:rPr>
          <w:rFonts w:ascii="Calibri" w:hAnsi="Calibri"/>
          <w:b/>
          <w:sz w:val="21"/>
        </w:rPr>
        <w:t xml:space="preserve">Status: </w:t>
      </w:r>
      <w:r>
        <w:rPr>
          <w:rFonts w:ascii="Calibri" w:hAnsi="Calibri"/>
          <w:sz w:val="21"/>
        </w:rPr>
        <w:t>Gecombineerde statische en runtimeanalyse; formele VWIIM-mapping en business-ownership ontbreken nog</w:t>
      </w:r>
    </w:p>
    <w:p>
      <w:pPr>
        <w:spacing w:after="40" w:line="252" w:lineRule="auto"/>
      </w:pPr>
      <w:r>
        <w:rPr>
          <w:rFonts w:ascii="Calibri" w:hAnsi="Calibri"/>
          <w:b/>
          <w:sz w:val="21"/>
        </w:rPr>
        <w:t xml:space="preserve">Doel: </w:t>
      </w:r>
      <w:r>
        <w:rPr>
          <w:rFonts w:ascii="Calibri" w:hAnsi="Calibri"/>
          <w:sz w:val="21"/>
        </w:rPr>
        <w:t>Besluitvorming over behoud van informatie-uitwisseling en vervanging van Talend-implementaties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4EA"/>
          </w:tcPr>
          <w:p>
            <w:pPr>
              <w:spacing w:after="0"/>
            </w:pPr>
            <w:r>
              <w:rPr>
                <w:rFonts w:ascii="Calibri" w:hAnsi="Calibri"/>
                <w:sz w:val="22"/>
              </w:rPr>
            </w:r>
            <w:r>
              <w:rPr>
                <w:rFonts w:ascii="Calibri" w:hAnsi="Calibri"/>
                <w:b/>
                <w:color w:val="17365D"/>
                <w:sz w:val="22"/>
              </w:rPr>
              <w:t xml:space="preserve">Kernconclusie: </w:t>
            </w:r>
            <w:r>
              <w:rPr>
                <w:rFonts w:ascii="Calibri" w:hAnsi="Calibri"/>
                <w:sz w:val="22"/>
              </w:rPr>
              <w:t>De scan toont een verzameling WerkOrder-segmenten; TMC bevestigt voor de snapshot acht taakdefinities en 2.429 uitvoeringen. Alleen Maximo2RHM_Workorders en Quintiq2Maximo_PlannedWorkOrder zijn binnen deze selectie aantoonbaar in PROD uitgevoerd. De informatie-uitwisseling moet per capability worden behouden of gerationaliseerd, niet door 358 Talend-artefacten een-op-een te herbouwen.</w:t>
            </w:r>
          </w:p>
        </w:tc>
      </w:tr>
    </w:tbl>
    <w:p>
      <w:pPr>
        <w:spacing w:after="0"/>
      </w:pPr>
    </w:p>
    <w:p>
      <w:pPr>
        <w:pStyle w:val="Heading1"/>
      </w:pPr>
      <w:r>
        <w:t>1. Managementsamenvatting</w:t>
      </w:r>
    </w:p>
    <w:p>
      <w:pPr>
        <w:spacing w:before="0" w:after="120" w:line="264" w:lineRule="auto"/>
      </w:pPr>
      <w:r>
        <w:rPr>
          <w:rFonts w:ascii="Calibri" w:hAnsi="Calibri"/>
          <w:i w:val="0"/>
          <w:color w:val="111111"/>
          <w:sz w:val="22"/>
        </w:rPr>
        <w:t>De aangeleverde scan is inhoudelijk sterk genoeg om het WerkOrder-landschap te reconstrueren op keten- en informatieniveau. Zij bevat 358 geselecteerde artefacten, 9.553 componenten, 8.813 interne verbindingen, 1.105 geextraheerde tMap-regels, 205 tXMLMap-componenten en 255 artefactrelaties. Daarmee zijn richting, techniek, veel veldtransformaties en diverse SQL-regels aantoonbaar.</w:t>
      </w:r>
    </w:p>
    <w:p>
      <w:pPr>
        <w:spacing w:before="0" w:after="120" w:line="264" w:lineRule="auto"/>
      </w:pPr>
      <w:r>
        <w:rPr>
          <w:rFonts w:ascii="Calibri" w:hAnsi="Calibri"/>
          <w:i w:val="0"/>
          <w:color w:val="111111"/>
          <w:sz w:val="22"/>
        </w:rPr>
        <w:t>De TMC-snapshot vult een belangrijk deel van de runtime-onzekerheid in. Acht WerkOrder-gerelateerde taakdefinities zijn zichtbaar: twee in PROD, drie in ACC en drie in TST. Voor zeven taakdefinities bestaat uitvoeringshistorie; in totaal 2.429 runs tussen 26 mei en 16 augustus 2026. Dit bewijst deployment- en uitvoeringsactiviteit binnen die periode, maar niet het aantal verwerkte WerkOrders, formeel business-ownership of activiteit na de laatste succesvolle synchronisatie.</w:t>
      </w:r>
    </w:p>
    <w:p>
      <w:pPr>
        <w:spacing w:before="0" w:after="120" w:line="264" w:lineRule="auto"/>
      </w:pPr>
      <w:r>
        <w:rPr>
          <w:rFonts w:ascii="Calibri" w:hAnsi="Calibri"/>
          <w:i w:val="0"/>
          <w:color w:val="111111"/>
          <w:sz w:val="22"/>
        </w:rPr>
        <w:t>De grootste structurele bevinding is dat dezelfde WerkOrder-betekenis door meerdere lokale contracten loopt. Maximo, Quintiq, RHM, Smartflow, AssetCheck/VISE, Infor, Ortec/Vialis, FlexTunnel en 4PS gebruiken ieder eigen velden, statussen, bestanden, XML-structuren en procesmarkeringen. Het huidige landschap bevat bovendien aantoonbare kopieen: drie Vialis/Planningtool-roots overlappen voor 93 tot 100 procent en twee AssetCheck-roots delen 45 jobnamen.</w:t>
      </w:r>
    </w:p>
    <w:p>
      <w:pPr>
        <w:spacing w:before="0" w:after="120" w:line="264" w:lineRule="auto"/>
      </w:pPr>
      <w:r>
        <w:rPr>
          <w:rFonts w:ascii="Calibri" w:hAnsi="Calibri"/>
          <w:i w:val="0"/>
          <w:color w:val="111111"/>
          <w:sz w:val="22"/>
        </w:rPr>
        <w:t>Tegen het VWI-kader is de huidige inrichting vooral legacy-technische schuld: file- en databasegedreven verwerking is dominant, businessregels staan deels in SQL en mappings, eventsemantiek en CloudEvents/BEDDA-context zijn niet aantoonbaar, een formele bron -&gt; VWIIM -&gt; doelmapping ontbreekt en lifecycle/eigenaarschap zijn niet uit de scan afleidbaar. Positief is dat al veel technische bouwstenen voor ontkoppeling, logging, foutafhandeling en messaging aanwezig zijn. Die kennis kan naar een nieuw platform worden vertaald zonder de Talend-vorm te behouden.</w:t>
      </w:r>
    </w:p>
    <w:p>
      <w:pPr>
        <w:spacing w:before="80" w:after="120" w:line="252" w:lineRule="auto"/>
      </w:pPr>
      <w:r>
        <w:rPr>
          <w:rFonts w:ascii="Calibri" w:hAnsi="Calibri"/>
          <w:i/>
          <w:color w:val="5B6778"/>
          <w:sz w:val="18"/>
        </w:rPr>
        <w:t>Bronbasis: [S1] scan_result.json; [S2] VWI Integratie Beleid 0.8, p. 12-25; [S3] VWI Integratie Kaders &amp; Richtlijnen 0.8, p. 4-32; [S4] TMC-runtime-snapshot, synchronisatie 16 augustus 2026.</w:t>
      </w:r>
    </w:p>
    <w:p>
      <w:pPr>
        <w:pStyle w:val="Heading1"/>
      </w:pPr>
      <w:r>
        <w:t>2. Doel, scope en bewijsmethode</w:t>
      </w:r>
    </w:p>
    <w:p>
      <w:pPr>
        <w:spacing w:before="0" w:after="120" w:line="264" w:lineRule="auto"/>
      </w:pPr>
      <w:r>
        <w:rPr>
          <w:rFonts w:ascii="Calibri" w:hAnsi="Calibri"/>
          <w:i w:val="0"/>
          <w:color w:val="111111"/>
          <w:sz w:val="22"/>
        </w:rPr>
        <w:t>Dit rapport beantwoordt niet de vraag hoe Talend beter beheerd kan worden. Het maakt de verborgen technische kennis expliciet die nodig is om te bepalen welke WerkOrder-capabilities toekomstig moeten blijven bestaan en hoe die volgens het VWI-integratiebeleid kunnen worden herontworpen.</w:t>
      </w:r>
    </w:p>
    <w:p>
      <w:pPr>
        <w:spacing w:before="0" w:after="120" w:line="264" w:lineRule="auto"/>
      </w:pPr>
      <w:r>
        <w:rPr>
          <w:rFonts w:ascii="Calibri" w:hAnsi="Calibri"/>
          <w:i w:val="0"/>
          <w:color w:val="111111"/>
          <w:sz w:val="22"/>
        </w:rPr>
        <w:t>De analyse is uitgevoerd in vijf lagen:</w:t>
      </w:r>
    </w:p>
    <w:p>
      <w:pPr>
        <w:pStyle w:val="ListNumber"/>
        <w:spacing w:after="100" w:line="280" w:lineRule="auto"/>
      </w:pPr>
      <w:r>
        <w:rPr>
          <w:rFonts w:ascii="Calibri" w:hAnsi="Calibri"/>
          <w:sz w:val="22"/>
        </w:rPr>
        <w:t>Ketenreconstructie uit jobnamen, routes, job-calls, kanalen, connecties en endpoints.</w:t>
      </w:r>
    </w:p>
    <w:p>
      <w:pPr>
        <w:pStyle w:val="ListNumber"/>
        <w:spacing w:after="100" w:line="280" w:lineRule="auto"/>
      </w:pPr>
      <w:r>
        <w:rPr>
          <w:rFonts w:ascii="Calibri" w:hAnsi="Calibri"/>
          <w:sz w:val="22"/>
        </w:rPr>
        <w:t>Inhoudsreconstructie uit tMap/tXMLMap, SQL, XML-velden, componentparameters en voorbeeldstructuren.</w:t>
      </w:r>
    </w:p>
    <w:p>
      <w:pPr>
        <w:pStyle w:val="ListNumber"/>
        <w:spacing w:after="100" w:line="280" w:lineRule="auto"/>
      </w:pPr>
      <w:r>
        <w:rPr>
          <w:rFonts w:ascii="Calibri" w:hAnsi="Calibri"/>
          <w:sz w:val="22"/>
        </w:rPr>
        <w:t>Semantische clustering naar WerkOrder-kern, planning, lifecycle, locatie, uitvoering, realisatie en financiele context.</w:t>
      </w:r>
    </w:p>
    <w:p>
      <w:pPr>
        <w:pStyle w:val="ListNumber"/>
        <w:spacing w:after="100" w:line="280" w:lineRule="auto"/>
      </w:pPr>
      <w:r>
        <w:rPr>
          <w:rFonts w:ascii="Calibri" w:hAnsi="Calibri"/>
          <w:sz w:val="22"/>
        </w:rPr>
        <w:t>Toetsing aan VWI-principes voor integratielaag, BEDDA, VWIIM, betrouwbaarheid, observability, lifecycle en governance.</w:t>
      </w:r>
    </w:p>
    <w:p>
      <w:pPr>
        <w:pStyle w:val="ListNumber"/>
        <w:spacing w:after="120" w:line="264" w:lineRule="auto"/>
      </w:pPr>
      <w:r>
        <w:rPr>
          <w:rFonts w:ascii="Calibri" w:hAnsi="Calibri"/>
          <w:sz w:val="22"/>
        </w:rPr>
        <w:t>Runtimecorrelatie op exacte taaknaam, omgeving, uitvoeringsstatus, tijdvenster, duur en foutregistratie uit TMC.</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tcMar>
              <w:top w:w="100" w:type="dxa"/>
              <w:start w:w="120" w:type="dxa"/>
              <w:bottom w:w="100" w:type="dxa"/>
              <w:end w:w="120" w:type="dxa"/>
            </w:tcMar>
            <w:vAlign w:val="center"/>
          </w:tcPr>
          <w:p>
            <w:pPr>
              <w:spacing w:after="0"/>
              <w:jc w:val="left"/>
            </w:pPr>
            <w:r>
              <w:rPr>
                <w:rFonts w:ascii="Calibri" w:hAnsi="Calibri"/>
                <w:b/>
                <w:color w:val="17365D"/>
                <w:sz w:val="19"/>
              </w:rPr>
              <w:t>Bewijsstatus</w:t>
            </w:r>
          </w:p>
        </w:tc>
        <w:tc>
          <w:tcPr>
            <w:tcW w:type="dxa" w:w="7560"/>
            <w:shd w:fill="F2F4F7"/>
            <w:tcMar>
              <w:top w:w="100" w:type="dxa"/>
              <w:start w:w="120" w:type="dxa"/>
              <w:bottom w:w="100" w:type="dxa"/>
              <w:end w:w="120" w:type="dxa"/>
            </w:tcMar>
            <w:vAlign w:val="center"/>
          </w:tcPr>
          <w:p>
            <w:pPr>
              <w:spacing w:after="0"/>
              <w:jc w:val="left"/>
            </w:pPr>
            <w:r>
              <w:rPr>
                <w:rFonts w:ascii="Calibri" w:hAnsi="Calibri"/>
                <w:b/>
                <w:color w:val="17365D"/>
                <w:sz w:val="19"/>
              </w:rPr>
              <w:t>Betekenis in dit rapport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9"/>
              </w:rPr>
              <w:t>Vastgesteld</w:t>
            </w:r>
          </w:p>
        </w:tc>
        <w:tc>
          <w:tcPr>
            <w:tcW w:type="dxa" w:w="7560"/>
            <w:tcMar>
              <w:top w:w="100" w:type="dxa"/>
              <w:start w:w="120" w:type="dxa"/>
              <w:bottom w:w="100" w:type="dxa"/>
              <w:end w:w="120" w:type="dxa"/>
            </w:tcMar>
            <w:vAlign w:val="center"/>
          </w:tcPr>
          <w:p>
            <w:pPr>
              <w:spacing w:after="0" w:line="252" w:lineRule="auto"/>
              <w:jc w:val="left"/>
            </w:pPr>
            <w:r>
              <w:rPr>
                <w:rFonts w:ascii="Calibri" w:hAnsi="Calibri"/>
                <w:sz w:val="19"/>
              </w:rPr>
              <w:t>Direct zichtbaar in scan, mapping, SQL, route, component of call-relatie.</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9"/>
              </w:rPr>
              <w:t>Aannemelijk</w:t>
            </w:r>
          </w:p>
        </w:tc>
        <w:tc>
          <w:tcPr>
            <w:tcW w:type="dxa" w:w="7560"/>
            <w:tcMar>
              <w:top w:w="100" w:type="dxa"/>
              <w:start w:w="120" w:type="dxa"/>
              <w:bottom w:w="100" w:type="dxa"/>
              <w:end w:w="120" w:type="dxa"/>
            </w:tcMar>
            <w:vAlign w:val="center"/>
          </w:tcPr>
          <w:p>
            <w:pPr>
              <w:spacing w:after="0" w:line="252" w:lineRule="auto"/>
              <w:jc w:val="left"/>
            </w:pPr>
            <w:r>
              <w:rPr>
                <w:rFonts w:ascii="Calibri" w:hAnsi="Calibri"/>
                <w:sz w:val="19"/>
              </w:rPr>
              <w:t>Sterke technische duiding, maar formele businessdefinitie of ownership ontbreekt.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9"/>
              </w:rPr>
              <w:t>Ontwerpvoorstel</w:t>
            </w:r>
          </w:p>
        </w:tc>
        <w:tc>
          <w:tcPr>
            <w:tcW w:type="dxa" w:w="7560"/>
            <w:tcMar>
              <w:top w:w="100" w:type="dxa"/>
              <w:start w:w="120" w:type="dxa"/>
              <w:bottom w:w="100" w:type="dxa"/>
              <w:end w:w="120" w:type="dxa"/>
            </w:tcMar>
            <w:vAlign w:val="center"/>
          </w:tcPr>
          <w:p>
            <w:pPr>
              <w:spacing w:after="0" w:line="252" w:lineRule="auto"/>
              <w:jc w:val="left"/>
            </w:pPr>
            <w:r>
              <w:rPr>
                <w:rFonts w:ascii="Calibri" w:hAnsi="Calibri"/>
                <w:sz w:val="19"/>
              </w:rPr>
              <w:t>Toekomstige richting afgeleid uit VWI 0.8; nog geen goedgekeurd solution design.</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9"/>
              </w:rPr>
              <w:t>Te valideren</w:t>
            </w:r>
          </w:p>
        </w:tc>
        <w:tc>
          <w:tcPr>
            <w:tcW w:type="dxa" w:w="7560"/>
            <w:tcMar>
              <w:top w:w="100" w:type="dxa"/>
              <w:start w:w="120" w:type="dxa"/>
              <w:bottom w:w="100" w:type="dxa"/>
              <w:end w:w="120" w:type="dxa"/>
            </w:tcMar>
            <w:vAlign w:val="center"/>
          </w:tcPr>
          <w:p>
            <w:pPr>
              <w:spacing w:after="0" w:line="252" w:lineRule="auto"/>
              <w:jc w:val="left"/>
            </w:pPr>
            <w:r>
              <w:rPr>
                <w:rFonts w:ascii="Calibri" w:hAnsi="Calibri"/>
                <w:sz w:val="19"/>
              </w:rPr>
              <w:t>Niet betrouwbaar uit statische code af te leiden en nodig voor besluitvorming.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CE"/>
          </w:tcPr>
          <w:p>
            <w:pPr>
              <w:spacing w:after="0" w:line="264" w:lineRule="auto"/>
            </w:pPr>
            <w:r>
              <w:rPr>
                <w:rFonts w:ascii="Calibri" w:hAnsi="Calibri"/>
                <w:b/>
                <w:color w:val="17365D"/>
                <w:sz w:val="22"/>
              </w:rPr>
              <w:t xml:space="preserve">Publicatiegrens: </w:t>
            </w:r>
            <w:r>
              <w:rPr>
                <w:rFonts w:ascii="Calibri" w:hAnsi="Calibri"/>
                <w:sz w:val="22"/>
              </w:rPr>
              <w:t>Credentialwaarden, endpoints met geheimen en ruwe persoons- of payloadwaarden zijn niet opgenomen. De bron-PDF's zijn conceptversie 0.8 en bevatten zichtbare reviewopmerkingen; dit rapport behandelt ze als richtinggevend normatief concept, niet als definitief vastgesteld beleid.</w:t>
            </w:r>
          </w:p>
        </w:tc>
      </w:tr>
    </w:tbl>
    <w:p>
      <w:pPr>
        <w:spacing w:after="0"/>
      </w:pPr>
    </w:p>
    <w:p>
      <w:pPr>
        <w:pStyle w:val="Heading1"/>
      </w:pPr>
      <w:r>
        <w:rPr>
          <w:rFonts w:ascii="Calibri" w:hAnsi="Calibri"/>
          <w:i w:val="0"/>
          <w:color w:val="2E75B6"/>
          <w:sz w:val="32"/>
        </w:rPr>
        <w:t>3. Betrouwbaarheid en grenzen van scan en runtime</w:t>
      </w:r>
    </w:p>
    <w:tbl>
      <w:tblPr>
        <w:tblStyle w:val="TableGrid"/>
        <w:tblW w:type="dxa" w:w="9360"/>
        <w:jc w:val="left"/>
        <w:tblLayout w:type="fixed"/>
        <w:tblLook w:firstColumn="1" w:firstRow="1" w:lastColumn="0" w:lastRow="0" w:noHBand="0" w:noVBand="1" w:val="04A0"/>
        <w:tblInd w:w="120" w:type="dxa"/>
      </w:tblPr>
      <w:tblGrid>
        <w:gridCol w:w="2500"/>
        <w:gridCol w:w="1200"/>
        <w:gridCol w:w="5660"/>
      </w:tblGrid>
      <w:tr>
        <w:trPr>
          <w:tblHeader w:val="true"/>
          <w:cantSplit/>
        </w:trPr>
        <w:tc>
          <w:tcPr>
            <w:tcW w:type="dxa" w:w="2500"/>
            <w:shd w:fill="F2F4F7"/>
            <w:tcMar>
              <w:top w:w="100" w:type="dxa"/>
              <w:start w:w="120" w:type="dxa"/>
              <w:bottom w:w="100" w:type="dxa"/>
              <w:end w:w="120" w:type="dxa"/>
            </w:tcMar>
            <w:vAlign w:val="center"/>
          </w:tcPr>
          <w:p>
            <w:pPr>
              <w:spacing w:after="0"/>
              <w:jc w:val="left"/>
            </w:pPr>
            <w:r>
              <w:rPr>
                <w:rFonts w:ascii="Calibri" w:hAnsi="Calibri"/>
                <w:b/>
                <w:color w:val="17365D"/>
                <w:sz w:val="17"/>
              </w:rPr>
              <w:t>Scanfeit</w:t>
            </w:r>
          </w:p>
        </w:tc>
        <w:tc>
          <w:tcPr>
            <w:tcW w:type="dxa" w:w="1200"/>
            <w:shd w:fill="F2F4F7"/>
            <w:tcMar>
              <w:top w:w="100" w:type="dxa"/>
              <w:start w:w="120" w:type="dxa"/>
              <w:bottom w:w="100" w:type="dxa"/>
              <w:end w:w="120" w:type="dxa"/>
            </w:tcMar>
            <w:vAlign w:val="center"/>
          </w:tcPr>
          <w:p>
            <w:pPr>
              <w:spacing w:after="0"/>
              <w:jc w:val="center"/>
            </w:pPr>
            <w:r>
              <w:rPr>
                <w:rFonts w:ascii="Calibri" w:hAnsi="Calibri"/>
                <w:b/>
                <w:color w:val="17365D"/>
                <w:sz w:val="17"/>
              </w:rPr>
              <w:t>Waarde</w:t>
            </w:r>
          </w:p>
        </w:tc>
        <w:tc>
          <w:tcPr>
            <w:tcW w:type="dxa" w:w="5660"/>
            <w:shd w:fill="F2F4F7"/>
            <w:tcMar>
              <w:top w:w="100" w:type="dxa"/>
              <w:start w:w="120" w:type="dxa"/>
              <w:bottom w:w="100" w:type="dxa"/>
              <w:end w:w="120" w:type="dxa"/>
            </w:tcMar>
            <w:vAlign w:val="center"/>
          </w:tcPr>
          <w:p>
            <w:pPr>
              <w:spacing w:after="0"/>
              <w:jc w:val="left"/>
            </w:pPr>
            <w:r>
              <w:rPr>
                <w:rFonts w:ascii="Calibri" w:hAnsi="Calibri"/>
                <w:b/>
                <w:color w:val="17365D"/>
                <w:sz w:val="17"/>
              </w:rPr>
              <w:t>Duiding</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Geselecteerde artefacten</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358</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261 jobs, 95 routes en 2 joblets; repositoryselectie, geen runtimebewijs.</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Bronroots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22</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18 roots bevatten geparseerde jobs; meerdere roots zijn kopieen of subsets.</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Componenten / verbindingen</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9.553 / 8.813</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Voldoende voor technische keten- en patroonanalyse.</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tMap-regels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1.105</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Sterk veldmatig bewijs waar tMap wordt gebruikt.</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tXMLMap-componenten</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205</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Velden en expressies deels zichtbaar; alle 205 hebben partial-parsewaarschuwing.</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Metadata-connecties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56</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50 MSSQL en 6 Oracle; hostwaarden zijn terecht geredigeerd.</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TDM-maps / schemas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16 / 0</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12 TDM-associaties onopgelost; geen formele contractschema's geindexeerd.</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Waarschuwingen</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446</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229 niet-gescande categorieen, 205 tXMLMap-partials en 12 TDM-partials.</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Duplicatie</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98 extra jobrecords</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358 records tegenover 260 unieke jobnamen; 2.205 dubbele file-inhoudshashes.</w:t>
            </w:r>
          </w:p>
        </w:tc>
      </w:tr>
      <w:tr>
        <w:trPr>
          <w:cantSplit/>
        </w:trPr>
        <w:tc>
          <w:tcPr>
            <w:tcW w:type="dxa" w:w="2500"/>
            <w:tcMar>
              <w:top w:w="100" w:type="dxa"/>
              <w:start w:w="120" w:type="dxa"/>
              <w:bottom w:w="100" w:type="dxa"/>
              <w:end w:w="120" w:type="dxa"/>
            </w:tcMar>
            <w:vAlign w:val="center"/>
          </w:tcPr>
          <w:p>
            <w:pPr>
              <w:spacing w:after="0" w:line="252" w:lineRule="auto"/>
              <w:jc w:val="left"/>
            </w:pPr>
            <w:r>
              <w:rPr>
                <w:rFonts w:ascii="Calibri" w:hAnsi="Calibri"/>
                <w:sz w:val="17"/>
              </w:rPr>
              <w:t>Superseded versies</w:t>
            </w:r>
          </w:p>
        </w:tc>
        <w:tc>
          <w:tcPr>
            <w:tcW w:type="dxa" w:w="1200"/>
            <w:tcMar>
              <w:top w:w="100" w:type="dxa"/>
              <w:start w:w="120" w:type="dxa"/>
              <w:bottom w:w="100" w:type="dxa"/>
              <w:end w:w="120" w:type="dxa"/>
            </w:tcMar>
            <w:vAlign w:val="center"/>
          </w:tcPr>
          <w:p>
            <w:pPr>
              <w:spacing w:after="0" w:line="252" w:lineRule="auto"/>
              <w:jc w:val="center"/>
            </w:pPr>
            <w:r>
              <w:rPr>
                <w:rFonts w:ascii="Calibri" w:hAnsi="Calibri"/>
                <w:sz w:val="17"/>
              </w:rPr>
              <w:t>1.979</w:t>
            </w:r>
          </w:p>
        </w:tc>
        <w:tc>
          <w:tcPr>
            <w:tcW w:type="dxa" w:w="5660"/>
            <w:tcMar>
              <w:top w:w="100" w:type="dxa"/>
              <w:start w:w="120" w:type="dxa"/>
              <w:bottom w:w="100" w:type="dxa"/>
              <w:end w:w="120" w:type="dxa"/>
            </w:tcMar>
            <w:vAlign w:val="center"/>
          </w:tcPr>
          <w:p>
            <w:pPr>
              <w:spacing w:after="0" w:line="252" w:lineRule="auto"/>
              <w:jc w:val="left"/>
            </w:pPr>
            <w:r>
              <w:rPr>
                <w:rFonts w:ascii="Calibri" w:hAnsi="Calibri"/>
                <w:sz w:val="17"/>
              </w:rPr>
              <w:t>Veel historie aanwezig; leidende deployment kan niet uit repositoryversie worden bewezen.</w:t>
            </w:r>
          </w:p>
        </w:tc>
      </w:tr>
    </w:tbl>
    <w:p>
      <w:pPr>
        <w:spacing w:after="0"/>
      </w:pPr>
    </w:p>
    <w:p>
      <w:pPr>
        <w:spacing w:before="0" w:after="120" w:line="264" w:lineRule="auto"/>
      </w:pPr>
      <w:r>
        <w:rPr>
          <w:rFonts w:ascii="Calibri" w:hAnsi="Calibri"/>
          <w:i w:val="0"/>
          <w:color w:val="111111"/>
          <w:sz w:val="22"/>
        </w:rPr>
        <w:t>De scan markeert alle 358 artefacten als active=True. Dit betekent dat zij door de scanner als geselecteerd/actief repositoryartefact zijn behandeld; het is geen bewijs dat zij zijn gedeployed, gepland of recent uitgevoerd. Productieclaims vereisen TMC-runtime, deploymentinventaris of gevalideerde schedulerinformatie.</w:t>
      </w:r>
    </w:p>
    <w:p>
      <w:pPr>
        <w:spacing w:before="80" w:after="120" w:line="252" w:lineRule="auto"/>
      </w:pPr>
      <w:r>
        <w:rPr>
          <w:rFonts w:ascii="Calibri" w:hAnsi="Calibri"/>
          <w:i/>
          <w:color w:val="5B6778"/>
          <w:sz w:val="18"/>
        </w:rPr>
        <w:t>Bronbasis: [S1] stats, warnings, manifest, jobs en files.</w:t>
      </w:r>
    </w:p>
    <w:p>
      <w:pPr>
        <w:pStyle w:val="Heading2"/>
        <w:spacing w:after="120" w:line="264" w:lineRule="auto"/>
      </w:pPr>
      <w:r>
        <w:rPr>
          <w:rFonts w:ascii="Calibri" w:hAnsi="Calibri"/>
          <w:i w:val="0"/>
          <w:sz w:val="22"/>
        </w:rPr>
        <w:t>3.1 TMC-runtimebewijs en afbakening</w:t>
      </w:r>
    </w:p>
    <w:p>
      <w:pPr>
        <w:spacing w:after="120" w:line="264" w:lineRule="auto"/>
      </w:pPr>
      <w:r>
        <w:rPr>
          <w:rFonts w:ascii="Calibri" w:hAnsi="Calibri"/>
          <w:i w:val="0"/>
          <w:sz w:val="22"/>
        </w:rPr>
        <w:t>De TMC-data is gelezen uit de voor project werkorder gesynchroniseerde runtime-opslag. De snapshot bevat acht actieve taakdefinities en 2.429 uitvoeringen. Van de runs eindigden 1.859 als success, 566 als failed en vier als unknown. Deze totaalcijfers mogen niet als algemene productie-SLA worden gelezen: 546 failures horen bij een ACC-taak en de selectie bevat slechts twee PROD-taken.</w:t>
      </w:r>
    </w:p>
    <w:tbl>
      <w:tblPr>
        <w:tblW w:type="dxa" w:w="9360"/>
        <w:tblStyle w:val="TableGrid"/>
        <w:tblLook w:firstColumn="1" w:firstRow="1" w:lastColumn="0" w:lastRow="0" w:noHBand="0" w:noVBand="1" w:val="04A0"/>
        <w:tblInd w:type="dxa" w:w="120"/>
        <w:tblLayout w:type="fixed"/>
      </w:tblPr>
      <w:tblGrid>
        <w:gridCol w:w="900"/>
        <w:gridCol w:w="2800"/>
        <w:gridCol w:w="2200"/>
        <w:gridCol w:w="3460"/>
      </w:tblGrid>
      <w:tr>
        <w:trPr>
          <w:cantSplit/>
          <w:tblHeader w:val="true"/>
        </w:trPr>
        <w:tc>
          <w:tcPr>
            <w:tcW w:type="dxa" w:w="900"/>
            <w:shd w:fill="E9EDF3"/>
            <w:vAlign w:val="center"/>
            <w:tcMar>
              <w:top w:type="dxa" w:w="80"/>
              <w:start w:type="dxa" w:w="120"/>
              <w:bottom w:type="dxa" w:w="80"/>
              <w:end w:type="dxa" w:w="120"/>
            </w:tcMar>
          </w:tcPr>
          <w:p>
            <w:pPr>
              <w:spacing w:after="0" w:line="252" w:lineRule="auto"/>
            </w:pPr>
            <w:r/>
            <w:r>
              <w:rPr>
                <w:rFonts w:ascii="Calibri" w:hAnsi="Calibri"/>
                <w:b/>
                <w:color w:val="17365D"/>
                <w:sz w:val="16"/>
              </w:rPr>
              <w:t>Omgeving</w:t>
            </w:r>
          </w:p>
        </w:tc>
        <w:tc>
          <w:tcPr>
            <w:tcW w:type="dxa" w:w="2800"/>
            <w:shd w:fill="E9EDF3"/>
            <w:vAlign w:val="center"/>
            <w:tcMar>
              <w:top w:type="dxa" w:w="80"/>
              <w:start w:type="dxa" w:w="120"/>
              <w:bottom w:type="dxa" w:w="80"/>
              <w:end w:type="dxa" w:w="120"/>
            </w:tcMar>
          </w:tcPr>
          <w:p>
            <w:pPr>
              <w:spacing w:after="0" w:line="252" w:lineRule="auto"/>
            </w:pPr>
            <w:r/>
            <w:r>
              <w:rPr>
                <w:rFonts w:ascii="Calibri" w:hAnsi="Calibri"/>
                <w:b/>
                <w:color w:val="17365D"/>
                <w:sz w:val="16"/>
              </w:rPr>
              <w:t>TMC-taak</w:t>
            </w:r>
          </w:p>
        </w:tc>
        <w:tc>
          <w:tcPr>
            <w:tcW w:type="dxa" w:w="2200"/>
            <w:shd w:fill="E9EDF3"/>
            <w:vAlign w:val="center"/>
            <w:tcMar>
              <w:top w:type="dxa" w:w="80"/>
              <w:start w:type="dxa" w:w="120"/>
              <w:bottom w:type="dxa" w:w="80"/>
              <w:end w:type="dxa" w:w="120"/>
            </w:tcMar>
          </w:tcPr>
          <w:p>
            <w:pPr>
              <w:spacing w:after="0" w:line="252" w:lineRule="auto"/>
            </w:pPr>
            <w:r/>
            <w:r>
              <w:rPr>
                <w:rFonts w:ascii="Calibri" w:hAnsi="Calibri"/>
                <w:b/>
                <w:color w:val="17365D"/>
                <w:sz w:val="16"/>
              </w:rPr>
              <w:t>Uitvoeringshistorie</w:t>
            </w:r>
          </w:p>
        </w:tc>
        <w:tc>
          <w:tcPr>
            <w:tcW w:type="dxa" w:w="3460"/>
            <w:shd w:fill="E9EDF3"/>
            <w:vAlign w:val="center"/>
            <w:tcMar>
              <w:top w:type="dxa" w:w="80"/>
              <w:start w:type="dxa" w:w="120"/>
              <w:bottom w:type="dxa" w:w="80"/>
              <w:end w:type="dxa" w:w="120"/>
            </w:tcMar>
          </w:tcPr>
          <w:p>
            <w:pPr>
              <w:spacing w:after="0" w:line="252" w:lineRule="auto"/>
            </w:pPr>
            <w:r/>
            <w:r>
              <w:rPr>
                <w:rFonts w:ascii="Calibri" w:hAnsi="Calibri"/>
                <w:b/>
                <w:color w:val="17365D"/>
                <w:sz w:val="16"/>
              </w:rPr>
              <w:t>Laatste waarneming en duiding</w:t>
            </w:r>
          </w:p>
        </w:tc>
      </w:tr>
      <w:tr>
        <w:trPr>
          <w:cantSplit/>
        </w:trPr>
        <w:tc>
          <w:tcPr>
            <w:tcW w:type="dxa" w:w="900"/>
            <w:vAlign w:val="center"/>
            <w:tcMar>
              <w:top w:type="dxa" w:w="80"/>
              <w:start w:type="dxa" w:w="120"/>
              <w:bottom w:type="dxa" w:w="80"/>
              <w:end w:type="dxa" w:w="120"/>
            </w:tcMar>
          </w:tcPr>
          <w:p>
            <w:pPr>
              <w:spacing w:after="0" w:line="252" w:lineRule="auto"/>
            </w:pPr>
            <w:r/>
            <w:r>
              <w:rPr>
                <w:rFonts w:ascii="Calibri" w:hAnsi="Calibri"/>
                <w:sz w:val="16"/>
              </w:rPr>
              <w:t>PROD</w:t>
            </w:r>
          </w:p>
        </w:tc>
        <w:tc>
          <w:tcPr>
            <w:tcW w:type="dxa" w:w="2800"/>
            <w:vAlign w:val="center"/>
            <w:tcMar>
              <w:top w:type="dxa" w:w="80"/>
              <w:start w:type="dxa" w:w="120"/>
              <w:bottom w:type="dxa" w:w="80"/>
              <w:end w:type="dxa" w:w="120"/>
            </w:tcMar>
          </w:tcPr>
          <w:p>
            <w:pPr>
              <w:spacing w:after="0" w:line="252" w:lineRule="auto"/>
            </w:pPr>
            <w:r/>
            <w:r>
              <w:rPr>
                <w:rFonts w:ascii="Calibri" w:hAnsi="Calibri"/>
                <w:sz w:val="16"/>
              </w:rPr>
              <w:t>Maximo2RHM_Workorders</w:t>
            </w:r>
          </w:p>
        </w:tc>
        <w:tc>
          <w:tcPr>
            <w:tcW w:type="dxa" w:w="2200"/>
            <w:vAlign w:val="center"/>
            <w:tcMar>
              <w:top w:type="dxa" w:w="80"/>
              <w:start w:type="dxa" w:w="120"/>
              <w:bottom w:type="dxa" w:w="80"/>
              <w:end w:type="dxa" w:w="120"/>
            </w:tcMar>
          </w:tcPr>
          <w:p>
            <w:pPr>
              <w:spacing w:after="0" w:line="252" w:lineRule="auto"/>
            </w:pPr>
            <w:r/>
            <w:r>
              <w:rPr>
                <w:rFonts w:ascii="Calibri" w:hAnsi="Calibri"/>
                <w:sz w:val="16"/>
              </w:rPr>
              <w:t>893 runs: 877 success, 16 failed</w:t>
            </w:r>
          </w:p>
        </w:tc>
        <w:tc>
          <w:tcPr>
            <w:tcW w:type="dxa" w:w="3460"/>
            <w:vAlign w:val="center"/>
            <w:tcMar>
              <w:top w:type="dxa" w:w="80"/>
              <w:start w:type="dxa" w:w="120"/>
              <w:bottom w:type="dxa" w:w="80"/>
              <w:end w:type="dxa" w:w="120"/>
            </w:tcMar>
          </w:tcPr>
          <w:p>
            <w:pPr>
              <w:spacing w:after="0" w:line="252" w:lineRule="auto"/>
            </w:pPr>
            <w:r/>
            <w:r>
              <w:rPr>
                <w:rFonts w:ascii="Calibri" w:hAnsi="Calibri"/>
                <w:sz w:val="16"/>
              </w:rPr>
              <w:t>16-08-2026 success; alle 16 failures op 27-07, BatchUpdateException</w:t>
            </w:r>
          </w:p>
        </w:tc>
      </w:tr>
      <w:tr>
        <w:trPr>
          <w:cantSplit/>
        </w:trPr>
        <w:tc>
          <w:tcPr>
            <w:tcW w:type="dxa" w:w="900"/>
            <w:vAlign w:val="center"/>
            <w:tcMar>
              <w:top w:type="dxa" w:w="80"/>
              <w:start w:type="dxa" w:w="120"/>
              <w:bottom w:type="dxa" w:w="80"/>
              <w:end w:type="dxa" w:w="120"/>
            </w:tcMar>
          </w:tcPr>
          <w:p>
            <w:pPr>
              <w:spacing w:after="0" w:line="252" w:lineRule="auto"/>
            </w:pPr>
            <w:r/>
            <w:r>
              <w:rPr>
                <w:rFonts w:ascii="Calibri" w:hAnsi="Calibri"/>
                <w:sz w:val="16"/>
              </w:rPr>
              <w:t>PROD</w:t>
            </w:r>
          </w:p>
        </w:tc>
        <w:tc>
          <w:tcPr>
            <w:tcW w:type="dxa" w:w="2800"/>
            <w:vAlign w:val="center"/>
            <w:tcMar>
              <w:top w:type="dxa" w:w="80"/>
              <w:start w:type="dxa" w:w="120"/>
              <w:bottom w:type="dxa" w:w="80"/>
              <w:end w:type="dxa" w:w="120"/>
            </w:tcMar>
          </w:tcPr>
          <w:p>
            <w:pPr>
              <w:spacing w:after="0" w:line="252" w:lineRule="auto"/>
            </w:pPr>
            <w:r/>
            <w:r>
              <w:rPr>
                <w:rFonts w:ascii="Calibri" w:hAnsi="Calibri"/>
                <w:sz w:val="16"/>
              </w:rPr>
              <w:t>Quintiq2Maximo_PlannedWorkOrder</w:t>
            </w:r>
          </w:p>
        </w:tc>
        <w:tc>
          <w:tcPr>
            <w:tcW w:type="dxa" w:w="2200"/>
            <w:vAlign w:val="center"/>
            <w:tcMar>
              <w:top w:type="dxa" w:w="80"/>
              <w:start w:type="dxa" w:w="120"/>
              <w:bottom w:type="dxa" w:w="80"/>
              <w:end w:type="dxa" w:w="120"/>
            </w:tcMar>
          </w:tcPr>
          <w:p>
            <w:pPr>
              <w:spacing w:after="0" w:line="252" w:lineRule="auto"/>
            </w:pPr>
            <w:r/>
            <w:r>
              <w:rPr>
                <w:rFonts w:ascii="Calibri" w:hAnsi="Calibri"/>
                <w:sz w:val="16"/>
              </w:rPr>
              <w:t>597 runs: 597 success</w:t>
            </w:r>
          </w:p>
        </w:tc>
        <w:tc>
          <w:tcPr>
            <w:tcW w:type="dxa" w:w="3460"/>
            <w:vAlign w:val="center"/>
            <w:tcMar>
              <w:top w:type="dxa" w:w="80"/>
              <w:start w:type="dxa" w:w="120"/>
              <w:bottom w:type="dxa" w:w="80"/>
              <w:end w:type="dxa" w:w="120"/>
            </w:tcMar>
          </w:tcPr>
          <w:p>
            <w:pPr>
              <w:spacing w:after="0" w:line="252" w:lineRule="auto"/>
            </w:pPr>
            <w:r/>
            <w:r>
              <w:rPr>
                <w:rFonts w:ascii="Calibri" w:hAnsi="Calibri"/>
                <w:sz w:val="16"/>
              </w:rPr>
              <w:t>16-08-2026 success; actief plan met eveneens 597 succesvolle planruns</w:t>
            </w:r>
          </w:p>
        </w:tc>
      </w:tr>
      <w:tr>
        <w:trPr>
          <w:cantSplit/>
        </w:trPr>
        <w:tc>
          <w:tcPr>
            <w:tcW w:type="dxa" w:w="900"/>
            <w:vAlign w:val="center"/>
            <w:tcMar>
              <w:top w:type="dxa" w:w="80"/>
              <w:start w:type="dxa" w:w="120"/>
              <w:bottom w:type="dxa" w:w="80"/>
              <w:end w:type="dxa" w:w="120"/>
            </w:tcMar>
          </w:tcPr>
          <w:p>
            <w:pPr>
              <w:spacing w:after="0" w:line="252" w:lineRule="auto"/>
            </w:pPr>
            <w:r/>
            <w:r>
              <w:rPr>
                <w:rFonts w:ascii="Calibri" w:hAnsi="Calibri"/>
                <w:sz w:val="16"/>
              </w:rPr>
              <w:t>ACC</w:t>
            </w:r>
          </w:p>
        </w:tc>
        <w:tc>
          <w:tcPr>
            <w:tcW w:type="dxa" w:w="2800"/>
            <w:vAlign w:val="center"/>
            <w:tcMar>
              <w:top w:type="dxa" w:w="80"/>
              <w:start w:type="dxa" w:w="120"/>
              <w:bottom w:type="dxa" w:w="80"/>
              <w:end w:type="dxa" w:w="120"/>
            </w:tcMar>
          </w:tcPr>
          <w:p>
            <w:pPr>
              <w:spacing w:after="0" w:line="252" w:lineRule="auto"/>
            </w:pPr>
            <w:r/>
            <w:r>
              <w:rPr>
                <w:rFonts w:ascii="Calibri" w:hAnsi="Calibri"/>
                <w:sz w:val="16"/>
              </w:rPr>
              <w:t>RHM2Smartflow_Workorders</w:t>
            </w:r>
          </w:p>
        </w:tc>
        <w:tc>
          <w:tcPr>
            <w:tcW w:type="dxa" w:w="2200"/>
            <w:vAlign w:val="center"/>
            <w:tcMar>
              <w:top w:type="dxa" w:w="80"/>
              <w:start w:type="dxa" w:w="120"/>
              <w:bottom w:type="dxa" w:w="80"/>
              <w:end w:type="dxa" w:w="120"/>
            </w:tcMar>
          </w:tcPr>
          <w:p>
            <w:pPr>
              <w:spacing w:after="0" w:line="252" w:lineRule="auto"/>
            </w:pPr>
            <w:r/>
            <w:r>
              <w:rPr>
                <w:rFonts w:ascii="Calibri" w:hAnsi="Calibri"/>
                <w:sz w:val="16"/>
              </w:rPr>
              <w:t>924 runs: 378 success, 546 failed</w:t>
            </w:r>
          </w:p>
        </w:tc>
        <w:tc>
          <w:tcPr>
            <w:tcW w:type="dxa" w:w="3460"/>
            <w:vAlign w:val="center"/>
            <w:tcMar>
              <w:top w:type="dxa" w:w="80"/>
              <w:start w:type="dxa" w:w="120"/>
              <w:bottom w:type="dxa" w:w="80"/>
              <w:end w:type="dxa" w:w="120"/>
            </w:tcMar>
          </w:tcPr>
          <w:p>
            <w:pPr>
              <w:spacing w:after="0" w:line="252" w:lineRule="auto"/>
            </w:pPr>
            <w:r/>
            <w:r>
              <w:rPr>
                <w:rFonts w:ascii="Calibri" w:hAnsi="Calibri"/>
                <w:sz w:val="16"/>
              </w:rPr>
              <w:t>01-07-2026 failed; daarna geen run in deze snapshot, taak op 16-08 nog active</w:t>
            </w:r>
          </w:p>
        </w:tc>
      </w:tr>
      <w:tr>
        <w:trPr>
          <w:cantSplit/>
        </w:trPr>
        <w:tc>
          <w:tcPr>
            <w:tcW w:type="dxa" w:w="900"/>
            <w:vAlign w:val="center"/>
            <w:tcMar>
              <w:top w:type="dxa" w:w="80"/>
              <w:start w:type="dxa" w:w="120"/>
              <w:bottom w:type="dxa" w:w="80"/>
              <w:end w:type="dxa" w:w="120"/>
            </w:tcMar>
          </w:tcPr>
          <w:p>
            <w:pPr>
              <w:spacing w:after="0" w:line="252" w:lineRule="auto"/>
            </w:pPr>
            <w:r/>
            <w:r>
              <w:rPr>
                <w:rFonts w:ascii="Calibri" w:hAnsi="Calibri"/>
                <w:sz w:val="16"/>
              </w:rPr>
              <w:t>ACC</w:t>
            </w:r>
          </w:p>
        </w:tc>
        <w:tc>
          <w:tcPr>
            <w:tcW w:type="dxa" w:w="2800"/>
            <w:vAlign w:val="center"/>
            <w:tcMar>
              <w:top w:type="dxa" w:w="80"/>
              <w:start w:type="dxa" w:w="120"/>
              <w:bottom w:type="dxa" w:w="80"/>
              <w:end w:type="dxa" w:w="120"/>
            </w:tcMar>
          </w:tcPr>
          <w:p>
            <w:pPr>
              <w:spacing w:after="0" w:line="252" w:lineRule="auto"/>
            </w:pPr>
            <w:r/>
            <w:r>
              <w:rPr>
                <w:rFonts w:ascii="Calibri" w:hAnsi="Calibri"/>
                <w:sz w:val="16"/>
              </w:rPr>
              <w:t>Maximo2Quintiq_Workorder_Route</w:t>
            </w:r>
          </w:p>
        </w:tc>
        <w:tc>
          <w:tcPr>
            <w:tcW w:type="dxa" w:w="2200"/>
            <w:vAlign w:val="center"/>
            <w:tcMar>
              <w:top w:type="dxa" w:w="80"/>
              <w:start w:type="dxa" w:w="120"/>
              <w:bottom w:type="dxa" w:w="80"/>
              <w:end w:type="dxa" w:w="120"/>
            </w:tcMar>
          </w:tcPr>
          <w:p>
            <w:pPr>
              <w:spacing w:after="0" w:line="252" w:lineRule="auto"/>
            </w:pPr>
            <w:r/>
            <w:r>
              <w:rPr>
                <w:rFonts w:ascii="Calibri" w:hAnsi="Calibri"/>
                <w:sz w:val="16"/>
              </w:rPr>
              <w:t>8 runs: 4 success, 4 failed</w:t>
            </w:r>
          </w:p>
        </w:tc>
        <w:tc>
          <w:tcPr>
            <w:tcW w:type="dxa" w:w="3460"/>
            <w:vAlign w:val="center"/>
            <w:tcMar>
              <w:top w:type="dxa" w:w="80"/>
              <w:start w:type="dxa" w:w="120"/>
              <w:bottom w:type="dxa" w:w="80"/>
              <w:end w:type="dxa" w:w="120"/>
            </w:tcMar>
          </w:tcPr>
          <w:p>
            <w:pPr>
              <w:spacing w:after="0" w:line="252" w:lineRule="auto"/>
            </w:pPr>
            <w:r/>
            <w:r>
              <w:rPr>
                <w:rFonts w:ascii="Calibri" w:hAnsi="Calibri"/>
                <w:sz w:val="16"/>
              </w:rPr>
              <w:t>10-08-2026 failed; ESB Processing-/ConnectException zichtbaar</w:t>
            </w:r>
          </w:p>
        </w:tc>
      </w:tr>
      <w:tr>
        <w:trPr>
          <w:cantSplit/>
        </w:trPr>
        <w:tc>
          <w:tcPr>
            <w:tcW w:type="dxa" w:w="900"/>
            <w:vAlign w:val="center"/>
            <w:tcMar>
              <w:top w:type="dxa" w:w="80"/>
              <w:start w:type="dxa" w:w="120"/>
              <w:bottom w:type="dxa" w:w="80"/>
              <w:end w:type="dxa" w:w="120"/>
            </w:tcMar>
          </w:tcPr>
          <w:p>
            <w:pPr>
              <w:spacing w:after="0" w:line="252" w:lineRule="auto"/>
            </w:pPr>
            <w:r/>
            <w:r>
              <w:rPr>
                <w:rFonts w:ascii="Calibri" w:hAnsi="Calibri"/>
                <w:sz w:val="16"/>
              </w:rPr>
              <w:t>ACC</w:t>
            </w:r>
          </w:p>
        </w:tc>
        <w:tc>
          <w:tcPr>
            <w:tcW w:type="dxa" w:w="2800"/>
            <w:vAlign w:val="center"/>
            <w:tcMar>
              <w:top w:type="dxa" w:w="80"/>
              <w:start w:type="dxa" w:w="120"/>
              <w:bottom w:type="dxa" w:w="80"/>
              <w:end w:type="dxa" w:w="120"/>
            </w:tcMar>
          </w:tcPr>
          <w:p>
            <w:pPr>
              <w:spacing w:after="0" w:line="252" w:lineRule="auto"/>
            </w:pPr>
            <w:r/>
            <w:r>
              <w:rPr>
                <w:rFonts w:ascii="Calibri" w:hAnsi="Calibri"/>
                <w:sz w:val="16"/>
              </w:rPr>
              <w:t>maximoFourpsWorkOrder</w:t>
            </w:r>
          </w:p>
        </w:tc>
        <w:tc>
          <w:tcPr>
            <w:tcW w:type="dxa" w:w="2200"/>
            <w:vAlign w:val="center"/>
            <w:tcMar>
              <w:top w:type="dxa" w:w="80"/>
              <w:start w:type="dxa" w:w="120"/>
              <w:bottom w:type="dxa" w:w="80"/>
              <w:end w:type="dxa" w:w="120"/>
            </w:tcMar>
          </w:tcPr>
          <w:p>
            <w:pPr>
              <w:spacing w:after="0" w:line="252" w:lineRule="auto"/>
            </w:pPr>
            <w:r/>
            <w:r>
              <w:rPr>
                <w:rFonts w:ascii="Calibri" w:hAnsi="Calibri"/>
                <w:sz w:val="16"/>
              </w:rPr>
              <w:t>3 runs: status unknown</w:t>
            </w:r>
          </w:p>
        </w:tc>
        <w:tc>
          <w:tcPr>
            <w:tcW w:type="dxa" w:w="3460"/>
            <w:vAlign w:val="center"/>
            <w:tcMar>
              <w:top w:type="dxa" w:w="80"/>
              <w:start w:type="dxa" w:w="120"/>
              <w:bottom w:type="dxa" w:w="80"/>
              <w:end w:type="dxa" w:w="120"/>
            </w:tcMar>
          </w:tcPr>
          <w:p>
            <w:pPr>
              <w:spacing w:after="0" w:line="252" w:lineRule="auto"/>
            </w:pPr>
            <w:r/>
            <w:r>
              <w:rPr>
                <w:rFonts w:ascii="Calibri" w:hAnsi="Calibri"/>
                <w:sz w:val="16"/>
              </w:rPr>
              <w:t>03-07-2026 unknown; geen bewezen succesvolle ACC-verwerking</w:t>
            </w:r>
          </w:p>
        </w:tc>
      </w:tr>
      <w:tr>
        <w:trPr>
          <w:cantSplit/>
        </w:trPr>
        <w:tc>
          <w:tcPr>
            <w:tcW w:type="dxa" w:w="900"/>
            <w:vAlign w:val="center"/>
            <w:tcMar>
              <w:top w:type="dxa" w:w="80"/>
              <w:start w:type="dxa" w:w="120"/>
              <w:bottom w:type="dxa" w:w="80"/>
              <w:end w:type="dxa" w:w="120"/>
            </w:tcMar>
          </w:tcPr>
          <w:p>
            <w:pPr>
              <w:spacing w:after="0" w:line="252" w:lineRule="auto"/>
            </w:pPr>
            <w:r/>
            <w:r>
              <w:rPr>
                <w:rFonts w:ascii="Calibri" w:hAnsi="Calibri"/>
                <w:sz w:val="16"/>
              </w:rPr>
              <w:t>TST</w:t>
            </w:r>
          </w:p>
        </w:tc>
        <w:tc>
          <w:tcPr>
            <w:tcW w:type="dxa" w:w="2800"/>
            <w:vAlign w:val="center"/>
            <w:tcMar>
              <w:top w:type="dxa" w:w="80"/>
              <w:start w:type="dxa" w:w="120"/>
              <w:bottom w:type="dxa" w:w="80"/>
              <w:end w:type="dxa" w:w="120"/>
            </w:tcMar>
          </w:tcPr>
          <w:p>
            <w:pPr>
              <w:spacing w:after="0" w:line="252" w:lineRule="auto"/>
            </w:pPr>
            <w:r/>
            <w:r>
              <w:rPr>
                <w:rFonts w:ascii="Calibri" w:hAnsi="Calibri"/>
                <w:sz w:val="16"/>
              </w:rPr>
              <w:t>Maximo2Quintiq_Workorder_Route</w:t>
            </w:r>
          </w:p>
        </w:tc>
        <w:tc>
          <w:tcPr>
            <w:tcW w:type="dxa" w:w="2200"/>
            <w:vAlign w:val="center"/>
            <w:tcMar>
              <w:top w:type="dxa" w:w="80"/>
              <w:start w:type="dxa" w:w="120"/>
              <w:bottom w:type="dxa" w:w="80"/>
              <w:end w:type="dxa" w:w="120"/>
            </w:tcMar>
          </w:tcPr>
          <w:p>
            <w:pPr>
              <w:spacing w:after="0" w:line="252" w:lineRule="auto"/>
            </w:pPr>
            <w:r/>
            <w:r>
              <w:rPr>
                <w:rFonts w:ascii="Calibri" w:hAnsi="Calibri"/>
                <w:sz w:val="16"/>
              </w:rPr>
              <w:t>2 runs: 1 success, 1 unknown</w:t>
            </w:r>
          </w:p>
        </w:tc>
        <w:tc>
          <w:tcPr>
            <w:tcW w:type="dxa" w:w="3460"/>
            <w:vAlign w:val="center"/>
            <w:tcMar>
              <w:top w:type="dxa" w:w="80"/>
              <w:start w:type="dxa" w:w="120"/>
              <w:bottom w:type="dxa" w:w="80"/>
              <w:end w:type="dxa" w:w="120"/>
            </w:tcMar>
          </w:tcPr>
          <w:p>
            <w:pPr>
              <w:spacing w:after="0" w:line="252" w:lineRule="auto"/>
            </w:pPr>
            <w:r/>
            <w:r>
              <w:rPr>
                <w:rFonts w:ascii="Calibri" w:hAnsi="Calibri"/>
                <w:sz w:val="16"/>
              </w:rPr>
              <w:t>30-07-2026 unknown</w:t>
            </w:r>
          </w:p>
        </w:tc>
      </w:tr>
      <w:tr>
        <w:trPr>
          <w:cantSplit/>
        </w:trPr>
        <w:tc>
          <w:tcPr>
            <w:tcW w:type="dxa" w:w="900"/>
            <w:vAlign w:val="center"/>
            <w:tcMar>
              <w:top w:type="dxa" w:w="80"/>
              <w:start w:type="dxa" w:w="120"/>
              <w:bottom w:type="dxa" w:w="80"/>
              <w:end w:type="dxa" w:w="120"/>
            </w:tcMar>
          </w:tcPr>
          <w:p>
            <w:pPr>
              <w:spacing w:after="0" w:line="252" w:lineRule="auto"/>
            </w:pPr>
            <w:r/>
            <w:r>
              <w:rPr>
                <w:rFonts w:ascii="Calibri" w:hAnsi="Calibri"/>
                <w:sz w:val="16"/>
              </w:rPr>
              <w:t>TST</w:t>
            </w:r>
          </w:p>
        </w:tc>
        <w:tc>
          <w:tcPr>
            <w:tcW w:type="dxa" w:w="2800"/>
            <w:vAlign w:val="center"/>
            <w:tcMar>
              <w:top w:type="dxa" w:w="80"/>
              <w:start w:type="dxa" w:w="120"/>
              <w:bottom w:type="dxa" w:w="80"/>
              <w:end w:type="dxa" w:w="120"/>
            </w:tcMar>
          </w:tcPr>
          <w:p>
            <w:pPr>
              <w:spacing w:after="0" w:line="252" w:lineRule="auto"/>
            </w:pPr>
            <w:r/>
            <w:r>
              <w:rPr>
                <w:rFonts w:ascii="Calibri" w:hAnsi="Calibri"/>
                <w:sz w:val="16"/>
              </w:rPr>
              <w:t>maximoFourpsWorkOrder</w:t>
            </w:r>
          </w:p>
        </w:tc>
        <w:tc>
          <w:tcPr>
            <w:tcW w:type="dxa" w:w="2200"/>
            <w:vAlign w:val="center"/>
            <w:tcMar>
              <w:top w:type="dxa" w:w="80"/>
              <w:start w:type="dxa" w:w="120"/>
              <w:bottom w:type="dxa" w:w="80"/>
              <w:end w:type="dxa" w:w="120"/>
            </w:tcMar>
          </w:tcPr>
          <w:p>
            <w:pPr>
              <w:spacing w:after="0" w:line="252" w:lineRule="auto"/>
            </w:pPr>
            <w:r/>
            <w:r>
              <w:rPr>
                <w:rFonts w:ascii="Calibri" w:hAnsi="Calibri"/>
                <w:sz w:val="16"/>
              </w:rPr>
              <w:t>2 runs: 2 success</w:t>
            </w:r>
          </w:p>
        </w:tc>
        <w:tc>
          <w:tcPr>
            <w:tcW w:type="dxa" w:w="3460"/>
            <w:vAlign w:val="center"/>
            <w:tcMar>
              <w:top w:type="dxa" w:w="80"/>
              <w:start w:type="dxa" w:w="120"/>
              <w:bottom w:type="dxa" w:w="80"/>
              <w:end w:type="dxa" w:w="120"/>
            </w:tcMar>
          </w:tcPr>
          <w:p>
            <w:pPr>
              <w:spacing w:after="0" w:line="252" w:lineRule="auto"/>
            </w:pPr>
            <w:r/>
            <w:r>
              <w:rPr>
                <w:rFonts w:ascii="Calibri" w:hAnsi="Calibri"/>
                <w:sz w:val="16"/>
              </w:rPr>
              <w:t>17-06-2026 success; lange route-uitvoering, geen batchduurinterpretatie</w:t>
            </w:r>
          </w:p>
        </w:tc>
      </w:tr>
      <w:tr>
        <w:trPr>
          <w:cantSplit/>
        </w:trPr>
        <w:tc>
          <w:tcPr>
            <w:tcW w:type="dxa" w:w="900"/>
            <w:vAlign w:val="center"/>
            <w:tcMar>
              <w:top w:type="dxa" w:w="80"/>
              <w:start w:type="dxa" w:w="120"/>
              <w:bottom w:type="dxa" w:w="80"/>
              <w:end w:type="dxa" w:w="120"/>
            </w:tcMar>
          </w:tcPr>
          <w:p>
            <w:pPr>
              <w:spacing w:after="0" w:line="252" w:lineRule="auto"/>
            </w:pPr>
            <w:r/>
            <w:r>
              <w:rPr>
                <w:rFonts w:ascii="Calibri" w:hAnsi="Calibri"/>
                <w:sz w:val="16"/>
              </w:rPr>
              <w:t>TST</w:t>
            </w:r>
          </w:p>
        </w:tc>
        <w:tc>
          <w:tcPr>
            <w:tcW w:type="dxa" w:w="2800"/>
            <w:vAlign w:val="center"/>
            <w:tcMar>
              <w:top w:type="dxa" w:w="80"/>
              <w:start w:type="dxa" w:w="120"/>
              <w:bottom w:type="dxa" w:w="80"/>
              <w:end w:type="dxa" w:w="120"/>
            </w:tcMar>
          </w:tcPr>
          <w:p>
            <w:pPr>
              <w:spacing w:after="0" w:line="252" w:lineRule="auto"/>
            </w:pPr>
            <w:r/>
            <w:r>
              <w:rPr>
                <w:rFonts w:ascii="Calibri" w:hAnsi="Calibri"/>
                <w:sz w:val="16"/>
              </w:rPr>
              <w:t>Quintiq2Maximo_WorkOrderPickedUpXML_DECOMMISIONED</w:t>
            </w:r>
          </w:p>
        </w:tc>
        <w:tc>
          <w:tcPr>
            <w:tcW w:type="dxa" w:w="2200"/>
            <w:vAlign w:val="center"/>
            <w:tcMar>
              <w:top w:type="dxa" w:w="80"/>
              <w:start w:type="dxa" w:w="120"/>
              <w:bottom w:type="dxa" w:w="80"/>
              <w:end w:type="dxa" w:w="120"/>
            </w:tcMar>
          </w:tcPr>
          <w:p>
            <w:pPr>
              <w:spacing w:after="0" w:line="252" w:lineRule="auto"/>
            </w:pPr>
            <w:r/>
            <w:r>
              <w:rPr>
                <w:rFonts w:ascii="Calibri" w:hAnsi="Calibri"/>
                <w:sz w:val="16"/>
              </w:rPr>
              <w:t>Geen runs</w:t>
            </w:r>
          </w:p>
        </w:tc>
        <w:tc>
          <w:tcPr>
            <w:tcW w:type="dxa" w:w="3460"/>
            <w:vAlign w:val="center"/>
            <w:tcMar>
              <w:top w:type="dxa" w:w="80"/>
              <w:start w:type="dxa" w:w="120"/>
              <w:bottom w:type="dxa" w:w="80"/>
              <w:end w:type="dxa" w:w="120"/>
            </w:tcMar>
          </w:tcPr>
          <w:p>
            <w:pPr>
              <w:spacing w:after="0" w:line="252" w:lineRule="auto"/>
            </w:pPr>
            <w:r/>
            <w:r>
              <w:rPr>
                <w:rFonts w:ascii="Calibri" w:hAnsi="Calibri"/>
                <w:sz w:val="16"/>
              </w:rPr>
              <w:t>Taak staat wel als active in inventaris; lifecycle/governance-tegenstrijdigheid</w:t>
            </w:r>
          </w:p>
        </w:tc>
      </w:tr>
    </w:tbl>
    <w:p>
      <w:pPr>
        <w:spacing w:after="0"/>
      </w:pPr>
    </w:p>
    <w:p>
      <w:pPr>
        <w:spacing w:after="120" w:line="264" w:lineRule="auto"/>
      </w:pPr>
      <w:r>
        <w:rPr>
          <w:rFonts w:ascii="Calibri" w:hAnsi="Calibri"/>
          <w:i w:val="0"/>
          <w:sz w:val="22"/>
        </w:rPr>
        <w:t>De runtimekoppeling gebruikt exacte naamovereenkomst; runtime_job_scan_maps bevat voor dit project nog geen formele scan-naar-TMC-koppelingen. Langlopende routejobs hebben looptijden van dagen of weken en zijn daarom niet vergelijkbaar met batchjobs. De TMC-selectie bevat geen taken voor AssetCheck, Infor, Ortec/Vialis of FlexTunnel. Dat bewijst niet dat die ketens buiten gebruik zijn; alleen dat zij niet door deze WerkOrder-runtimebron zijn afgedekt.</w:t>
      </w:r>
    </w:p>
    <w:p>
      <w:pPr>
        <w:spacing w:after="120" w:line="264" w:lineRule="auto"/>
      </w:pPr>
      <w:r>
        <w:rPr>
          <w:rFonts w:ascii="Calibri" w:hAnsi="Calibri"/>
          <w:b/>
          <w:i w:val="0"/>
          <w:color w:val="17365D"/>
          <w:sz w:val="22"/>
        </w:rPr>
        <w:t xml:space="preserve">Freshnessgrens. </w:t>
      </w:r>
      <w:r>
        <w:rPr>
          <w:rFonts w:ascii="Calibri" w:hAnsi="Calibri"/>
          <w:i w:val="0"/>
          <w:sz w:val="22"/>
        </w:rPr>
        <w:t>De laatste succesvolle synchronisatie was 16 augustus 2026 om 22:14 UTC. De bron vw_TMC is op 17 augustus na drie ConnectError-transportfouten automatisch uitgeschakeld. Claims over activiteit na 16 augustus vereisen een herstelde synchronisatie.</w:t>
      </w:r>
    </w:p>
    <w:p>
      <w:pPr>
        <w:spacing w:after="120" w:line="264" w:lineRule="auto"/>
      </w:pPr>
      <w:r>
        <w:rPr>
          <w:rFonts w:ascii="Calibri" w:hAnsi="Calibri"/>
          <w:i/>
          <w:sz w:val="22"/>
        </w:rPr>
        <w:t>Bronbasis: [S4] runtime_sources, runtime_jobs, runtime_job_runs, runtime_failures, runtime_plans en runtime_error_signatures.</w:t>
      </w:r>
    </w:p>
    <w:p>
      <w:pPr>
        <w:pStyle w:val="Heading1"/>
      </w:pPr>
      <w:r>
        <w:t>4. Wat het VWI-kader voor WerkOrder vereist</w:t>
      </w:r>
    </w:p>
    <w:p>
      <w:pPr>
        <w:spacing w:before="0" w:after="120" w:line="264" w:lineRule="auto"/>
      </w:pPr>
      <w:r>
        <w:rPr>
          <w:rFonts w:ascii="Calibri" w:hAnsi="Calibri"/>
          <w:i w:val="0"/>
          <w:color w:val="111111"/>
          <w:sz w:val="22"/>
        </w:rPr>
        <w:t>De twee VWI-documenten formuleren een duidelijke ontwerprichting. Operationele systeemcommunicatie loopt via de integratielaag, bevat geen businesslogica in die laag en gebruikt business events als standaard voor betekenisvolle state changes. Synchrone API's zijn alleen passend wanneer directe interactie functioneel noodzakelijk is.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F2F4F7"/>
            <w:tcMar>
              <w:top w:w="100" w:type="dxa"/>
              <w:start w:w="120" w:type="dxa"/>
              <w:bottom w:w="100" w:type="dxa"/>
              <w:end w:w="120" w:type="dxa"/>
            </w:tcMar>
            <w:vAlign w:val="center"/>
          </w:tcPr>
          <w:p>
            <w:pPr>
              <w:spacing w:after="0"/>
              <w:jc w:val="left"/>
            </w:pPr>
            <w:r>
              <w:rPr>
                <w:rFonts w:ascii="Calibri" w:hAnsi="Calibri"/>
                <w:b/>
                <w:color w:val="17365D"/>
                <w:sz w:val="18"/>
              </w:rPr>
              <w:t>VWI-eis</w:t>
            </w:r>
          </w:p>
        </w:tc>
        <w:tc>
          <w:tcPr>
            <w:tcW w:type="dxa" w:w="7360"/>
            <w:shd w:fill="F2F4F7"/>
            <w:tcMar>
              <w:top w:w="100" w:type="dxa"/>
              <w:start w:w="120" w:type="dxa"/>
              <w:bottom w:w="100" w:type="dxa"/>
              <w:end w:w="120" w:type="dxa"/>
            </w:tcMar>
            <w:vAlign w:val="center"/>
          </w:tcPr>
          <w:p>
            <w:pPr>
              <w:spacing w:after="0"/>
              <w:jc w:val="left"/>
            </w:pPr>
            <w:r>
              <w:rPr>
                <w:rFonts w:ascii="Calibri" w:hAnsi="Calibri"/>
                <w:b/>
                <w:color w:val="17365D"/>
                <w:sz w:val="18"/>
              </w:rPr>
              <w:t>Betekenis voor het WerkOrder-herontwerp</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AP-01 en AIS</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Geen nieuwe directe point-to-pointketens; bron- en doeladapters via de integratiecapability.</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AP-02</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Statusbesluiten, planningselecties en proceskeuzes horen bij verantwoordelijke domeinen, niet verborgen in integratielogica.</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AP-03 t/m AP-05</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State changes via push/events; API alleen voor noodzakelijke query/command; ETL/pull niet als standaard voor operationele uitwisseling.</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AP-06 t/m AP-09</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Alleen extern relevante businessgebeurtenissen; eenduidige naam, passende payload en gestandaardiseerde CloudEvents/BEDDA-context.</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AP-10 t/m AP-12</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Bron -&gt; VWIIM/canonical -&gt; doel; authoritative state change expliciet; applicatie-interne tabellen niet als verborgen contract.</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AP-13 t/m AP-17</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Idempotentie, RMS/replay, monitoring, technisch event-id en expliciet geversioneerde contracten.</w:t>
            </w:r>
          </w:p>
        </w:tc>
      </w:tr>
      <w:tr>
        <w:trPr>
          <w:cantSplit/>
        </w:trPr>
        <w:tc>
          <w:tcPr>
            <w:tcW w:type="dxa" w:w="2000"/>
            <w:tcMar>
              <w:top w:w="100" w:type="dxa"/>
              <w:start w:w="120" w:type="dxa"/>
              <w:bottom w:w="100" w:type="dxa"/>
              <w:end w:w="120" w:type="dxa"/>
            </w:tcMar>
            <w:vAlign w:val="center"/>
          </w:tcPr>
          <w:p>
            <w:pPr>
              <w:spacing w:after="0" w:line="252" w:lineRule="auto"/>
              <w:jc w:val="left"/>
            </w:pPr>
            <w:r>
              <w:rPr>
                <w:rFonts w:ascii="Calibri" w:hAnsi="Calibri"/>
                <w:sz w:val="18"/>
              </w:rPr>
              <w:t>AP-18 t/m AP-21</w:t>
            </w:r>
          </w:p>
        </w:tc>
        <w:tc>
          <w:tcPr>
            <w:tcW w:type="dxa" w:w="7360"/>
            <w:tcMar>
              <w:top w:w="100" w:type="dxa"/>
              <w:start w:w="120" w:type="dxa"/>
              <w:bottom w:w="100" w:type="dxa"/>
              <w:end w:w="120" w:type="dxa"/>
            </w:tcMar>
            <w:vAlign w:val="center"/>
          </w:tcPr>
          <w:p>
            <w:pPr>
              <w:spacing w:after="0" w:line="252" w:lineRule="auto"/>
              <w:jc w:val="left"/>
            </w:pPr>
            <w:r>
              <w:rPr>
                <w:rFonts w:ascii="Calibri" w:hAnsi="Calibri"/>
                <w:sz w:val="18"/>
              </w:rPr>
              <w:t>Lifecycle, ownership, comply-or-explain en geen project-specifieke interpretatie van principes.</w:t>
            </w:r>
          </w:p>
        </w:tc>
      </w:tr>
    </w:tbl>
    <w:p>
      <w:pPr>
        <w:spacing w:after="0"/>
      </w:pPr>
    </w:p>
    <w:p>
      <w:pPr>
        <w:spacing w:before="0" w:after="120" w:line="264" w:lineRule="auto"/>
      </w:pPr>
      <w:r>
        <w:rPr>
          <w:rFonts w:ascii="Calibri" w:hAnsi="Calibri"/>
          <w:i w:val="0"/>
          <w:color w:val="111111"/>
          <w:sz w:val="22"/>
        </w:rPr>
        <w:t>Voor BEDDA onderscheidt VWI Decision-, Transaction- en Transgression-events. De eventnaam volgt [Context/Scope] + [Business Object] + [Actie/Resultaat]. De header bevat minimaal technische CloudEvents-velden plus eventName, eventType, businessObject, herkomst, businessfunctie, correlationId en externalIdentifiers. Een werkordernummer is dus een business key/external identifier en niet de technische event-id.</w:t>
      </w:r>
    </w:p>
    <w:p>
      <w:pPr>
        <w:spacing w:before="80" w:after="120" w:line="252" w:lineRule="auto"/>
      </w:pPr>
      <w:r>
        <w:rPr>
          <w:rFonts w:ascii="Calibri" w:hAnsi="Calibri"/>
          <w:i/>
          <w:color w:val="5B6778"/>
          <w:sz w:val="18"/>
        </w:rPr>
        <w:t>Bronbasis: [S2] p. 12-25 en p. 27-31; [S3] p. 4-10, p. 13-29 en p. 30-32.</w:t>
      </w:r>
    </w:p>
    <w:p>
      <w:pPr>
        <w:pStyle w:val="Heading1"/>
      </w:pPr>
      <w:r>
        <w:t>5. Feitelijk WerkOrder-landschap</w:t>
      </w:r>
    </w:p>
    <w:p>
      <w:pPr>
        <w:spacing w:before="0" w:after="120" w:line="264" w:lineRule="auto"/>
      </w:pPr>
      <w:r>
        <w:rPr>
          <w:rFonts w:ascii="Calibri" w:hAnsi="Calibri"/>
          <w:i w:val="0"/>
          <w:color w:val="111111"/>
          <w:sz w:val="22"/>
        </w:rPr>
        <w:t>De scan groepeert de WerkOrder-uitwisseling in zeven primaire ketenclusters en twee aangrenzende capabilities. De grenzen hieronder zijn functioneel; een cluster kan uit meerdere Talend-jobs, routes, files, queues en databases bestaan.</w:t>
      </w:r>
    </w:p>
    <w:tbl>
      <w:tblPr>
        <w:tblStyle w:val="TableGrid"/>
        <w:tblW w:type="dxa" w:w="9360"/>
        <w:jc w:val="left"/>
        <w:tblLayout w:type="fixed"/>
        <w:tblLook w:firstColumn="1" w:firstRow="1" w:lastColumn="0" w:lastRow="0" w:noHBand="0" w:noVBand="1" w:val="04A0"/>
        <w:tblInd w:w="120" w:type="dxa"/>
      </w:tblPr>
      <w:tblGrid>
        <w:gridCol w:w="2150"/>
        <w:gridCol w:w="3950"/>
        <w:gridCol w:w="3260"/>
      </w:tblGrid>
      <w:tr>
        <w:trPr>
          <w:tblHeader w:val="true"/>
          <w:cantSplit/>
        </w:trPr>
        <w:tc>
          <w:tcPr>
            <w:tcW w:type="dxa" w:w="2150"/>
            <w:shd w:fill="F2F4F7"/>
            <w:tcMar>
              <w:top w:w="100" w:type="dxa"/>
              <w:start w:w="120" w:type="dxa"/>
              <w:bottom w:w="100" w:type="dxa"/>
              <w:end w:w="120" w:type="dxa"/>
            </w:tcMar>
            <w:vAlign w:val="center"/>
          </w:tcPr>
          <w:p>
            <w:pPr>
              <w:spacing w:after="0"/>
              <w:jc w:val="left"/>
            </w:pPr>
            <w:r>
              <w:rPr>
                <w:rFonts w:ascii="Calibri" w:hAnsi="Calibri"/>
                <w:b/>
                <w:color w:val="17365D"/>
                <w:sz w:val="17"/>
              </w:rPr>
              <w:t>Ketencluster</w:t>
            </w:r>
          </w:p>
        </w:tc>
        <w:tc>
          <w:tcPr>
            <w:tcW w:type="dxa" w:w="3950"/>
            <w:shd w:fill="F2F4F7"/>
            <w:tcMar>
              <w:top w:w="100" w:type="dxa"/>
              <w:start w:w="120" w:type="dxa"/>
              <w:bottom w:w="100" w:type="dxa"/>
              <w:end w:w="120" w:type="dxa"/>
            </w:tcMar>
            <w:vAlign w:val="center"/>
          </w:tcPr>
          <w:p>
            <w:pPr>
              <w:spacing w:after="0"/>
              <w:jc w:val="left"/>
            </w:pPr>
            <w:r>
              <w:rPr>
                <w:rFonts w:ascii="Calibri" w:hAnsi="Calibri"/>
                <w:b/>
                <w:color w:val="17365D"/>
                <w:sz w:val="17"/>
              </w:rPr>
              <w:t>Feitelijk zichtbare uitwisseling</w:t>
            </w:r>
          </w:p>
        </w:tc>
        <w:tc>
          <w:tcPr>
            <w:tcW w:type="dxa" w:w="3260"/>
            <w:shd w:fill="F2F4F7"/>
            <w:tcMar>
              <w:top w:w="100" w:type="dxa"/>
              <w:start w:w="120" w:type="dxa"/>
              <w:bottom w:w="100" w:type="dxa"/>
              <w:end w:w="120" w:type="dxa"/>
            </w:tcMar>
            <w:vAlign w:val="center"/>
          </w:tcPr>
          <w:p>
            <w:pPr>
              <w:spacing w:after="0"/>
              <w:jc w:val="left"/>
            </w:pPr>
            <w:r>
              <w:rPr>
                <w:rFonts w:ascii="Calibri" w:hAnsi="Calibri"/>
                <w:b/>
                <w:color w:val="17365D"/>
                <w:sz w:val="17"/>
              </w:rPr>
              <w:t>Huidige technische vorm</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Maximo &lt;-&gt; Quintiq</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Brede WerkOrder-aanlevering en planningsterugmelding/pickup</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File polling, MSSQL, XML, route/job</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Maximo -&gt; RHM -&gt; Smartflow</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Kern/status naar RHM; werk, planning en resources naar Smartflow; realisatie terug</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REST/MSSQL, XML/SOAP, stored processing</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Maximo &lt;-&gt; AssetCheck/VISE</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WerkOrder query/send/update, locaties, service requests en uitvoeringsupdates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REST, files, MSSQL, SOAP en achtergrondprocessen</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Infor/InforOSK &lt;-&gt; Maximo</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Nieuwe/gesloten WerkOrders en aanvullende uren/kosten</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XML/files, SOAP, MSSQL processtate</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Ortec/Vialis planning</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Gepland direct/indirect, gewijzigd, geannuleerd en werkbonupdates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File/JMS/SOAP routes en enrichment</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Maximo -&gt; 4PS</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WerkOrder/project-financecontext naar 4PS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JMS, routefilters en embedded Talend-job</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FlexTunnel &lt;-&gt; Maximo</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WerkOrderreferentie, schade/inspectie, status en uitvoering</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REST, files, MSSQL lookups en HTTP</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RHM/Smartflow/VSUren</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Realisatie, medewerkers, machines, toeslagen en uren</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MSSQL/XML/SOAP/REST; deels WerkOrder-adjacent</w:t>
            </w:r>
          </w:p>
        </w:tc>
      </w:tr>
      <w:tr>
        <w:trPr>
          <w:cantSplit/>
        </w:trPr>
        <w:tc>
          <w:tcPr>
            <w:tcW w:type="dxa" w:w="2150"/>
            <w:tcMar>
              <w:top w:w="100" w:type="dxa"/>
              <w:start w:w="120" w:type="dxa"/>
              <w:bottom w:w="100" w:type="dxa"/>
              <w:end w:w="120" w:type="dxa"/>
            </w:tcMar>
            <w:vAlign w:val="center"/>
          </w:tcPr>
          <w:p>
            <w:pPr>
              <w:spacing w:after="0" w:line="252" w:lineRule="auto"/>
              <w:jc w:val="left"/>
            </w:pPr>
            <w:r>
              <w:rPr>
                <w:rFonts w:ascii="Calibri" w:hAnsi="Calibri"/>
                <w:sz w:val="17"/>
              </w:rPr>
              <w:t>VISE/SharePoint</w:t>
            </w:r>
          </w:p>
        </w:tc>
        <w:tc>
          <w:tcPr>
            <w:tcW w:type="dxa" w:w="3950"/>
            <w:tcMar>
              <w:top w:w="100" w:type="dxa"/>
              <w:start w:w="120" w:type="dxa"/>
              <w:bottom w:w="100" w:type="dxa"/>
              <w:end w:w="120" w:type="dxa"/>
            </w:tcMar>
            <w:vAlign w:val="center"/>
          </w:tcPr>
          <w:p>
            <w:pPr>
              <w:spacing w:after="0" w:line="252" w:lineRule="auto"/>
              <w:jc w:val="left"/>
            </w:pPr>
            <w:r>
              <w:rPr>
                <w:rFonts w:ascii="Calibri" w:hAnsi="Calibri"/>
                <w:sz w:val="17"/>
              </w:rPr>
              <w:t>Project- en uitvoeringsdocumentatie/synchronisatie</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SOAP/REST/files; relatie met WerkOrder niet volledig veldmatig bewezen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2F8"/>
          </w:tcPr>
          <w:p>
            <w:pPr>
              <w:spacing w:after="0" w:line="264" w:lineRule="auto"/>
            </w:pPr>
            <w:r>
              <w:rPr>
                <w:rFonts w:ascii="Calibri" w:hAnsi="Calibri"/>
                <w:b/>
                <w:color w:val="17365D"/>
                <w:sz w:val="22"/>
              </w:rPr>
              <w:t xml:space="preserve">Belangrijk: </w:t>
            </w:r>
            <w:r>
              <w:rPr>
                <w:rFonts w:ascii="Calibri" w:hAnsi="Calibri"/>
                <w:sz w:val="22"/>
              </w:rPr>
              <w:t>Een Talend-job is geen businesscapability. Route, hoofdjob, subjob, loggingjob en retryjob kunnen samen een enkele informatie-uitwisseling vormen. Rationalisatie moet daarom per keten/capability gebeuren, niet per bestandsnaam.</w:t>
            </w:r>
          </w:p>
        </w:tc>
      </w:tr>
    </w:tbl>
    <w:p>
      <w:pPr>
        <w:spacing w:after="0"/>
      </w:pPr>
    </w:p>
    <w:p>
      <w:pPr>
        <w:pStyle w:val="Heading1"/>
      </w:pPr>
      <w:r>
        <w:t>6. Welke WerkOrder-informatie wordt uitgewisseld?</w:t>
      </w:r>
    </w:p>
    <w:p>
      <w:pPr>
        <w:spacing w:before="0" w:after="120" w:line="264" w:lineRule="auto"/>
      </w:pPr>
      <w:r>
        <w:rPr>
          <w:rFonts w:ascii="Calibri" w:hAnsi="Calibri"/>
          <w:i w:val="0"/>
          <w:color w:val="111111"/>
          <w:sz w:val="22"/>
        </w:rPr>
        <w:t>Uit de mappings, XML-velden en SQL volgt een samenhangend maar versnipperd objectbeeld. Niet iedere keten gebruikt alle segmenten.</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trPr>
        <w:tc>
          <w:tcPr>
            <w:tcW w:type="dxa" w:w="1800"/>
            <w:shd w:fill="F2F4F7"/>
            <w:tcMar>
              <w:top w:w="100" w:type="dxa"/>
              <w:start w:w="120" w:type="dxa"/>
              <w:bottom w:w="100" w:type="dxa"/>
              <w:end w:w="120" w:type="dxa"/>
            </w:tcMar>
            <w:vAlign w:val="center"/>
          </w:tcPr>
          <w:p>
            <w:pPr>
              <w:spacing w:after="0"/>
              <w:jc w:val="left"/>
            </w:pPr>
            <w:r>
              <w:rPr>
                <w:rFonts w:ascii="Calibri" w:hAnsi="Calibri"/>
                <w:b/>
                <w:color w:val="17365D"/>
                <w:sz w:val="17"/>
              </w:rPr>
              <w:t>Segment</w:t>
            </w:r>
          </w:p>
        </w:tc>
        <w:tc>
          <w:tcPr>
            <w:tcW w:type="dxa" w:w="3800"/>
            <w:shd w:fill="F2F4F7"/>
            <w:tcMar>
              <w:top w:w="100" w:type="dxa"/>
              <w:start w:w="120" w:type="dxa"/>
              <w:bottom w:w="100" w:type="dxa"/>
              <w:end w:w="120" w:type="dxa"/>
            </w:tcMar>
            <w:vAlign w:val="center"/>
          </w:tcPr>
          <w:p>
            <w:pPr>
              <w:spacing w:after="0"/>
              <w:jc w:val="left"/>
            </w:pPr>
            <w:r>
              <w:rPr>
                <w:rFonts w:ascii="Calibri" w:hAnsi="Calibri"/>
                <w:b/>
                <w:color w:val="17365D"/>
                <w:sz w:val="17"/>
              </w:rPr>
              <w:t>Aantoonbare bronvelden/constructies</w:t>
            </w:r>
          </w:p>
        </w:tc>
        <w:tc>
          <w:tcPr>
            <w:tcW w:type="dxa" w:w="3760"/>
            <w:shd w:fill="F2F4F7"/>
            <w:tcMar>
              <w:top w:w="100" w:type="dxa"/>
              <w:start w:w="120" w:type="dxa"/>
              <w:bottom w:w="100" w:type="dxa"/>
              <w:end w:w="120" w:type="dxa"/>
            </w:tcMar>
            <w:vAlign w:val="center"/>
          </w:tcPr>
          <w:p>
            <w:pPr>
              <w:spacing w:after="0"/>
              <w:jc w:val="left"/>
            </w:pPr>
            <w:r>
              <w:rPr>
                <w:rFonts w:ascii="Calibri" w:hAnsi="Calibri"/>
                <w:b/>
                <w:color w:val="17365D"/>
                <w:sz w:val="17"/>
              </w:rPr>
              <w:t>Semantische kandidaat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Identiteit</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WONUM, WorkOrderNr, JOBNUM, external identifiers</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Stabiele WerkOrder-business key met bron-/sitecontext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Omschrijving</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DESCRIPTION, Description, Name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Opdrachtomschrijving of titel</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Lifecycle/status</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STATUS, StatusDate, changedate, HISTORYFLAG, QQProcessed</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Status, statusmoment en historische/technische verwerkingsmarkering</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Planning</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TARGSTARTDATE, TARGCOMPDATE, SCHEDSTART, SCHEDFINISH, ESTDUR, Cycle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Doeldata, geplande data, duur en planningresultaat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Organisatie/locatie</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ORGID, SITEID, LOCATION, WOLO5/GEOCode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Administratieve context, site en uitvoeringslocatie</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Classificatie</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WORKTYPE, WO3/TechnicalField, WOTYPE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Werksoort, technische discipline of lokaal type</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Hierarchie</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PARENT</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Parent-childrelatie tussen WerkOrders</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Project/monitoring</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GLACCOUNT/ProjectNr, BC/MonitoringCode, WOLO4/ContractArea</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Project-, kosten-, monitoring- of contractrelatie</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Rollen</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LEAD, SUPERVISOR, employee/personnel references</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Verantwoordelijke en uitvoerende rollen</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Uitvoering/realisatie</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DamageCode, Result, FinishDate, realization, machine/employee</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Uitvoeringsfeedback, schade, voortgang en gerealiseerde inzet</w:t>
            </w:r>
          </w:p>
        </w:tc>
      </w:tr>
      <w:tr>
        <w:trPr>
          <w:cantSplit/>
        </w:trPr>
        <w:tc>
          <w:tcPr>
            <w:tcW w:type="dxa" w:w="1800"/>
            <w:tcMar>
              <w:top w:w="100" w:type="dxa"/>
              <w:start w:w="120" w:type="dxa"/>
              <w:bottom w:w="100" w:type="dxa"/>
              <w:end w:w="120" w:type="dxa"/>
            </w:tcMar>
            <w:vAlign w:val="center"/>
          </w:tcPr>
          <w:p>
            <w:pPr>
              <w:spacing w:after="0" w:line="252" w:lineRule="auto"/>
              <w:jc w:val="left"/>
            </w:pPr>
            <w:r>
              <w:rPr>
                <w:rFonts w:ascii="Calibri" w:hAnsi="Calibri"/>
                <w:sz w:val="17"/>
              </w:rPr>
              <w:t>Financieel</w:t>
            </w:r>
          </w:p>
        </w:tc>
        <w:tc>
          <w:tcPr>
            <w:tcW w:type="dxa" w:w="3800"/>
            <w:tcMar>
              <w:top w:w="100" w:type="dxa"/>
              <w:start w:w="120" w:type="dxa"/>
              <w:bottom w:w="100" w:type="dxa"/>
              <w:end w:w="120" w:type="dxa"/>
            </w:tcMar>
            <w:vAlign w:val="center"/>
          </w:tcPr>
          <w:p>
            <w:pPr>
              <w:spacing w:after="0" w:line="252" w:lineRule="auto"/>
              <w:jc w:val="left"/>
            </w:pPr>
            <w:r>
              <w:rPr>
                <w:rFonts w:ascii="Calibri" w:hAnsi="Calibri"/>
                <w:sz w:val="17"/>
              </w:rPr>
              <w:t>NORMALHOURS, ADDITIONALCOST, WBS-, agreement- en customercontext</w:t>
            </w:r>
          </w:p>
        </w:tc>
        <w:tc>
          <w:tcPr>
            <w:tcW w:type="dxa" w:w="3760"/>
            <w:tcMar>
              <w:top w:w="100" w:type="dxa"/>
              <w:start w:w="120" w:type="dxa"/>
              <w:bottom w:w="100" w:type="dxa"/>
              <w:end w:w="120" w:type="dxa"/>
            </w:tcMar>
            <w:vAlign w:val="center"/>
          </w:tcPr>
          <w:p>
            <w:pPr>
              <w:spacing w:after="0" w:line="252" w:lineRule="auto"/>
              <w:jc w:val="left"/>
            </w:pPr>
            <w:r>
              <w:rPr>
                <w:rFonts w:ascii="Calibri" w:hAnsi="Calibri"/>
                <w:sz w:val="17"/>
              </w:rPr>
              <w:t>Uren, kosten, projectstructuur en klant/overeenkomst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CE"/>
          </w:tcPr>
          <w:p>
            <w:pPr>
              <w:spacing w:after="0" w:line="264" w:lineRule="auto"/>
            </w:pPr>
            <w:r>
              <w:rPr>
                <w:rFonts w:ascii="Calibri" w:hAnsi="Calibri"/>
                <w:b/>
                <w:color w:val="17365D"/>
                <w:sz w:val="22"/>
              </w:rPr>
              <w:t xml:space="preserve">VWIIM-grens: </w:t>
            </w:r>
            <w:r>
              <w:rPr>
                <w:rFonts w:ascii="Calibri" w:hAnsi="Calibri"/>
                <w:sz w:val="22"/>
              </w:rPr>
              <w:t>Deze segmenten zijn semantische kandidaten. Zonder het officiele VWIIM WerkOrder-object zijn propertynamen, cardinaliteiten, codelijsten, verplichtheid en formeel attribuutownership niet vast te stellen.</w:t>
            </w:r>
          </w:p>
        </w:tc>
      </w:tr>
    </w:tbl>
    <w:p>
      <w:pPr>
        <w:spacing w:after="0"/>
      </w:pPr>
    </w:p>
    <w:p>
      <w:pPr>
        <w:pStyle w:val="Heading1"/>
      </w:pPr>
      <w:r>
        <w:t>7. Analyse per ketencluster</w:t>
      </w:r>
    </w:p>
    <w:p>
      <w:pPr>
        <w:pStyle w:val="Heading2"/>
      </w:pPr>
      <w:r>
        <w:t>7.1 Maximo &lt;-&gt; Quintiq: planning als afzonderlijk segment</w:t>
      </w:r>
    </w:p>
    <w:p>
      <w:pPr>
        <w:spacing w:before="0" w:after="120" w:line="264" w:lineRule="auto"/>
      </w:pPr>
      <w:r>
        <w:rPr>
          <w:rFonts w:ascii="Calibri" w:hAnsi="Calibri"/>
          <w:i w:val="0"/>
          <w:color w:val="111111"/>
          <w:sz w:val="22"/>
        </w:rPr>
        <w:t>Vastgesteld. Maximo2Quintiq_Workorder mapt een brede WerkOrderdoorsnede: WONUM, GLACCOUNT, BC, doelstart/-einde, omschrijving, status, locatie, werksoort, site, remarks, shift/contractcontext en LEAD/SUPERVISOR. De huidige route leest files en roept een Talend-job aan.</w:t>
      </w:r>
    </w:p>
    <w:p>
      <w:pPr>
        <w:spacing w:before="0" w:after="120" w:line="264" w:lineRule="auto"/>
      </w:pPr>
      <w:r>
        <w:rPr>
          <w:rFonts w:ascii="Calibri" w:hAnsi="Calibri"/>
          <w:i w:val="0"/>
          <w:color w:val="111111"/>
          <w:sz w:val="22"/>
        </w:rPr>
        <w:t>Vastgesteld. Quintiq2Maximo_PlannedWorkOrder selecteert alleen gewijzigde WorkOrders met TriggerType='Workorder', status WOP, minimaal een vrijgegeven CapacityTask en geen delete request. BC, SCHEDSTART, SCHEDFINISH en WOPM6 worden uit WorkPackage/CapacityTask afgeleid, inclusief fallbacklogica.</w:t>
      </w:r>
    </w:p>
    <w:p>
      <w:pPr>
        <w:spacing w:before="0" w:after="120" w:line="264" w:lineRule="auto"/>
      </w:pPr>
      <w:r>
        <w:rPr>
          <w:rFonts w:ascii="Calibri" w:hAnsi="Calibri"/>
          <w:i w:val="0"/>
          <w:color w:val="111111"/>
          <w:sz w:val="22"/>
        </w:rPr>
        <w:t>Duiding. Dit zijn minimaal twee capabilities: een planningopdracht en een planningresultaat. WOP-selectie, released-capacity en fallbackdata zijn businessachtige regels en moeten door planning/operations worden bevestigd. LastRunDateTime, ProcessData, files en processed markers zijn technische implementatie.</w:t>
      </w:r>
    </w:p>
    <w:p>
      <w:pPr>
        <w:spacing w:before="0" w:after="120" w:line="264" w:lineRule="auto"/>
      </w:pPr>
      <w:r>
        <w:rPr>
          <w:rFonts w:ascii="Calibri" w:hAnsi="Calibri"/>
          <w:i w:val="0"/>
          <w:color w:val="111111"/>
          <w:sz w:val="22"/>
        </w:rPr>
        <w:t>Ontwerprichting. Gebruik een VWIIM-afgeleid planningsegment. Overweeg een Decision-event voor een expliciet vrijgegeven planningopdracht en een Transaction-event voor een gerealiseerd planningresultaat. Gebruik een API alleen wanneer een planner direct actuele detailinformatie moet opvragen.</w:t>
      </w:r>
    </w:p>
    <w:p>
      <w:pPr>
        <w:spacing w:before="80" w:after="120" w:line="252" w:lineRule="auto"/>
      </w:pPr>
      <w:r>
        <w:rPr>
          <w:rFonts w:ascii="Calibri" w:hAnsi="Calibri"/>
          <w:i/>
          <w:color w:val="5B6778"/>
          <w:sz w:val="18"/>
        </w:rPr>
        <w:t>Bronbasis: [S1] Maximo2Quintiq_Workorder, Maximo2Quintiq_Workorder_Route, Quintiq2Maximo_PlannedWorkOrder en WorkOrderPickedUpXML.</w:t>
      </w:r>
    </w:p>
    <w:p>
      <w:pPr>
        <w:spacing w:after="120" w:line="264" w:lineRule="auto"/>
      </w:pPr>
      <w:r>
        <w:rPr>
          <w:rFonts w:ascii="Calibri" w:hAnsi="Calibri"/>
          <w:b/>
          <w:i w:val="0"/>
          <w:color w:val="17365D"/>
          <w:sz w:val="22"/>
        </w:rPr>
        <w:t xml:space="preserve">Runtimebewijs [S4]. </w:t>
      </w:r>
      <w:r>
        <w:rPr>
          <w:rFonts w:ascii="Calibri" w:hAnsi="Calibri"/>
          <w:i w:val="0"/>
          <w:sz w:val="22"/>
        </w:rPr>
        <w:t>Quintiq2Maximo_PlannedWorkOrder is in PROD met 597 van 597 succesvolle runs aangetoond. Maximo2Quintiq_Workorder_Route is binnen de geselecteerde TMC-bron alleen in ACC en TST zichtbaar; de laatste ACC-run faalde op 10 augustus. Productiegebruik van de heenrichting is daarmee niet bewezen.</w:t>
      </w:r>
    </w:p>
    <w:p>
      <w:pPr>
        <w:pStyle w:val="Heading2"/>
      </w:pPr>
      <w:r>
        <w:t>7.2 Maximo -&gt; RHM -&gt; Smartflow: uitvoering en realisatie</w:t>
      </w:r>
    </w:p>
    <w:p>
      <w:pPr>
        <w:spacing w:before="0" w:after="120" w:line="264" w:lineRule="auto"/>
      </w:pPr>
      <w:r>
        <w:rPr>
          <w:rFonts w:ascii="Calibri" w:hAnsi="Calibri"/>
          <w:i w:val="0"/>
          <w:color w:val="111111"/>
          <w:sz w:val="22"/>
        </w:rPr>
        <w:t>Vastgesteld. Maximo2RHM_Workorders draagt een compact profiel over: WorkOrderNr, OrgId, SiteId, Description, Status, StatusDate, HistoryFlag, Parent, ProjectNr en MonitoringCode. De job gebruikt een API-bron, MSSQL-staging, last-runstate en een stored procedure.</w:t>
      </w:r>
    </w:p>
    <w:p>
      <w:pPr>
        <w:spacing w:before="0" w:after="120" w:line="264" w:lineRule="auto"/>
      </w:pPr>
      <w:r>
        <w:rPr>
          <w:rFonts w:ascii="Calibri" w:hAnsi="Calibri"/>
          <w:i w:val="0"/>
          <w:color w:val="111111"/>
          <w:sz w:val="22"/>
        </w:rPr>
        <w:t>Vastgesteld. RHM2Smartflow_Workorders verzendt WorkOrderNr, Description, Status, StatusDate, ProjectNr en MonitoringCode via XML/webservice en verwerkt afzonderlijk nieuwe en verwijderde orders. De keten bevat daarnaast planning, projecten, medewerkers, machines en kwalificaties; Smartflow levert realisatie en vraagresultaten terug.</w:t>
      </w:r>
    </w:p>
    <w:p>
      <w:pPr>
        <w:spacing w:before="0" w:after="120" w:line="264" w:lineRule="auto"/>
      </w:pPr>
      <w:r>
        <w:rPr>
          <w:rFonts w:ascii="Calibri" w:hAnsi="Calibri"/>
          <w:i w:val="0"/>
          <w:color w:val="111111"/>
          <w:sz w:val="22"/>
        </w:rPr>
        <w:t>Duiding. WerkOrder-kern, uitvoeringsopdracht, resourcecontext en realisatie zijn verschillende segmenten met mogelijk verschillende auteurs. SendToSmartFlow en HistoryFlag kunnen technische synchronisatiestate zijn en horen niet zonder validatie in het canonical WerkOrder-object.</w:t>
      </w:r>
    </w:p>
    <w:p>
      <w:pPr>
        <w:spacing w:before="0" w:after="120" w:line="264" w:lineRule="auto"/>
      </w:pPr>
      <w:r>
        <w:rPr>
          <w:rFonts w:ascii="Calibri" w:hAnsi="Calibri"/>
          <w:i w:val="0"/>
          <w:color w:val="111111"/>
          <w:sz w:val="22"/>
        </w:rPr>
        <w:t>Ontwerprichting. Scheid WerkOrderReleasedForExecution, planning/resourcecontext en ExecutionReported als afzonderlijke contracten of events. Leg vast of delete werkelijk verwijdering betekent of een lifecycle-state change zoals ingetrokken/geannuleerd.</w:t>
      </w:r>
    </w:p>
    <w:p>
      <w:pPr>
        <w:spacing w:before="80" w:after="120" w:line="252" w:lineRule="auto"/>
      </w:pPr>
      <w:r>
        <w:rPr>
          <w:rFonts w:ascii="Calibri" w:hAnsi="Calibri"/>
          <w:i/>
          <w:color w:val="5B6778"/>
          <w:sz w:val="18"/>
        </w:rPr>
        <w:t>Bronbasis: [S1] Maximo2RHM_Workorders; RHM2Smartflow_*; Smartflow2RHM_*; RHM2Maximo_Realization*.</w:t>
      </w:r>
    </w:p>
    <w:p>
      <w:pPr>
        <w:spacing w:after="120" w:line="264" w:lineRule="auto"/>
      </w:pPr>
      <w:r>
        <w:rPr>
          <w:rFonts w:ascii="Calibri" w:hAnsi="Calibri"/>
          <w:b/>
          <w:i w:val="0"/>
          <w:color w:val="17365D"/>
          <w:sz w:val="22"/>
        </w:rPr>
        <w:t xml:space="preserve">Runtimebewijs [S4]. </w:t>
      </w:r>
      <w:r>
        <w:rPr>
          <w:rFonts w:ascii="Calibri" w:hAnsi="Calibri"/>
          <w:i w:val="0"/>
          <w:sz w:val="22"/>
        </w:rPr>
        <w:t>Maximo2RHM_Workorders is in PROD aantoonbaar en eindigde na 16 failures op 27 juli vervolgens tot en met 16 augustus succesvol. RHM2Smartflow_Workorders is alleen in ACC aangetroffen en kende 546 failures; de laatste waargenomen run op 1 juli faalde. Dit maakt productiecontinuiteit voor het Smartflow-deel nog niet aantoonbaar.</w:t>
      </w:r>
    </w:p>
    <w:p>
      <w:pPr>
        <w:pStyle w:val="Heading2"/>
      </w:pPr>
      <w:r>
        <w:t>7.3 AssetCheck/VISE: query, opdracht en update zijn vermengd</w:t>
      </w:r>
    </w:p>
    <w:p>
      <w:pPr>
        <w:spacing w:before="0" w:after="120" w:line="264" w:lineRule="auto"/>
      </w:pPr>
      <w:r>
        <w:rPr>
          <w:rFonts w:ascii="Calibri" w:hAnsi="Calibri"/>
          <w:i w:val="0"/>
          <w:color w:val="111111"/>
          <w:sz w:val="22"/>
        </w:rPr>
        <w:t>Vastgesteld. De scan bevat REST-capabilities voor GetWorkOrder(s), SendWorkOrderUpdate, SendServiceRequest, locatiequery's en Maximo2AssetCheck_SendWorkOrder. Hoofdjobs orkestreren meerdere subjobs. Files en lokale proces-/authenticatietabellen ondersteunen buffering, status en logging.</w:t>
      </w:r>
    </w:p>
    <w:p>
      <w:pPr>
        <w:spacing w:before="0" w:after="120" w:line="264" w:lineRule="auto"/>
      </w:pPr>
      <w:r>
        <w:rPr>
          <w:rFonts w:ascii="Calibri" w:hAnsi="Calibri"/>
          <w:i w:val="0"/>
          <w:color w:val="111111"/>
          <w:sz w:val="22"/>
        </w:rPr>
        <w:t>Vastgesteld. Twee AssetCheck-roots overlappen sterk en bevatten daarnaast voorbeeldjobs, copies en deprecated achtergrondprocessen. De scan toont de callgraph goed, maar de businesspayload van WerkOrder is in de onderzochte tMaps grotendeels niet zichtbaar; veel tMaps documenteren logging in plaats van objectmapping.</w:t>
      </w:r>
    </w:p>
    <w:p>
      <w:pPr>
        <w:spacing w:before="0" w:after="120" w:line="264" w:lineRule="auto"/>
      </w:pPr>
      <w:r>
        <w:rPr>
          <w:rFonts w:ascii="Calibri" w:hAnsi="Calibri"/>
          <w:i w:val="0"/>
          <w:color w:val="111111"/>
          <w:sz w:val="22"/>
        </w:rPr>
        <w:t>Duiding. De toekomstige capability moet worden gesplitst in gerichte query's, WerkOrder-/uitvoeringsopdracht en uitvoeringsupdate/service request. Een GetWorkOrder-API kan passend zijn voor directe vraag-antwoordbehoefte; verspreiding van state changes via API of polling past niet bij de VWI-voorkeur.</w:t>
      </w:r>
    </w:p>
    <w:p>
      <w:pPr>
        <w:spacing w:before="0" w:after="120" w:line="264" w:lineRule="auto"/>
      </w:pPr>
      <w:r>
        <w:rPr>
          <w:rFonts w:ascii="Calibri" w:hAnsi="Calibri"/>
          <w:i w:val="0"/>
          <w:color w:val="111111"/>
          <w:sz w:val="22"/>
        </w:rPr>
        <w:t>Rationalisatie. Kies een leidende deployment, verwijder voorbeeld/copy/deprecatedvarianten uit de migratiescope en reconstrueer eerst de echte payload uit contractschema's of voorbeeldberichten.</w:t>
      </w:r>
    </w:p>
    <w:p>
      <w:pPr>
        <w:spacing w:before="80" w:after="120" w:line="252" w:lineRule="auto"/>
      </w:pPr>
      <w:r>
        <w:rPr>
          <w:rFonts w:ascii="Calibri" w:hAnsi="Calibri"/>
          <w:i/>
          <w:color w:val="5B6778"/>
          <w:sz w:val="18"/>
        </w:rPr>
        <w:t>Bronbasis: [S1] AssetCheck_Interface, Maximo2AssetCheck, ASSETCHECK/ASSETCHECK2, VISE2Maximo en SP/VISE-groepen.</w:t>
      </w:r>
    </w:p>
    <w:p>
      <w:pPr>
        <w:pStyle w:val="Heading2"/>
      </w:pPr>
      <w:r>
        <w:t>7.4 Infor/InforOSK &lt;-&gt; Maximo: lifecycle en financiele feedback</w:t>
      </w:r>
    </w:p>
    <w:p>
      <w:pPr>
        <w:spacing w:before="0" w:after="120" w:line="264" w:lineRule="auto"/>
      </w:pPr>
      <w:r>
        <w:rPr>
          <w:rFonts w:ascii="Calibri" w:hAnsi="Calibri"/>
          <w:i w:val="0"/>
          <w:color w:val="111111"/>
          <w:sz w:val="22"/>
        </w:rPr>
        <w:t>Vastgesteld. NewWorkorders mapt WONUM, description, BC en een vaste locatie naar een Infor-werkbonconstructie met vaste organisatie- en activitycodes. ClosedWorkorders stuurt WONUM met een andere vaste activitycode. Maximo2Infor levert normal hours en additional cost terug, gekoppeld aan WONUM/JOBNUM.</w:t>
      </w:r>
    </w:p>
    <w:p>
      <w:pPr>
        <w:spacing w:before="0" w:after="120" w:line="264" w:lineRule="auto"/>
      </w:pPr>
      <w:r>
        <w:rPr>
          <w:rFonts w:ascii="Calibri" w:hAnsi="Calibri"/>
          <w:i w:val="0"/>
          <w:color w:val="111111"/>
          <w:sz w:val="22"/>
        </w:rPr>
        <w:t>Duiding. De keten combineert WerkOrder-lifecycle met uren/kosten. Vaste codes zoals RWSN-AXD, 999 en 1000 kunnen domeinregels of historische doeladapterwaarden zijn. Zij mogen niet zonder betekenis in een canonical contract worden opgenomen.</w:t>
      </w:r>
    </w:p>
    <w:p>
      <w:pPr>
        <w:spacing w:before="0" w:after="120" w:line="264" w:lineRule="auto"/>
      </w:pPr>
      <w:r>
        <w:rPr>
          <w:rFonts w:ascii="Calibri" w:hAnsi="Calibri"/>
          <w:i w:val="0"/>
          <w:color w:val="111111"/>
          <w:sz w:val="22"/>
        </w:rPr>
        <w:t>Ontwerprichting. Modelleer lifecycle-events los van financiele/actuals-events. Laat de Infor-adapter lokale activitycodes afleiden uit een canonieke state, tenzij business bevestigt dat deze codes zelf domeinbetekenis hebben.</w:t>
      </w:r>
    </w:p>
    <w:p>
      <w:pPr>
        <w:spacing w:before="80" w:after="120" w:line="252" w:lineRule="auto"/>
      </w:pPr>
      <w:r>
        <w:rPr>
          <w:rFonts w:ascii="Calibri" w:hAnsi="Calibri"/>
          <w:i/>
          <w:color w:val="5B6778"/>
          <w:sz w:val="18"/>
        </w:rPr>
        <w:t>Bronbasis: [S1] Infor2Maximo_NewWorkorders, Infor2Maximo_ClosedWorkorders, InforOSK2Maximo_* en Maximo2Infor_SendAdditionInformation.</w:t>
      </w:r>
    </w:p>
    <w:p>
      <w:pPr>
        <w:pStyle w:val="Heading2"/>
      </w:pPr>
      <w:r>
        <w:t>7.5 Ortec/Vialis planning: eventcategorieen bestaan al, contract ontbreekt</w:t>
      </w:r>
    </w:p>
    <w:p>
      <w:pPr>
        <w:spacing w:before="0" w:after="120" w:line="264" w:lineRule="auto"/>
      </w:pPr>
      <w:r>
        <w:rPr>
          <w:rFonts w:ascii="Calibri" w:hAnsi="Calibri"/>
          <w:i w:val="0"/>
          <w:color w:val="111111"/>
          <w:sz w:val="22"/>
        </w:rPr>
        <w:t>Vastgesteld. Routes onderscheiden geplande directe, geplande indirecte, gewijzigde en geannuleerde werkorders. OrtecWerkorderInFilter leest verschillende file-ingangen, routeert en schrijft naar JMS/monitoring. VialisPlanningsTool combineert SOAP, JMS, enrichment en interne direct-routes.</w:t>
      </w:r>
    </w:p>
    <w:p>
      <w:pPr>
        <w:spacing w:before="0" w:after="120" w:line="264" w:lineRule="auto"/>
      </w:pPr>
      <w:r>
        <w:rPr>
          <w:rFonts w:ascii="Calibri" w:hAnsi="Calibri"/>
          <w:i w:val="0"/>
          <w:color w:val="111111"/>
          <w:sz w:val="22"/>
        </w:rPr>
        <w:t>Vastgesteld. De scan bevat drie vrijwel identieke Vialis/Planningtool-roots: twee zijn 100 procent gelijk op jobnamen en alle drie overlappen voor 93 procent. Dit is repository-/aanleverduplicatie die eerst moet worden ontdubbeld voordat aantallen als applicatielandschap worden gelezen.</w:t>
      </w:r>
    </w:p>
    <w:p>
      <w:pPr>
        <w:spacing w:before="0" w:after="120" w:line="264" w:lineRule="auto"/>
      </w:pPr>
      <w:r>
        <w:rPr>
          <w:rFonts w:ascii="Calibri" w:hAnsi="Calibri"/>
          <w:i w:val="0"/>
          <w:color w:val="111111"/>
          <w:sz w:val="22"/>
        </w:rPr>
        <w:t>Duiding. De eventcategorieen zijn een bruikbaar uitgangspunt, maar de namen beschrijven deels technische routes en de payload is niet als VWIIM-contract aangetoond. Direct/indirect is mogelijk context of classificatie, niet noodzakelijk een afzonderlijk eventtype.</w:t>
      </w:r>
    </w:p>
    <w:p>
      <w:pPr>
        <w:spacing w:before="0" w:after="120" w:line="264" w:lineRule="auto"/>
      </w:pPr>
      <w:r>
        <w:rPr>
          <w:rFonts w:ascii="Calibri" w:hAnsi="Calibri"/>
          <w:i w:val="0"/>
          <w:color w:val="111111"/>
          <w:sz w:val="22"/>
        </w:rPr>
        <w:t>Ontwerprichting. Consolideer naar een klein aantal betekenisvolle planning-state changes, met direct/indirect als attribuut als de businessbetekenis dat toelaat. Gebruik BEDDA-header en onafhankelijke event-id; laat consumer-specifieke SOAP- of filevormen in adapters.</w:t>
      </w:r>
    </w:p>
    <w:p>
      <w:pPr>
        <w:spacing w:before="80" w:after="120" w:line="252" w:lineRule="auto"/>
      </w:pPr>
      <w:r>
        <w:rPr>
          <w:rFonts w:ascii="Calibri" w:hAnsi="Calibri"/>
          <w:i/>
          <w:color w:val="5B6778"/>
          <w:sz w:val="18"/>
        </w:rPr>
        <w:t>Bronbasis: [S1] ortec_maximo-routes en drie Vialis_Planningtool-roots.</w:t>
      </w:r>
    </w:p>
    <w:p>
      <w:pPr>
        <w:pStyle w:val="Heading2"/>
      </w:pPr>
      <w:r>
        <w:t>7.6 Maximo -&gt; 4PS: brede bronpayload, doelcontract nog onvolledig</w:t>
      </w:r>
    </w:p>
    <w:p>
      <w:pPr>
        <w:spacing w:before="0" w:after="120" w:line="264" w:lineRule="auto"/>
      </w:pPr>
      <w:r>
        <w:rPr>
          <w:rFonts w:ascii="Calibri" w:hAnsi="Calibri"/>
          <w:i w:val="0"/>
          <w:color w:val="111111"/>
          <w:sz w:val="22"/>
        </w:rPr>
        <w:t>Vastgesteld. maximoFourpsWorkOrder consumeert en publiceert via JMS, bevat meerdere filters/wiretaps en roept de embedded job workorder aan. Een testpayload bevat een zeer brede Maximo PublishVLWO/WORKORDER-structuur met kern-, status-, planning-, locatie-, project-, WBS-, agreement-, customer- en kostengerelateerde velden.</w:t>
      </w:r>
    </w:p>
    <w:p>
      <w:pPr>
        <w:spacing w:before="0" w:after="120" w:line="264" w:lineRule="auto"/>
      </w:pPr>
      <w:r>
        <w:rPr>
          <w:rFonts w:ascii="Calibri" w:hAnsi="Calibri"/>
          <w:i w:val="0"/>
          <w:color w:val="111111"/>
          <w:sz w:val="22"/>
        </w:rPr>
        <w:t>Beperking. De scan laat in de embedded tMap alleen een statusoutput zien en bevat geen volledig gereconstrueerd 4PS-doelcontract. De brede testpayload bewijst welke broninformatie beschikbaar kan zijn, niet welke velden werkelijk naar 4PS worden geleverd.</w:t>
      </w:r>
    </w:p>
    <w:p>
      <w:pPr>
        <w:spacing w:before="0" w:after="120" w:line="264" w:lineRule="auto"/>
      </w:pPr>
      <w:r>
        <w:rPr>
          <w:rFonts w:ascii="Calibri" w:hAnsi="Calibri"/>
          <w:i w:val="0"/>
          <w:color w:val="111111"/>
          <w:sz w:val="22"/>
        </w:rPr>
        <w:t>Ontwerprichting. Bepaal eerst de echte 4PS-consumentenbehoefte en splits WerkOrder-kern/lifecycle van project-financecontext. Migreer niet de volledige Maximo-XML als generiek event; publiceer alleen functioneel noodzakelijke VWIIM-segmenten.</w:t>
      </w:r>
    </w:p>
    <w:p>
      <w:pPr>
        <w:spacing w:before="80" w:after="120" w:line="252" w:lineRule="auto"/>
      </w:pPr>
      <w:r>
        <w:rPr>
          <w:rFonts w:ascii="Calibri" w:hAnsi="Calibri"/>
          <w:i/>
          <w:color w:val="5B6778"/>
          <w:sz w:val="18"/>
        </w:rPr>
        <w:t>Bronbasis: [S1] maximoFourpsWorkOrder, workorder, routekanalen en PublishVLWO-testpayload.</w:t>
      </w:r>
    </w:p>
    <w:p>
      <w:pPr>
        <w:spacing w:after="120" w:line="264" w:lineRule="auto"/>
      </w:pPr>
      <w:r>
        <w:rPr>
          <w:rFonts w:ascii="Calibri" w:hAnsi="Calibri"/>
          <w:b/>
          <w:i w:val="0"/>
          <w:color w:val="17365D"/>
          <w:sz w:val="22"/>
        </w:rPr>
        <w:t xml:space="preserve">Runtimebewijs [S4]. </w:t>
      </w:r>
      <w:r>
        <w:rPr>
          <w:rFonts w:ascii="Calibri" w:hAnsi="Calibri"/>
          <w:i w:val="0"/>
          <w:sz w:val="22"/>
        </w:rPr>
        <w:t>maximoFourpsWorkOrder is alleen in ACC en TST aangetroffen. ACC bevat drie unknown-runs en TST twee succesvolle, langlopende route-executies; een PROD-deployment of actuele productie-uitwisseling is in deze selectie niet aangetoond.</w:t>
      </w:r>
    </w:p>
    <w:p>
      <w:pPr>
        <w:pStyle w:val="Heading2"/>
      </w:pPr>
      <w:r>
        <w:t>7.7 FlexTunnel en aangrenzende realisatieketens</w:t>
      </w:r>
    </w:p>
    <w:p>
      <w:pPr>
        <w:spacing w:before="0" w:after="120" w:line="264" w:lineRule="auto"/>
      </w:pPr>
      <w:r>
        <w:rPr>
          <w:rFonts w:ascii="Calibri" w:hAnsi="Calibri"/>
          <w:i w:val="0"/>
          <w:color w:val="111111"/>
          <w:sz w:val="22"/>
        </w:rPr>
        <w:t>Vastgesteld. Tunnel_Maximo2Flex_ServiceWorkorderImport verwerkt WorkOrder-referenties, resultaten, schadecodes, plandata, status, equipment en medewerkers. De job voert veel MSSQL-lookups en insert/updatekeuzes uit. RHM/Smartflow/VSUren verwerken daarnaast machines, medewerkers, toeslagen, uren en realisatie.</w:t>
      </w:r>
    </w:p>
    <w:p>
      <w:pPr>
        <w:spacing w:before="0" w:after="120" w:line="264" w:lineRule="auto"/>
      </w:pPr>
      <w:r>
        <w:rPr>
          <w:rFonts w:ascii="Calibri" w:hAnsi="Calibri"/>
          <w:i w:val="0"/>
          <w:color w:val="111111"/>
          <w:sz w:val="22"/>
        </w:rPr>
        <w:t>Duiding. Dit is niet noodzakelijk een volledige WerkOrder-uitwisseling. Veel informatie hoort waarschijnlijk bij inspectie, schade, resource assignment of realisatie met een relatie naar WerkOrder. Een allesomvattend WerkOrder-object zou deze domeinen onnodig koppelen.</w:t>
      </w:r>
    </w:p>
    <w:p>
      <w:pPr>
        <w:spacing w:before="0" w:after="120" w:line="264" w:lineRule="auto"/>
      </w:pPr>
      <w:r>
        <w:rPr>
          <w:rFonts w:ascii="Calibri" w:hAnsi="Calibri"/>
          <w:i w:val="0"/>
          <w:color w:val="111111"/>
          <w:sz w:val="22"/>
        </w:rPr>
        <w:t>Ontwerprichting. Modelleer zelfstandige businessobjecten en events voor ExecutionResult, Damage/Inspection, ResourceAssignment en TimeRegistration waar de business dat bevestigt; verbind ze via WerkOrder-identiteit en correlationId.</w:t>
      </w:r>
    </w:p>
    <w:p>
      <w:pPr>
        <w:spacing w:before="80" w:after="120" w:line="252" w:lineRule="auto"/>
      </w:pPr>
      <w:r>
        <w:rPr>
          <w:rFonts w:ascii="Calibri" w:hAnsi="Calibri"/>
          <w:i/>
          <w:color w:val="5B6778"/>
          <w:sz w:val="18"/>
        </w:rPr>
        <w:t>Bronbasis: [S1] FLEXTUNNEL, RHM2Smartflow, Smartflow2RHM en VSUren/RHM-jobs.</w:t>
      </w:r>
    </w:p>
    <w:p>
      <w:pPr>
        <w:pStyle w:val="Heading1"/>
      </w:pPr>
      <w:r>
        <w:t>8. Businesslogica, technische logica en historische vorm</w:t>
      </w:r>
    </w:p>
    <w:tbl>
      <w:tblPr>
        <w:tblStyle w:val="TableGrid"/>
        <w:tblW w:type="dxa" w:w="9360"/>
        <w:jc w:val="left"/>
        <w:tblLayout w:type="fixed"/>
        <w:tblLook w:firstColumn="1" w:firstRow="1" w:lastColumn="0" w:lastRow="0" w:noHBand="0" w:noVBand="1" w:val="04A0"/>
        <w:tblInd w:w="120" w:type="dxa"/>
      </w:tblPr>
      <w:tblGrid>
        <w:gridCol w:w="3200"/>
        <w:gridCol w:w="2100"/>
        <w:gridCol w:w="4060"/>
      </w:tblGrid>
      <w:tr>
        <w:trPr>
          <w:tblHeader w:val="true"/>
          <w:cantSplit/>
        </w:trPr>
        <w:tc>
          <w:tcPr>
            <w:tcW w:type="dxa" w:w="3200"/>
            <w:shd w:fill="F2F4F7"/>
            <w:tcMar>
              <w:top w:w="100" w:type="dxa"/>
              <w:start w:w="120" w:type="dxa"/>
              <w:bottom w:w="100" w:type="dxa"/>
              <w:end w:w="120" w:type="dxa"/>
            </w:tcMar>
            <w:vAlign w:val="center"/>
          </w:tcPr>
          <w:p>
            <w:pPr>
              <w:spacing w:after="0"/>
              <w:jc w:val="left"/>
            </w:pPr>
            <w:r>
              <w:rPr>
                <w:rFonts w:ascii="Calibri" w:hAnsi="Calibri"/>
                <w:b/>
                <w:color w:val="17365D"/>
                <w:sz w:val="17"/>
              </w:rPr>
              <w:t>Patroon uit de scan</w:t>
            </w:r>
          </w:p>
        </w:tc>
        <w:tc>
          <w:tcPr>
            <w:tcW w:type="dxa" w:w="2100"/>
            <w:shd w:fill="F2F4F7"/>
            <w:tcMar>
              <w:top w:w="100" w:type="dxa"/>
              <w:start w:w="120" w:type="dxa"/>
              <w:bottom w:w="100" w:type="dxa"/>
              <w:end w:w="120" w:type="dxa"/>
            </w:tcMar>
            <w:vAlign w:val="center"/>
          </w:tcPr>
          <w:p>
            <w:pPr>
              <w:spacing w:after="0"/>
              <w:jc w:val="left"/>
            </w:pPr>
            <w:r>
              <w:rPr>
                <w:rFonts w:ascii="Calibri" w:hAnsi="Calibri"/>
                <w:b/>
                <w:color w:val="17365D"/>
                <w:sz w:val="17"/>
              </w:rPr>
              <w:t>Voorlopige classificatie</w:t>
            </w:r>
          </w:p>
        </w:tc>
        <w:tc>
          <w:tcPr>
            <w:tcW w:type="dxa" w:w="4060"/>
            <w:shd w:fill="F2F4F7"/>
            <w:tcMar>
              <w:top w:w="100" w:type="dxa"/>
              <w:start w:w="120" w:type="dxa"/>
              <w:bottom w:w="100" w:type="dxa"/>
              <w:end w:w="120" w:type="dxa"/>
            </w:tcMar>
            <w:vAlign w:val="center"/>
          </w:tcPr>
          <w:p>
            <w:pPr>
              <w:spacing w:after="0"/>
              <w:jc w:val="left"/>
            </w:pPr>
            <w:r>
              <w:rPr>
                <w:rFonts w:ascii="Calibri" w:hAnsi="Calibri"/>
                <w:b/>
                <w:color w:val="17365D"/>
                <w:sz w:val="17"/>
              </w:rPr>
              <w:t>Actie voor herontwerp</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Status WOP + released CapacityTask + geen delete request</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Businessselectie</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Business owner bevestigt; als domeinregel beheren en testen.</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Eerste/laatste CapacityTask met WorkPackage-fallback</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Businessregel/fallback</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Betekenis van forecast, commitment en fallback expliciet maken.</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Nieuwe, gewijzigde, geplande en geannuleerde routes</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Business state categories</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Consolideren naar canonieke lifecycle-events.</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HistoryFlag, QQProcessed, SendToSmartFlow</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Grensgeval</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Bepalen of businessstate of technische synchronisatiemarkering.</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LastRunDateTime, Processes/ProcessData, temp tables</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Technische state</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Vervangen door platformcheckpoint, event-id en idempotentie.</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XML/JSON/XSLT, protocol- en datumconversie</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Technische transformatie</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In adapters/integratielaag houden.</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Filefolders: input/inprogress/processed/failed</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Historische buffering/retry</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Vervangen door beheerde messaging, DLQ en replay.</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Vaste Infor-/locatie-/activitycodes</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Doeladapter of businessregel</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Betekenis en eigenaar valideren; niet in common model gokken.</w:t>
            </w:r>
          </w:p>
        </w:tc>
      </w:tr>
      <w:tr>
        <w:trPr>
          <w:cantSplit/>
        </w:trPr>
        <w:tc>
          <w:tcPr>
            <w:tcW w:type="dxa" w:w="3200"/>
            <w:tcMar>
              <w:top w:w="100" w:type="dxa"/>
              <w:start w:w="120" w:type="dxa"/>
              <w:bottom w:w="100" w:type="dxa"/>
              <w:end w:w="120" w:type="dxa"/>
            </w:tcMar>
            <w:vAlign w:val="center"/>
          </w:tcPr>
          <w:p>
            <w:pPr>
              <w:spacing w:after="0" w:line="252" w:lineRule="auto"/>
              <w:jc w:val="left"/>
            </w:pPr>
            <w:r>
              <w:rPr>
                <w:rFonts w:ascii="Calibri" w:hAnsi="Calibri"/>
                <w:sz w:val="17"/>
              </w:rPr>
              <w:t>Wiretap, StatCatcher, logtabellen en MessageCollector</w:t>
            </w:r>
          </w:p>
        </w:tc>
        <w:tc>
          <w:tcPr>
            <w:tcW w:type="dxa" w:w="2100"/>
            <w:tcMar>
              <w:top w:w="100" w:type="dxa"/>
              <w:start w:w="120" w:type="dxa"/>
              <w:bottom w:w="100" w:type="dxa"/>
              <w:end w:w="120" w:type="dxa"/>
            </w:tcMar>
            <w:vAlign w:val="center"/>
          </w:tcPr>
          <w:p>
            <w:pPr>
              <w:spacing w:after="0" w:line="252" w:lineRule="auto"/>
              <w:jc w:val="left"/>
            </w:pPr>
            <w:r>
              <w:rPr>
                <w:rFonts w:ascii="Calibri" w:hAnsi="Calibri"/>
                <w:sz w:val="17"/>
              </w:rPr>
              <w:t>Observability</w:t>
            </w:r>
          </w:p>
        </w:tc>
        <w:tc>
          <w:tcPr>
            <w:tcW w:type="dxa" w:w="4060"/>
            <w:tcMar>
              <w:top w:w="100" w:type="dxa"/>
              <w:start w:w="120" w:type="dxa"/>
              <w:bottom w:w="100" w:type="dxa"/>
              <w:end w:w="120" w:type="dxa"/>
            </w:tcMar>
            <w:vAlign w:val="center"/>
          </w:tcPr>
          <w:p>
            <w:pPr>
              <w:spacing w:after="0" w:line="252" w:lineRule="auto"/>
              <w:jc w:val="left"/>
            </w:pPr>
            <w:r>
              <w:rPr>
                <w:rFonts w:ascii="Calibri" w:hAnsi="Calibri"/>
                <w:sz w:val="17"/>
              </w:rPr>
              <w:t>Centraliseren in standaard tracing, metrics en alerts.</w:t>
            </w:r>
          </w:p>
        </w:tc>
      </w:tr>
    </w:tbl>
    <w:p>
      <w:pPr>
        <w:spacing w:after="0"/>
      </w:pPr>
    </w:p>
    <w:p>
      <w:pPr>
        <w:pStyle w:val="Heading1"/>
      </w:pPr>
      <w:r>
        <w:t>9. Toetsing aan VWI Integratiebeleid 0.8</w:t>
      </w:r>
    </w:p>
    <w:tbl>
      <w:tblPr>
        <w:tblStyle w:val="TableGrid"/>
        <w:tblW w:type="dxa" w:w="9360"/>
        <w:jc w:val="left"/>
        <w:tblLayout w:type="fixed"/>
        <w:tblLook w:firstColumn="1" w:firstRow="1" w:lastColumn="0" w:lastRow="0" w:noHBand="0" w:noVBand="1" w:val="04A0"/>
        <w:tblInd w:w="120" w:type="dxa"/>
      </w:tblPr>
      <w:tblGrid>
        <w:gridCol w:w="2200"/>
        <w:gridCol w:w="1700"/>
        <w:gridCol w:w="5460"/>
      </w:tblGrid>
      <w:tr>
        <w:trPr>
          <w:tblHeader w:val="true"/>
          <w:cantSplit/>
        </w:trPr>
        <w:tc>
          <w:tcPr>
            <w:tcW w:type="dxa" w:w="2200"/>
            <w:shd w:fill="F2F4F7"/>
            <w:tcMar>
              <w:top w:w="100" w:type="dxa"/>
              <w:start w:w="120" w:type="dxa"/>
              <w:bottom w:w="100" w:type="dxa"/>
              <w:end w:w="120" w:type="dxa"/>
            </w:tcMar>
            <w:vAlign w:val="center"/>
          </w:tcPr>
          <w:p>
            <w:pPr>
              <w:spacing w:after="0"/>
              <w:jc w:val="left"/>
            </w:pPr>
            <w:r>
              <w:rPr>
                <w:rFonts w:ascii="Calibri" w:hAnsi="Calibri"/>
                <w:b/>
                <w:color w:val="17365D"/>
                <w:sz w:val="16"/>
              </w:rPr>
              <w:t>Principegroep</w:t>
            </w:r>
          </w:p>
        </w:tc>
        <w:tc>
          <w:tcPr>
            <w:tcW w:type="dxa" w:w="1700"/>
            <w:shd w:fill="F2F4F7"/>
            <w:tcMar>
              <w:top w:w="100" w:type="dxa"/>
              <w:start w:w="120" w:type="dxa"/>
              <w:bottom w:w="100" w:type="dxa"/>
              <w:end w:w="120" w:type="dxa"/>
            </w:tcMar>
            <w:vAlign w:val="center"/>
          </w:tcPr>
          <w:p>
            <w:pPr>
              <w:spacing w:after="0"/>
              <w:jc w:val="left"/>
            </w:pPr>
            <w:r>
              <w:rPr>
                <w:rFonts w:ascii="Calibri" w:hAnsi="Calibri"/>
                <w:b/>
                <w:color w:val="17365D"/>
                <w:sz w:val="16"/>
              </w:rPr>
              <w:t>As-is oordeel</w:t>
            </w:r>
          </w:p>
        </w:tc>
        <w:tc>
          <w:tcPr>
            <w:tcW w:type="dxa" w:w="5460"/>
            <w:shd w:fill="F2F4F7"/>
            <w:tcMar>
              <w:top w:w="100" w:type="dxa"/>
              <w:start w:w="120" w:type="dxa"/>
              <w:bottom w:w="100" w:type="dxa"/>
              <w:end w:w="120" w:type="dxa"/>
            </w:tcMar>
            <w:vAlign w:val="center"/>
          </w:tcPr>
          <w:p>
            <w:pPr>
              <w:spacing w:after="0"/>
              <w:jc w:val="left"/>
            </w:pPr>
            <w:r>
              <w:rPr>
                <w:rFonts w:ascii="Calibri" w:hAnsi="Calibri"/>
                <w:b/>
                <w:color w:val="17365D"/>
                <w:sz w:val="16"/>
              </w:rPr>
              <w:t>Bewijs en consequentie</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AP-01 integratielaag</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Legacy-afwijking</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Talend fungeert als integratielaag, maar doelplatform AIS en expliciete governance zijn niet aangetoond.</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AP-02 geen businesslogica</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conform/risico</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Selectie, status- en fallbackregels staan in SQL, routes en mappings.</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AP-03 t/m AP-05 events/API/push</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Grotendeels niet conform</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1.273 file- en 659 databasecomponenten; polling/pull en filetransport zijn dominant. JMS bestaat, maar BEDDA-semantiek is niet bewezen.</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AP-06 t/m AP-09 eventstructuur</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aantoonbaar</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Geen uniforme eventnaam, eventtype en CloudEvents/BEDDA-header uit de scan vastgesteld.</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AP-10 VWIIM</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conform/onvolledig</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Geen formele contractschema's en geen bron -&gt; VWIIM -&gt; doelmapping.</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AP-11 authority</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Te valideren</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Technische producent zichtbaar; verantwoordelijke businessfunctie per state change ontbreekt.</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AP-12 interne data</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Risico</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Lokale tabellen, ProcessData en consumer-specifieke velden functioneren als interfacecontract.</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AP-13/14 idempotentie en RMS</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Deels lokaal, niet standaard</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Processed flags/checkpoints bestaan; onafhankelijke event-id, RMS en beheerste replay zijn niet bewezen.</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AP-15 observability</w:t>
            </w:r>
          </w:p>
        </w:tc>
        <w:tc>
          <w:tcPr>
            <w:tcW w:type="dxa" w:w="1700"/>
            <w:tcMar>
              <w:top w:w="100" w:type="dxa"/>
              <w:start w:w="120" w:type="dxa"/>
              <w:bottom w:w="100" w:type="dxa"/>
              <w:end w:w="120" w:type="dxa"/>
            </w:tcMar>
            <w:vAlign w:val="center"/>
          </w:tcPr>
          <w:p>
            <w:r>
              <w:t>Deels aanwezig, runtime bewezen</w:t>
            </w:r>
          </w:p>
        </w:tc>
        <w:tc>
          <w:tcPr>
            <w:tcW w:type="dxa" w:w="5460"/>
            <w:tcMar>
              <w:top w:w="100" w:type="dxa"/>
              <w:start w:w="120" w:type="dxa"/>
              <w:bottom w:w="100" w:type="dxa"/>
              <w:end w:w="120" w:type="dxa"/>
            </w:tcMar>
            <w:vAlign w:val="center"/>
          </w:tcPr>
          <w:p>
            <w:r>
              <w:t>TMC levert 2.429 uitvoeringen, 566 failures en 30.169 logevents; succesvolle runs hebben geen volledige logs en patroonmonitoring/businessimpact blijven niet aantoonbaar.</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AP-16 identifiers</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aantoonbaar</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Werkordernummers en record-id's zijn zichtbaar; uniforme onafhankelijke message-id ontbreekt.</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AP-17/18 contract en lifecycle</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conform/onvolledig</w:t>
            </w:r>
          </w:p>
        </w:tc>
        <w:tc>
          <w:tcPr>
            <w:tcW w:type="dxa" w:w="5460"/>
            <w:tcMar>
              <w:top w:w="100" w:type="dxa"/>
              <w:start w:w="120" w:type="dxa"/>
              <w:bottom w:w="100" w:type="dxa"/>
              <w:end w:w="120" w:type="dxa"/>
            </w:tcMar>
            <w:vAlign w:val="center"/>
          </w:tcPr>
          <w:p>
            <w:r>
              <w:t>Versies en taken bestaan, maar lifecycle is niet consequent: een DECOMMISIONED-taak staat nog als active en formele afbouwpaden ontbreken.</w:t>
            </w:r>
          </w:p>
        </w:tc>
      </w:tr>
      <w:tr>
        <w:trPr>
          <w:cantSplit/>
        </w:trPr>
        <w:tc>
          <w:tcPr>
            <w:tcW w:type="dxa" w:w="2200"/>
            <w:tcMar>
              <w:top w:w="100" w:type="dxa"/>
              <w:start w:w="120" w:type="dxa"/>
              <w:bottom w:w="100" w:type="dxa"/>
              <w:end w:w="120" w:type="dxa"/>
            </w:tcMar>
            <w:vAlign w:val="center"/>
          </w:tcPr>
          <w:p>
            <w:pPr>
              <w:spacing w:after="0" w:line="252" w:lineRule="auto"/>
              <w:jc w:val="left"/>
            </w:pPr>
            <w:r>
              <w:rPr>
                <w:rFonts w:ascii="Calibri" w:hAnsi="Calibri"/>
                <w:sz w:val="16"/>
              </w:rPr>
              <w:t>AP-19 t/m AP-21 governance</w:t>
            </w:r>
          </w:p>
        </w:tc>
        <w:tc>
          <w:tcPr>
            <w:tcW w:type="dxa" w:w="1700"/>
            <w:tcMar>
              <w:top w:w="100" w:type="dxa"/>
              <w:start w:w="120" w:type="dxa"/>
              <w:bottom w:w="100" w:type="dxa"/>
              <w:end w:w="120" w:type="dxa"/>
            </w:tcMar>
            <w:vAlign w:val="center"/>
          </w:tcPr>
          <w:p>
            <w:pPr>
              <w:spacing w:after="0" w:line="252" w:lineRule="auto"/>
              <w:jc w:val="left"/>
            </w:pPr>
            <w:r>
              <w:rPr>
                <w:rFonts w:ascii="Calibri" w:hAnsi="Calibri"/>
                <w:sz w:val="16"/>
              </w:rPr>
              <w:t>Niet aantoonbaar</w:t>
            </w:r>
          </w:p>
        </w:tc>
        <w:tc>
          <w:tcPr>
            <w:tcW w:type="dxa" w:w="5460"/>
            <w:tcMar>
              <w:top w:w="100" w:type="dxa"/>
              <w:start w:w="120" w:type="dxa"/>
              <w:bottom w:w="100" w:type="dxa"/>
              <w:end w:w="120" w:type="dxa"/>
            </w:tcMar>
            <w:vAlign w:val="center"/>
          </w:tcPr>
          <w:p>
            <w:pPr>
              <w:spacing w:after="0" w:line="252" w:lineRule="auto"/>
              <w:jc w:val="left"/>
            </w:pPr>
            <w:r>
              <w:rPr>
                <w:rFonts w:ascii="Calibri" w:hAnsi="Calibri"/>
                <w:sz w:val="16"/>
              </w:rPr>
              <w:t>Ownership, comply-or-explain en besluitregistratie staan niet in de scan.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CE"/>
          </w:tcPr>
          <w:p>
            <w:r>
              <w:rPr>
                <w:rFonts w:ascii="Calibri" w:hAnsi="Calibri"/>
                <w:sz w:val="22"/>
              </w:rPr>
            </w:r>
            <w:r>
              <w:rPr>
                <w:rFonts w:ascii="Calibri" w:hAnsi="Calibri"/>
                <w:b/>
                <w:color w:val="17365D"/>
                <w:sz w:val="22"/>
              </w:rPr>
              <w:t xml:space="preserve">Nuance: </w:t>
            </w:r>
            <w:r>
              <w:rPr>
                <w:rFonts w:ascii="Calibri" w:hAnsi="Calibri"/>
                <w:sz w:val="22"/>
              </w:rPr>
              <w:t>TMC maakt deployment- en uitvoeringsclaims voor acht taakdefinities mogelijk, maar de feed is onvolledig ten opzichte van het scanlandschap en sinds 16 augustus niet ververst. Niet teruggevonden betekent daarom niet automatisch buiten gebruik.</w:t>
            </w:r>
          </w:p>
        </w:tc>
      </w:tr>
    </w:tbl>
    <w:p>
      <w:pPr>
        <w:spacing w:after="0"/>
      </w:pPr>
    </w:p>
    <w:p>
      <w:pPr>
        <w:pStyle w:val="Heading1"/>
      </w:pPr>
      <w:r>
        <w:t>10. Voorgestelde toekomstige inrichting</w:t>
      </w:r>
    </w:p>
    <w:p>
      <w:pPr>
        <w:spacing w:before="0" w:after="120" w:line="264" w:lineRule="auto"/>
      </w:pPr>
      <w:r>
        <w:rPr>
          <w:rFonts w:ascii="Calibri" w:hAnsi="Calibri"/>
          <w:i w:val="0"/>
          <w:color w:val="111111"/>
          <w:sz w:val="22"/>
        </w:rPr>
        <w:t>De veiligste richting is een VWIIM-afgeleide WerkOrder-common layer met doelgerichte segmenten. De integratielaag faciliteert transport, mapping, contractvalidatie, routing, idempotentie, observability en replay; de businessdomeinen bepalen state changes, regels en ownership.</w:t>
      </w:r>
    </w:p>
    <w:p>
      <w:pPr>
        <w:pStyle w:val="ListNumber"/>
        <w:spacing w:after="100" w:line="280" w:lineRule="auto"/>
        <w:numPr>
          <w:ilvl w:val="0"/>
          <w:numId w:val="10"/>
        </w:numPr>
      </w:pPr>
      <w:r>
        <w:rPr>
          <w:rFonts w:ascii="Calibri" w:hAnsi="Calibri"/>
          <w:sz w:val="22"/>
        </w:rPr>
        <w:t>Bronadapter: vertaalt Maximo, Quintiq, RHM, Smartflow, Infor, Ortec, AssetCheck en 4PS naar een beheerd broncontract.</w:t>
      </w:r>
    </w:p>
    <w:p>
      <w:pPr>
        <w:pStyle w:val="ListNumber"/>
        <w:spacing w:after="100" w:line="280" w:lineRule="auto"/>
        <w:numPr>
          <w:ilvl w:val="0"/>
          <w:numId w:val="10"/>
        </w:numPr>
      </w:pPr>
      <w:r>
        <w:rPr>
          <w:rFonts w:ascii="Calibri" w:hAnsi="Calibri"/>
          <w:sz w:val="22"/>
        </w:rPr>
        <w:t>Canonical/VWIIM-laag: definieert WerkOrder-kern en relaties naar Planning, Location, ResourceAssignment, ExecutionResult en FinancialContext.</w:t>
      </w:r>
    </w:p>
    <w:p>
      <w:pPr>
        <w:pStyle w:val="ListNumber"/>
        <w:spacing w:after="100" w:line="280" w:lineRule="auto"/>
        <w:numPr>
          <w:ilvl w:val="0"/>
          <w:numId w:val="10"/>
        </w:numPr>
      </w:pPr>
      <w:r>
        <w:rPr>
          <w:rFonts w:ascii="Calibri" w:hAnsi="Calibri"/>
          <w:sz w:val="22"/>
        </w:rPr>
        <w:t>BEDDA-publicatie: publiceert alleen extern relevante state changes met gestandaardiseerde header, technisch event-id, correlationId en externalIdentifiers.</w:t>
      </w:r>
    </w:p>
    <w:p>
      <w:pPr>
        <w:pStyle w:val="ListNumber"/>
        <w:spacing w:after="100" w:line="280" w:lineRule="auto"/>
        <w:numPr>
          <w:ilvl w:val="0"/>
          <w:numId w:val="10"/>
        </w:numPr>
      </w:pPr>
      <w:r>
        <w:rPr>
          <w:rFonts w:ascii="Calibri" w:hAnsi="Calibri"/>
          <w:sz w:val="22"/>
        </w:rPr>
        <w:t>Consumeradapter: vertaalt een canoniek segment naar de minimale doelstructuur; lokale codes en protocollen blijven uit het common model.</w:t>
      </w:r>
    </w:p>
    <w:p>
      <w:pPr>
        <w:pStyle w:val="ListNumber"/>
        <w:spacing w:after="100" w:line="280" w:lineRule="auto"/>
        <w:numPr>
          <w:ilvl w:val="0"/>
          <w:numId w:val="10"/>
        </w:numPr>
      </w:pPr>
      <w:r>
        <w:rPr>
          <w:rFonts w:ascii="Calibri" w:hAnsi="Calibri"/>
          <w:sz w:val="22"/>
        </w:rPr>
        <w:t>Platformcapaciteiten: Service Bus, APIM voor noodzakelijke query's, RMS, DLQ/retry, tracing, schema registry en contracttests.</w:t>
      </w:r>
    </w:p>
    <w:p>
      <w:pPr>
        <w:pStyle w:val="Heading2"/>
      </w:pPr>
      <w:r>
        <w:t>10.1 Kandidaat-events voor validatie</w:t>
      </w:r>
    </w:p>
    <w:tbl>
      <w:tblPr>
        <w:tblStyle w:val="TableGrid"/>
        <w:tblW w:type="dxa" w:w="9360"/>
        <w:jc w:val="left"/>
        <w:tblLayout w:type="fixed"/>
        <w:tblLook w:firstColumn="1" w:firstRow="1" w:lastColumn="0" w:lastRow="0" w:noHBand="0" w:noVBand="1" w:val="04A0"/>
        <w:tblInd w:w="120" w:type="dxa"/>
      </w:tblPr>
      <w:tblGrid>
        <w:gridCol w:w="2700"/>
        <w:gridCol w:w="3400"/>
        <w:gridCol w:w="3260"/>
      </w:tblGrid>
      <w:tr>
        <w:trPr>
          <w:tblHeader w:val="true"/>
          <w:cantSplit/>
        </w:trPr>
        <w:tc>
          <w:tcPr>
            <w:tcW w:type="dxa" w:w="2700"/>
            <w:shd w:fill="F2F4F7"/>
            <w:tcMar>
              <w:top w:w="100" w:type="dxa"/>
              <w:start w:w="120" w:type="dxa"/>
              <w:bottom w:w="100" w:type="dxa"/>
              <w:end w:w="120" w:type="dxa"/>
            </w:tcMar>
            <w:vAlign w:val="center"/>
          </w:tcPr>
          <w:p>
            <w:pPr>
              <w:spacing w:after="0"/>
              <w:jc w:val="left"/>
            </w:pPr>
            <w:r>
              <w:rPr>
                <w:rFonts w:ascii="Calibri" w:hAnsi="Calibri"/>
                <w:b/>
                <w:color w:val="17365D"/>
                <w:sz w:val="17"/>
              </w:rPr>
              <w:t>Kandidaatnaam</w:t>
            </w:r>
          </w:p>
        </w:tc>
        <w:tc>
          <w:tcPr>
            <w:tcW w:type="dxa" w:w="3400"/>
            <w:shd w:fill="F2F4F7"/>
            <w:tcMar>
              <w:top w:w="100" w:type="dxa"/>
              <w:start w:w="120" w:type="dxa"/>
              <w:bottom w:w="100" w:type="dxa"/>
              <w:end w:w="120" w:type="dxa"/>
            </w:tcMar>
            <w:vAlign w:val="center"/>
          </w:tcPr>
          <w:p>
            <w:pPr>
              <w:spacing w:after="0"/>
              <w:jc w:val="left"/>
            </w:pPr>
            <w:r>
              <w:rPr>
                <w:rFonts w:ascii="Calibri" w:hAnsi="Calibri"/>
                <w:b/>
                <w:color w:val="17365D"/>
                <w:sz w:val="17"/>
              </w:rPr>
              <w:t>Waargenomen aanleiding</w:t>
            </w:r>
          </w:p>
        </w:tc>
        <w:tc>
          <w:tcPr>
            <w:tcW w:type="dxa" w:w="3260"/>
            <w:shd w:fill="F2F4F7"/>
            <w:tcMar>
              <w:top w:w="100" w:type="dxa"/>
              <w:start w:w="120" w:type="dxa"/>
              <w:bottom w:w="100" w:type="dxa"/>
              <w:end w:w="120" w:type="dxa"/>
            </w:tcMar>
            <w:vAlign w:val="center"/>
          </w:tcPr>
          <w:p>
            <w:pPr>
              <w:spacing w:after="0"/>
              <w:jc w:val="left"/>
            </w:pPr>
            <w:r>
              <w:rPr>
                <w:rFonts w:ascii="Calibri" w:hAnsi="Calibri"/>
                <w:b/>
                <w:color w:val="17365D"/>
                <w:sz w:val="17"/>
              </w:rPr>
              <w:t>Te besluiten</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WorkOrderCreated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Nieuwe WerkOrders richting Infor/andere afnemers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Is creatie buiten het brondomein relevant en wie publiceert?</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WorkOrderReleasedForPlanning</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WOP/released CapacityTask en Maximo -&gt; Quintiq</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Decision of andere state; benodigde volledige payload.</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WorkOrderPlanned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Quintiq-planning terug naar Maximo</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Auteur van planvelden; transaction/decision-classificatie.</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WorkOrderPlanningChanged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Gewijzigde/geplande Ortec-routes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Samenvoegen van direct/indirect en gewijzigdcategorieen.</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WorkOrderCancelled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Geannuleerde routes en deleteflows</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Cancel, revoke, delete of historiseren.</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WorkOrderReleasedForExecution</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RHM -&gt; Smartflow/AssetCheck opdrachten</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Welke uitvoeringscontext is zelfstandig nodig?</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WorkOrderExecutionReported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Smartflow/FlexTunnel/AssetCheck feedback</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Is dit WerkOrder-event of apart ExecutionResult-object?</w:t>
            </w:r>
          </w:p>
        </w:tc>
      </w:tr>
      <w:tr>
        <w:trPr>
          <w:cantSplit/>
        </w:trPr>
        <w:tc>
          <w:tcPr>
            <w:tcW w:type="dxa" w:w="2700"/>
            <w:tcMar>
              <w:top w:w="100" w:type="dxa"/>
              <w:start w:w="120" w:type="dxa"/>
              <w:bottom w:w="100" w:type="dxa"/>
              <w:end w:w="120" w:type="dxa"/>
            </w:tcMar>
            <w:vAlign w:val="center"/>
          </w:tcPr>
          <w:p>
            <w:pPr>
              <w:spacing w:after="0" w:line="252" w:lineRule="auto"/>
              <w:jc w:val="left"/>
            </w:pPr>
            <w:r>
              <w:rPr>
                <w:rFonts w:ascii="Calibri" w:hAnsi="Calibri"/>
                <w:sz w:val="17"/>
              </w:rPr>
              <w:t>WorkOrderCompleted</w:t>
            </w:r>
          </w:p>
        </w:tc>
        <w:tc>
          <w:tcPr>
            <w:tcW w:type="dxa" w:w="3400"/>
            <w:tcMar>
              <w:top w:w="100" w:type="dxa"/>
              <w:start w:w="120" w:type="dxa"/>
              <w:bottom w:w="100" w:type="dxa"/>
              <w:end w:w="120" w:type="dxa"/>
            </w:tcMar>
            <w:vAlign w:val="center"/>
          </w:tcPr>
          <w:p>
            <w:pPr>
              <w:spacing w:after="0" w:line="252" w:lineRule="auto"/>
              <w:jc w:val="left"/>
            </w:pPr>
            <w:r>
              <w:rPr>
                <w:rFonts w:ascii="Calibri" w:hAnsi="Calibri"/>
                <w:sz w:val="17"/>
              </w:rPr>
              <w:t>ClosedWorkorders richting Infor</w:t>
            </w:r>
          </w:p>
        </w:tc>
        <w:tc>
          <w:tcPr>
            <w:tcW w:type="dxa" w:w="3260"/>
            <w:tcMar>
              <w:top w:w="100" w:type="dxa"/>
              <w:start w:w="120" w:type="dxa"/>
              <w:bottom w:w="100" w:type="dxa"/>
              <w:end w:w="120" w:type="dxa"/>
            </w:tcMar>
            <w:vAlign w:val="center"/>
          </w:tcPr>
          <w:p>
            <w:pPr>
              <w:spacing w:after="0" w:line="252" w:lineRule="auto"/>
              <w:jc w:val="left"/>
            </w:pPr>
            <w:r>
              <w:rPr>
                <w:rFonts w:ascii="Calibri" w:hAnsi="Calibri"/>
                <w:sz w:val="17"/>
              </w:rPr>
              <w:t>Canonieke eindstatus en authoritative businessfunctie.</w:t>
            </w:r>
          </w:p>
        </w:tc>
      </w:tr>
    </w:tbl>
    <w:p>
      <w:pPr>
        <w:spacing w:after="0"/>
      </w:pPr>
    </w:p>
    <w:p>
      <w:pPr>
        <w:spacing w:before="0" w:after="120" w:line="264" w:lineRule="auto"/>
      </w:pPr>
      <w:r>
        <w:rPr>
          <w:rFonts w:ascii="Calibri" w:hAnsi="Calibri"/>
          <w:i w:val="0"/>
          <w:color w:val="111111"/>
          <w:sz w:val="22"/>
        </w:rPr>
        <w:t>Deze namen zijn ontwerpvoorstellen, geen vastgestelde VWI-events. De uiteindelijke naam volgt VWIIM, businessbetekenis en de BEDDA-naamgevingsstructuur. Technische failures horen niet automatisch als Transgression-event te worden gepubliceerd; een transgression is een businessafwijking, geen integratiefout.</w:t>
      </w:r>
    </w:p>
    <w:p>
      <w:pPr>
        <w:pStyle w:val="Heading1"/>
      </w:pPr>
      <w:r>
        <w:t>11. Rationalisatieadvies en volgorde</w:t>
      </w:r>
    </w:p>
    <w:tbl>
      <w:tblPr>
        <w:tblStyle w:val="TableGrid"/>
        <w:tblW w:type="dxa" w:w="9360"/>
        <w:jc w:val="left"/>
        <w:tblLayout w:type="fixed"/>
        <w:tblLook w:firstColumn="1" w:firstRow="1" w:lastColumn="0" w:lastRow="0" w:noHBand="0" w:noVBand="1" w:val="04A0"/>
        <w:tblInd w:w="120" w:type="dxa"/>
      </w:tblPr>
      <w:tblGrid>
        <w:gridCol w:w="900"/>
        <w:gridCol w:w="5000"/>
        <w:gridCol w:w="3460"/>
      </w:tblGrid>
      <w:tr>
        <w:trPr>
          <w:tblHeader w:val="true"/>
          <w:cantSplit/>
        </w:trPr>
        <w:tc>
          <w:tcPr>
            <w:tcW w:type="dxa" w:w="900"/>
            <w:shd w:fill="F2F4F7"/>
            <w:tcMar>
              <w:top w:w="100" w:type="dxa"/>
              <w:start w:w="120" w:type="dxa"/>
              <w:bottom w:w="100" w:type="dxa"/>
              <w:end w:w="120" w:type="dxa"/>
            </w:tcMar>
            <w:vAlign w:val="center"/>
          </w:tcPr>
          <w:p>
            <w:pPr>
              <w:spacing w:after="0"/>
              <w:jc w:val="center"/>
            </w:pPr>
            <w:r>
              <w:rPr>
                <w:rFonts w:ascii="Calibri" w:hAnsi="Calibri"/>
                <w:b/>
                <w:color w:val="17365D"/>
                <w:sz w:val="17"/>
              </w:rPr>
              <w:t>Prioriteit</w:t>
            </w:r>
          </w:p>
        </w:tc>
        <w:tc>
          <w:tcPr>
            <w:tcW w:type="dxa" w:w="5000"/>
            <w:shd w:fill="F2F4F7"/>
            <w:tcMar>
              <w:top w:w="100" w:type="dxa"/>
              <w:start w:w="120" w:type="dxa"/>
              <w:bottom w:w="100" w:type="dxa"/>
              <w:end w:w="120" w:type="dxa"/>
            </w:tcMar>
            <w:vAlign w:val="center"/>
          </w:tcPr>
          <w:p>
            <w:pPr>
              <w:spacing w:after="0"/>
              <w:jc w:val="left"/>
            </w:pPr>
            <w:r>
              <w:rPr>
                <w:rFonts w:ascii="Calibri" w:hAnsi="Calibri"/>
                <w:b/>
                <w:color w:val="17365D"/>
                <w:sz w:val="17"/>
              </w:rPr>
              <w:t>Actie</w:t>
            </w:r>
          </w:p>
        </w:tc>
        <w:tc>
          <w:tcPr>
            <w:tcW w:type="dxa" w:w="3460"/>
            <w:shd w:fill="F2F4F7"/>
            <w:tcMar>
              <w:top w:w="100" w:type="dxa"/>
              <w:start w:w="120" w:type="dxa"/>
              <w:bottom w:w="100" w:type="dxa"/>
              <w:end w:w="120" w:type="dxa"/>
            </w:tcMar>
            <w:vAlign w:val="center"/>
          </w:tcPr>
          <w:p>
            <w:pPr>
              <w:spacing w:after="0"/>
              <w:jc w:val="left"/>
            </w:pPr>
            <w:r>
              <w:rPr>
                <w:rFonts w:ascii="Calibri" w:hAnsi="Calibri"/>
                <w:b/>
                <w:color w:val="17365D"/>
                <w:sz w:val="17"/>
              </w:rPr>
              <w:t>Resultaat</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1</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Lever VWIIM WerkOrder en wijs ownership per segment/state change toe.</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Semantische basis voor alle volgende besluiten.</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2</w:t>
            </w:r>
          </w:p>
        </w:tc>
        <w:tc>
          <w:tcPr>
            <w:tcW w:type="dxa" w:w="5000"/>
            <w:tcMar>
              <w:top w:w="100" w:type="dxa"/>
              <w:start w:w="120" w:type="dxa"/>
              <w:bottom w:w="100" w:type="dxa"/>
              <w:end w:w="120" w:type="dxa"/>
            </w:tcMar>
            <w:vAlign w:val="center"/>
          </w:tcPr>
          <w:p>
            <w:r>
              <w:t>Formaliseer de scan-naar-TMC-koppeling voor de acht taken en herstel de uitgeschakelde vw_TMC-synchronisatie.</w:t>
            </w:r>
          </w:p>
        </w:tc>
        <w:tc>
          <w:tcPr>
            <w:tcW w:type="dxa" w:w="3460"/>
            <w:tcMar>
              <w:top w:w="100" w:type="dxa"/>
              <w:start w:w="120" w:type="dxa"/>
              <w:bottom w:w="100" w:type="dxa"/>
              <w:end w:w="120" w:type="dxa"/>
            </w:tcMar>
            <w:vAlign w:val="center"/>
          </w:tcPr>
          <w:p>
            <w:r>
              <w:t>Actuele, herhaalbare runtimeclaims zonder impliciete naamkoppeling.</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3</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Ontdubbel AssetCheck- en Vialis-roots; sluit voorbeeld/copy/test uit.</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Betrouwbare migratiescope en minder schijncomplexiteit.</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4</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Reconstructeer ontbrekende payloads voor AssetCheck, 4PS en Ortec/Vialis.</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Volledige bron -&gt; VWIIM -&gt; doelmapping.</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5</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Classificeer SQL/mappingregels met business owners.</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Businessregels uit integratiecode naar beheerste domeinlogica.</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6</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Ontwerp klein eventportfolio en gerichte query-API's.</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BEDDA-conforme capabilities in plaats van job-voor-jobmigratie.</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7</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Migreer adapters per capability met parallelle contracttests.</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Beheersbare uitfasering zonder big bang.</w:t>
            </w:r>
          </w:p>
        </w:tc>
      </w:tr>
      <w:tr>
        <w:trPr>
          <w:cantSplit/>
        </w:trPr>
        <w:tc>
          <w:tcPr>
            <w:tcW w:type="dxa" w:w="900"/>
            <w:tcMar>
              <w:top w:w="100" w:type="dxa"/>
              <w:start w:w="120" w:type="dxa"/>
              <w:bottom w:w="100" w:type="dxa"/>
              <w:end w:w="120" w:type="dxa"/>
            </w:tcMar>
            <w:vAlign w:val="center"/>
          </w:tcPr>
          <w:p>
            <w:pPr>
              <w:spacing w:after="0" w:line="252" w:lineRule="auto"/>
              <w:jc w:val="center"/>
            </w:pPr>
            <w:r>
              <w:rPr>
                <w:rFonts w:ascii="Calibri" w:hAnsi="Calibri"/>
                <w:sz w:val="17"/>
              </w:rPr>
              <w:t>8</w:t>
            </w:r>
          </w:p>
        </w:tc>
        <w:tc>
          <w:tcPr>
            <w:tcW w:type="dxa" w:w="5000"/>
            <w:tcMar>
              <w:top w:w="100" w:type="dxa"/>
              <w:start w:w="120" w:type="dxa"/>
              <w:bottom w:w="100" w:type="dxa"/>
              <w:end w:w="120" w:type="dxa"/>
            </w:tcMar>
            <w:vAlign w:val="center"/>
          </w:tcPr>
          <w:p>
            <w:pPr>
              <w:spacing w:after="0" w:line="252" w:lineRule="auto"/>
              <w:jc w:val="left"/>
            </w:pPr>
            <w:r>
              <w:rPr>
                <w:rFonts w:ascii="Calibri" w:hAnsi="Calibri"/>
                <w:sz w:val="17"/>
              </w:rPr>
              <w:t>Registreer lifecycle, deprecation en afbouwpad per legacyketen.</w:t>
            </w:r>
          </w:p>
        </w:tc>
        <w:tc>
          <w:tcPr>
            <w:tcW w:type="dxa" w:w="3460"/>
            <w:tcMar>
              <w:top w:w="100" w:type="dxa"/>
              <w:start w:w="120" w:type="dxa"/>
              <w:bottom w:w="100" w:type="dxa"/>
              <w:end w:w="120" w:type="dxa"/>
            </w:tcMar>
            <w:vAlign w:val="center"/>
          </w:tcPr>
          <w:p>
            <w:pPr>
              <w:spacing w:after="0" w:line="252" w:lineRule="auto"/>
              <w:jc w:val="left"/>
            </w:pPr>
            <w:r>
              <w:rPr>
                <w:rFonts w:ascii="Calibri" w:hAnsi="Calibri"/>
                <w:sz w:val="17"/>
              </w:rPr>
              <w:t>Talend aantoonbaar en controleerbaar uitgefaseerd.</w:t>
            </w:r>
          </w:p>
        </w:tc>
      </w:tr>
    </w:tbl>
    <w:p>
      <w:pPr>
        <w:spacing w:after="0"/>
      </w:pPr>
    </w:p>
    <w:p>
      <w:pPr>
        <w:pStyle w:val="Heading1"/>
      </w:pPr>
      <w:r>
        <w:t>12. Gerichte validatievragen</w:t>
      </w:r>
    </w:p>
    <w:p>
      <w:pPr>
        <w:spacing w:before="0" w:after="120" w:line="264" w:lineRule="auto"/>
      </w:pPr>
      <w:r>
        <w:rPr>
          <w:rFonts w:ascii="Calibri" w:hAnsi="Calibri"/>
          <w:i w:val="0"/>
          <w:color w:val="111111"/>
          <w:sz w:val="22"/>
        </w:rPr>
        <w:t>Alleen onderstaande vragen blijven nodig omdat zij niet betrouwbaar uit code, scan of de beschikbare TMC-snapshot zijn af te leiden en direct invloed hebben op het herontwerp.</w:t>
      </w:r>
    </w:p>
    <w:p>
      <w:pPr>
        <w:pStyle w:val="ListBullet"/>
        <w:spacing w:after="100" w:line="280" w:lineRule="auto"/>
      </w:pPr>
      <w:r>
        <w:rPr>
          <w:rFonts w:ascii="Calibri" w:hAnsi="Calibri"/>
          <w:sz w:val="22"/>
        </w:rPr>
        <w:t>Wat is de officiele VWIIM-definitie van WerkOrder, inclusief relaties, codelijsten, cardinaliteiten en verplichte velden?</w:t>
      </w:r>
    </w:p>
    <w:p>
      <w:pPr>
        <w:pStyle w:val="ListBullet"/>
        <w:spacing w:after="100" w:line="280" w:lineRule="auto"/>
      </w:pPr>
      <w:r>
        <w:rPr>
          <w:rFonts w:ascii="Calibri" w:hAnsi="Calibri"/>
          <w:sz w:val="22"/>
        </w:rPr>
        <w:t>Welke businessfunctie is authoritative voor creatie, status, planning, locatie, uitvoering, realisatie en financiele context?</w:t>
      </w:r>
    </w:p>
    <w:p>
      <w:pPr>
        <w:pStyle w:val="ListBullet"/>
        <w:spacing w:after="100" w:line="280" w:lineRule="auto"/>
      </w:pPr>
      <w:r>
        <w:rPr>
          <w:rFonts w:ascii="Calibri" w:hAnsi="Calibri"/>
          <w:sz w:val="22"/>
        </w:rPr>
        <w:t>Welke van de huidige consumers blijven toekomstig bestaan en welk minimaal segment hebben zij werkelijk nodig?</w:t>
      </w:r>
    </w:p>
    <w:p>
      <w:pPr>
        <w:pStyle w:val="ListBullet"/>
        <w:spacing w:after="100" w:line="280" w:lineRule="auto"/>
      </w:pPr>
      <w:r>
        <w:rPr>
          <w:rFonts w:ascii="Calibri" w:hAnsi="Calibri"/>
          <w:i w:val="0"/>
          <w:color w:val="111111"/>
          <w:sz w:val="22"/>
        </w:rPr>
        <w:t>Zijn Maximo2RHM_Workorders en Quintiq2Maximo_PlannedWorkOrder de volledige PROD-scope, en waarom ontbreken de overige scanclusters in de WerkOrder-TMC-selectie?</w:t>
      </w:r>
    </w:p>
    <w:p>
      <w:pPr>
        <w:pStyle w:val="ListBullet"/>
        <w:spacing w:after="100" w:line="280" w:lineRule="auto"/>
      </w:pPr>
      <w:r>
        <w:rPr>
          <w:rFonts w:ascii="Calibri" w:hAnsi="Calibri"/>
          <w:sz w:val="22"/>
        </w:rPr>
        <w:t>Wat betekenen WOP, BC, WO3, WO14, WOLO4/5, WOPM1/5/6 en HistoryFlag functioneel?</w:t>
      </w:r>
    </w:p>
    <w:p>
      <w:pPr>
        <w:pStyle w:val="ListBullet"/>
        <w:spacing w:after="100" w:line="280" w:lineRule="auto"/>
      </w:pPr>
      <w:r>
        <w:rPr>
          <w:rFonts w:ascii="Calibri" w:hAnsi="Calibri"/>
          <w:sz w:val="22"/>
        </w:rPr>
        <w:t>Is een verwijderde WerkOrder een technische delete, een annulering, een intrekking of een historische afsluiting?</w:t>
      </w:r>
    </w:p>
    <w:p>
      <w:pPr>
        <w:pStyle w:val="ListBullet"/>
        <w:spacing w:after="100" w:line="280" w:lineRule="auto"/>
      </w:pPr>
      <w:r>
        <w:rPr>
          <w:rFonts w:ascii="Calibri" w:hAnsi="Calibri"/>
          <w:sz w:val="22"/>
        </w:rPr>
        <w:t>Zijn Ortec direct/indirect afzonderlijke state changes of attributen van dezelfde planninggebeurtenis?</w:t>
      </w:r>
    </w:p>
    <w:p>
      <w:pPr>
        <w:pStyle w:val="ListBullet"/>
        <w:spacing w:after="100" w:line="280" w:lineRule="auto"/>
      </w:pPr>
      <w:r>
        <w:rPr>
          <w:rFonts w:ascii="Calibri" w:hAnsi="Calibri"/>
          <w:sz w:val="22"/>
        </w:rPr>
        <w:t>Welke exacte AssetCheck- en 4PS-payloads worden in productie verzonden en terugontvangen?</w:t>
      </w:r>
    </w:p>
    <w:p>
      <w:pPr>
        <w:pStyle w:val="ListBullet"/>
        <w:spacing w:after="100" w:line="280" w:lineRule="auto"/>
      </w:pPr>
      <w:r>
        <w:rPr>
          <w:rFonts w:ascii="Calibri" w:hAnsi="Calibri"/>
          <w:i w:val="0"/>
          <w:color w:val="111111"/>
          <w:sz w:val="22"/>
        </w:rPr>
        <w:t>Hoeveel WerkOrders of berichten verwerkt iedere run werkelijk, en welke latency, herstelbehoefte, replaygrenzen en businessimpact gelden per capability? TMC toont runs, niet het businessvolume.</w:t>
      </w:r>
    </w:p>
    <w:p>
      <w:pPr>
        <w:pStyle w:val="ListBullet"/>
        <w:spacing w:after="100" w:line="280" w:lineRule="auto"/>
      </w:pPr>
      <w:r>
        <w:rPr>
          <w:rFonts w:ascii="Calibri" w:hAnsi="Calibri"/>
          <w:sz w:val="22"/>
        </w:rPr>
        <w:t>Welke persoonsgegevens en vertrouwelijke velden mogen in events worden opgenomen en welke moeten via referentie/query beschikbaar zijn?</w:t>
      </w:r>
    </w:p>
    <w:p>
      <w:pPr>
        <w:pStyle w:val="Heading1"/>
      </w:pPr>
      <w:r>
        <w:t>13. Eindconclusie</w:t>
      </w:r>
    </w:p>
    <w:p>
      <w:pPr>
        <w:spacing w:before="0" w:after="120" w:line="264" w:lineRule="auto"/>
      </w:pPr>
      <w:r>
        <w:rPr>
          <w:rFonts w:ascii="Calibri" w:hAnsi="Calibri"/>
          <w:i w:val="0"/>
          <w:color w:val="111111"/>
          <w:sz w:val="22"/>
        </w:rPr>
        <w:t>De combinatie van scan en TMC maakt een wezenlijk betere WerkOrder-analyse mogelijk dan een generieke Talend-vragenlijst. De scan toont ketens, informatievelden, technische vormen, mappings, SQL-regels en duplicatie; TMC voegt aantoonbare taakdefinities, omgevingen, uitvoeringshistorie en failurepatronen toe.</w:t>
      </w:r>
    </w:p>
    <w:p>
      <w:pPr>
        <w:spacing w:before="0" w:after="120" w:line="264" w:lineRule="auto"/>
      </w:pPr>
      <w:r>
        <w:rPr>
          <w:rFonts w:ascii="Calibri" w:hAnsi="Calibri"/>
          <w:i w:val="0"/>
          <w:color w:val="111111"/>
          <w:sz w:val="22"/>
        </w:rPr>
        <w:t>De runtimegegevens verschuiven een aantal claims van hypothese naar vastgesteld: twee WerkOrder-taken zijn in PROD uitgevoerd en drie ketens zijn alleen buiten PROD aangetoond. Zij bepalen echter nog niet welke businessuitwisseling moet blijven bestaan, wie formeel eigenaar is, welk businessvolume wordt verwerkt of hoe het officiele VWIIM WerkOrder-contract luidt. Bovendien is de runtimefeed sinds 16 augustus niet ververst.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4EA"/>
          </w:tcPr>
          <w:p>
            <w:pPr>
              <w:spacing w:after="0" w:line="264" w:lineRule="auto"/>
            </w:pPr>
            <w:r>
              <w:rPr>
                <w:rFonts w:ascii="Calibri" w:hAnsi="Calibri"/>
                <w:b/>
                <w:color w:val="17365D"/>
                <w:sz w:val="22"/>
              </w:rPr>
              <w:t xml:space="preserve">Beslisadvies: </w:t>
            </w:r>
            <w:r>
              <w:rPr>
                <w:rFonts w:ascii="Calibri" w:hAnsi="Calibri"/>
                <w:sz w:val="22"/>
              </w:rPr>
              <w:t>Gebruik dit dossier als startpunt voor een gezamenlijke business-/architectuursessie. Beslis eerst over WerkOrder-segmenten, state changes en authority; ontwerp daarna BEDDA-events en gerichte API's; migreer ten slotte per capability. Start niet met het een-op-een herbouwen van 358 Talend-artefacten.</w:t>
            </w:r>
          </w:p>
        </w:tc>
      </w:tr>
    </w:tbl>
    <w:p>
      <w:pPr>
        <w:spacing w:after="0"/>
      </w:pPr>
    </w:p>
    <w:p>
      <w:pPr>
        <w:pStyle w:val="Heading1"/>
      </w:pPr>
      <w:r>
        <w:t>Bijlage A. Bron- en claimregister</w:t>
      </w:r>
    </w:p>
    <w:tbl>
      <w:tblPr>
        <w:tblW w:type="dxa" w:w="9360"/>
        <w:tblStyle w:val="TableGrid"/>
        <w:jc w:val="left"/>
        <w:tblLook w:firstColumn="1" w:firstRow="1" w:lastColumn="0" w:lastRow="0" w:noHBand="0" w:noVBand="1" w:val="04A0"/>
        <w:tblInd w:type="dxa" w:w="120"/>
        <w:tblLayout w:type="fixed"/>
      </w:tblPr>
      <w:tblGrid>
        <w:gridCol w:w="700"/>
        <w:gridCol w:w="3900"/>
        <w:gridCol w:w="4760"/>
      </w:tblGrid>
      <w:tr>
        <w:trPr>
          <w:tblHeader w:val="true"/>
          <w:cantSplit/>
          <w:cantSplit/>
          <w:tblHeader w:val="true"/>
        </w:trPr>
        <w:tc>
          <w:tcPr>
            <w:tcW w:type="dxa" w:w="700"/>
            <w:shd w:fill="F2F4F7"/>
            <w:tcMar>
              <w:top w:w="80" w:type="dxa"/>
              <w:start w:w="120" w:type="dxa"/>
              <w:bottom w:w="80" w:type="dxa"/>
              <w:end w:w="120" w:type="dxa"/>
            </w:tcMar>
            <w:vAlign w:val="center"/>
          </w:tcPr>
          <w:p>
            <w:pPr>
              <w:spacing w:after="0"/>
              <w:jc w:val="left"/>
            </w:pPr>
            <w:r>
              <w:rPr>
                <w:rFonts w:ascii="Calibri" w:hAnsi="Calibri"/>
                <w:b/>
                <w:color w:val="17365D"/>
                <w:sz w:val="18"/>
              </w:rPr>
              <w:t>ID</w:t>
            </w:r>
          </w:p>
        </w:tc>
        <w:tc>
          <w:tcPr>
            <w:tcW w:type="dxa" w:w="3900"/>
            <w:shd w:fill="F2F4F7"/>
            <w:tcMar>
              <w:top w:w="80" w:type="dxa"/>
              <w:start w:w="120" w:type="dxa"/>
              <w:bottom w:w="80" w:type="dxa"/>
              <w:end w:w="120" w:type="dxa"/>
            </w:tcMar>
            <w:vAlign w:val="center"/>
          </w:tcPr>
          <w:p>
            <w:pPr>
              <w:spacing w:after="0"/>
              <w:jc w:val="left"/>
            </w:pPr>
            <w:r>
              <w:rPr>
                <w:rFonts w:ascii="Calibri" w:hAnsi="Calibri"/>
                <w:b/>
                <w:color w:val="17365D"/>
                <w:sz w:val="18"/>
              </w:rPr>
              <w:t>Bron</w:t>
            </w:r>
          </w:p>
        </w:tc>
        <w:tc>
          <w:tcPr>
            <w:tcW w:type="dxa" w:w="4760"/>
            <w:shd w:fill="F2F4F7"/>
            <w:tcMar>
              <w:top w:w="80" w:type="dxa"/>
              <w:start w:w="120" w:type="dxa"/>
              <w:bottom w:w="80" w:type="dxa"/>
              <w:end w:w="120" w:type="dxa"/>
            </w:tcMar>
            <w:vAlign w:val="center"/>
          </w:tcPr>
          <w:p>
            <w:pPr>
              <w:spacing w:after="0"/>
              <w:jc w:val="left"/>
            </w:pPr>
            <w:r>
              <w:rPr>
                <w:rFonts w:ascii="Calibri" w:hAnsi="Calibri"/>
                <w:b/>
                <w:color w:val="17365D"/>
                <w:sz w:val="18"/>
              </w:rPr>
              <w:t>Gebruik en beperking</w:t>
            </w:r>
          </w:p>
        </w:tc>
      </w:tr>
      <w:tr>
        <w:trPr>
          <w:cantSplit/>
          <w:cantSplit/>
        </w:trPr>
        <w:tc>
          <w:tcPr>
            <w:tcW w:type="dxa" w:w="700"/>
            <w:tcMar>
              <w:top w:w="80" w:type="dxa"/>
              <w:start w:w="120" w:type="dxa"/>
              <w:bottom w:w="80" w:type="dxa"/>
              <w:end w:w="120" w:type="dxa"/>
            </w:tcMar>
            <w:vAlign w:val="center"/>
          </w:tcPr>
          <w:p>
            <w:pPr>
              <w:spacing w:after="0" w:line="252" w:lineRule="auto"/>
              <w:jc w:val="left"/>
            </w:pPr>
            <w:r>
              <w:rPr>
                <w:rFonts w:ascii="Calibri" w:hAnsi="Calibri"/>
                <w:sz w:val="18"/>
              </w:rPr>
              <w:t>S1</w:t>
            </w:r>
          </w:p>
        </w:tc>
        <w:tc>
          <w:tcPr>
            <w:tcW w:type="dxa" w:w="3900"/>
            <w:tcMar>
              <w:top w:w="80" w:type="dxa"/>
              <w:start w:w="120" w:type="dxa"/>
              <w:bottom w:w="80" w:type="dxa"/>
              <w:end w:w="120" w:type="dxa"/>
            </w:tcMar>
            <w:vAlign w:val="center"/>
          </w:tcPr>
          <w:p>
            <w:pPr>
              <w:spacing w:after="0" w:line="252" w:lineRule="auto"/>
              <w:jc w:val="left"/>
            </w:pPr>
            <w:r>
              <w:rPr>
                <w:rFonts w:ascii="Calibri" w:hAnsi="Calibri"/>
                <w:sz w:val="18"/>
              </w:rPr>
              <w:t>intodoc-output/VW_Werkorder/scan_result.json</w:t>
            </w:r>
          </w:p>
        </w:tc>
        <w:tc>
          <w:tcPr>
            <w:tcW w:type="dxa" w:w="4760"/>
            <w:tcMar>
              <w:top w:w="80" w:type="dxa"/>
              <w:start w:w="120" w:type="dxa"/>
              <w:bottom w:w="80" w:type="dxa"/>
              <w:end w:w="120" w:type="dxa"/>
            </w:tcMar>
            <w:vAlign w:val="center"/>
          </w:tcPr>
          <w:p>
            <w:pPr>
              <w:spacing w:after="0" w:line="252" w:lineRule="auto"/>
              <w:jc w:val="left"/>
            </w:pPr>
            <w:r>
              <w:rPr>
                <w:rFonts w:ascii="Calibri" w:hAnsi="Calibri"/>
                <w:sz w:val="18"/>
              </w:rPr>
              <w:t>Technische feiten uit Talend-repository, scan 18-08-2026; geen runtime of formeel ownership.</w:t>
            </w:r>
          </w:p>
        </w:tc>
      </w:tr>
      <w:tr>
        <w:trPr>
          <w:cantSplit/>
          <w:cantSplit/>
        </w:trPr>
        <w:tc>
          <w:tcPr>
            <w:tcW w:type="dxa" w:w="700"/>
            <w:tcMar>
              <w:top w:w="80" w:type="dxa"/>
              <w:start w:w="120" w:type="dxa"/>
              <w:bottom w:w="80" w:type="dxa"/>
              <w:end w:w="120" w:type="dxa"/>
            </w:tcMar>
            <w:vAlign w:val="center"/>
          </w:tcPr>
          <w:p>
            <w:pPr>
              <w:spacing w:after="0" w:line="252" w:lineRule="auto"/>
              <w:jc w:val="left"/>
            </w:pPr>
            <w:r>
              <w:rPr>
                <w:rFonts w:ascii="Calibri" w:hAnsi="Calibri"/>
                <w:sz w:val="18"/>
              </w:rPr>
              <w:t>S2</w:t>
            </w:r>
          </w:p>
        </w:tc>
        <w:tc>
          <w:tcPr>
            <w:tcW w:type="dxa" w:w="3900"/>
            <w:tcMar>
              <w:top w:w="80" w:type="dxa"/>
              <w:start w:w="120" w:type="dxa"/>
              <w:bottom w:w="80" w:type="dxa"/>
              <w:end w:w="120" w:type="dxa"/>
            </w:tcMar>
            <w:vAlign w:val="center"/>
          </w:tcPr>
          <w:p>
            <w:pPr>
              <w:spacing w:after="0" w:line="252" w:lineRule="auto"/>
              <w:jc w:val="left"/>
            </w:pPr>
            <w:r>
              <w:rPr>
                <w:rFonts w:ascii="Calibri" w:hAnsi="Calibri"/>
                <w:sz w:val="18"/>
              </w:rPr>
              <w:t>VWI Integratie Beleid 0.8</w:t>
            </w:r>
          </w:p>
        </w:tc>
        <w:tc>
          <w:tcPr>
            <w:tcW w:type="dxa" w:w="4760"/>
            <w:tcMar>
              <w:top w:w="80" w:type="dxa"/>
              <w:start w:w="120" w:type="dxa"/>
              <w:bottom w:w="80" w:type="dxa"/>
              <w:end w:w="120" w:type="dxa"/>
            </w:tcMar>
            <w:vAlign w:val="center"/>
          </w:tcPr>
          <w:p>
            <w:pPr>
              <w:spacing w:after="0" w:line="252" w:lineRule="auto"/>
              <w:jc w:val="left"/>
            </w:pPr>
            <w:r>
              <w:rPr>
                <w:rFonts w:ascii="Calibri" w:hAnsi="Calibri"/>
                <w:sz w:val="18"/>
              </w:rPr>
              <w:t>Normatieve beleidsrichting, versie 17-06-2026; intern concept met reviewopmerkingen.</w:t>
            </w:r>
          </w:p>
        </w:tc>
      </w:tr>
      <w:tr>
        <w:trPr>
          <w:cantSplit/>
          <w:cantSplit/>
        </w:trPr>
        <w:tc>
          <w:tcPr>
            <w:tcW w:type="dxa" w:w="700"/>
            <w:tcMar>
              <w:top w:w="80" w:type="dxa"/>
              <w:start w:w="120" w:type="dxa"/>
              <w:bottom w:w="80" w:type="dxa"/>
              <w:end w:w="120" w:type="dxa"/>
            </w:tcMar>
            <w:vAlign w:val="center"/>
          </w:tcPr>
          <w:p>
            <w:pPr>
              <w:spacing w:after="0" w:line="252" w:lineRule="auto"/>
              <w:jc w:val="left"/>
            </w:pPr>
            <w:r>
              <w:rPr>
                <w:rFonts w:ascii="Calibri" w:hAnsi="Calibri"/>
                <w:sz w:val="18"/>
              </w:rPr>
              <w:t>S3</w:t>
            </w:r>
          </w:p>
        </w:tc>
        <w:tc>
          <w:tcPr>
            <w:tcW w:type="dxa" w:w="3900"/>
            <w:tcMar>
              <w:top w:w="80" w:type="dxa"/>
              <w:start w:w="120" w:type="dxa"/>
              <w:bottom w:w="80" w:type="dxa"/>
              <w:end w:w="120" w:type="dxa"/>
            </w:tcMar>
            <w:vAlign w:val="center"/>
          </w:tcPr>
          <w:p>
            <w:pPr>
              <w:spacing w:after="0" w:line="252" w:lineRule="auto"/>
              <w:jc w:val="left"/>
            </w:pPr>
            <w:r>
              <w:rPr>
                <w:rFonts w:ascii="Calibri" w:hAnsi="Calibri"/>
                <w:sz w:val="18"/>
              </w:rPr>
              <w:t>VWI Integratie Kaders &amp; Richtlijnen 0.8</w:t>
            </w:r>
          </w:p>
        </w:tc>
        <w:tc>
          <w:tcPr>
            <w:tcW w:type="dxa" w:w="4760"/>
            <w:tcMar>
              <w:top w:w="80" w:type="dxa"/>
              <w:start w:w="120" w:type="dxa"/>
              <w:bottom w:w="80" w:type="dxa"/>
              <w:end w:w="120" w:type="dxa"/>
            </w:tcMar>
            <w:vAlign w:val="center"/>
          </w:tcPr>
          <w:p>
            <w:pPr>
              <w:spacing w:after="0" w:line="252" w:lineRule="auto"/>
              <w:jc w:val="left"/>
            </w:pPr>
            <w:r>
              <w:rPr>
                <w:rFonts w:ascii="Calibri" w:hAnsi="Calibri"/>
                <w:sz w:val="18"/>
              </w:rPr>
              <w:t>Uitwerking principes en BEDDA-eventstructuur, versie 17-06-2026; intern concept.</w:t>
            </w:r>
          </w:p>
        </w:tc>
      </w:tr>
      <w:tr>
        <w:trPr>
          <w:cantSplit/>
          <w:cantSplit/>
        </w:trPr>
        <w:tc>
          <w:tcPr>
            <w:tcW w:type="dxa" w:w="700"/>
            <w:vAlign w:val="center"/>
            <w:tcMar>
              <w:top w:type="dxa" w:w="80"/>
              <w:start w:type="dxa" w:w="120"/>
              <w:bottom w:type="dxa" w:w="80"/>
              <w:end w:type="dxa" w:w="120"/>
            </w:tcMar>
          </w:tcPr>
          <w:p>
            <w:pPr>
              <w:spacing w:after="0" w:line="252" w:lineRule="auto"/>
            </w:pPr>
            <w:r>
              <w:rPr>
                <w:rFonts w:ascii="Calibri" w:hAnsi="Calibri"/>
                <w:sz w:val="17"/>
              </w:rPr>
              <w:t>S4</w:t>
            </w:r>
          </w:p>
        </w:tc>
        <w:tc>
          <w:tcPr>
            <w:tcW w:type="dxa" w:w="3900"/>
            <w:vAlign w:val="center"/>
            <w:tcMar>
              <w:top w:type="dxa" w:w="80"/>
              <w:start w:type="dxa" w:w="120"/>
              <w:bottom w:type="dxa" w:w="80"/>
              <w:end w:type="dxa" w:w="120"/>
            </w:tcMar>
          </w:tcPr>
          <w:p>
            <w:pPr>
              <w:spacing w:after="0" w:line="252" w:lineRule="auto"/>
            </w:pPr>
            <w:r>
              <w:rPr>
                <w:rFonts w:ascii="Calibri" w:hAnsi="Calibri"/>
                <w:sz w:val="17"/>
              </w:rPr>
              <w:t>TMC-runtime-opslag project werkorder</w:t>
            </w:r>
          </w:p>
        </w:tc>
        <w:tc>
          <w:tcPr>
            <w:tcW w:type="dxa" w:w="4760"/>
            <w:vAlign w:val="center"/>
            <w:tcMar>
              <w:top w:type="dxa" w:w="80"/>
              <w:start w:type="dxa" w:w="120"/>
              <w:bottom w:type="dxa" w:w="80"/>
              <w:end w:type="dxa" w:w="120"/>
            </w:tcMar>
          </w:tcPr>
          <w:p>
            <w:pPr>
              <w:spacing w:after="0" w:line="252" w:lineRule="auto"/>
            </w:pPr>
            <w:r>
              <w:rPr>
                <w:rFonts w:ascii="Calibri" w:hAnsi="Calibri"/>
                <w:sz w:val="17"/>
              </w:rPr>
              <w:t>Taken, omgevingen, runs, failures, plannen en foutsignaturen; laatste succesvolle sync 16-08-2026 22:14 UTC; geen businessvolumes.</w:t>
            </w:r>
          </w:p>
        </w:tc>
      </w:tr>
    </w:tbl>
    <w:p>
      <w:pPr>
        <w:spacing w:after="0"/>
      </w:pPr>
    </w:p>
    <w:tbl>
      <w:tblPr>
        <w:tblW w:type="dxa" w:w="9360"/>
        <w:tblStyle w:val="TableGrid"/>
        <w:jc w:val="left"/>
        <w:tblLook w:firstColumn="1" w:firstRow="1" w:lastColumn="0" w:lastRow="0" w:noHBand="0" w:noVBand="1" w:val="04A0"/>
        <w:tblInd w:type="dxa" w:w="120"/>
        <w:tblLayout w:type="fixed"/>
      </w:tblPr>
      <w:tblGrid>
        <w:gridCol w:w="3500"/>
        <w:gridCol w:w="4200"/>
        <w:gridCol w:w="1660"/>
      </w:tblGrid>
      <w:tr>
        <w:trPr>
          <w:tblHeader w:val="true"/>
          <w:cantSplit/>
          <w:cantSplit/>
          <w:tblHeader w:val="true"/>
        </w:trPr>
        <w:tc>
          <w:tcPr>
            <w:tcW w:type="dxa" w:w="3500"/>
            <w:shd w:fill="F2F4F7"/>
            <w:tcMar>
              <w:top w:w="80" w:type="dxa"/>
              <w:start w:w="120" w:type="dxa"/>
              <w:bottom w:w="80" w:type="dxa"/>
              <w:end w:w="120" w:type="dxa"/>
            </w:tcMar>
            <w:vAlign w:val="center"/>
          </w:tcPr>
          <w:p>
            <w:pPr>
              <w:spacing w:after="0"/>
              <w:jc w:val="left"/>
            </w:pPr>
            <w:r>
              <w:rPr>
                <w:rFonts w:ascii="Calibri" w:hAnsi="Calibri"/>
                <w:b/>
                <w:color w:val="17365D"/>
                <w:sz w:val="17"/>
              </w:rPr>
              <w:t>Claim</w:t>
            </w:r>
          </w:p>
        </w:tc>
        <w:tc>
          <w:tcPr>
            <w:tcW w:type="dxa" w:w="4200"/>
            <w:shd w:fill="F2F4F7"/>
            <w:tcMar>
              <w:top w:w="80" w:type="dxa"/>
              <w:start w:w="120" w:type="dxa"/>
              <w:bottom w:w="80" w:type="dxa"/>
              <w:end w:w="120" w:type="dxa"/>
            </w:tcMar>
            <w:vAlign w:val="center"/>
          </w:tcPr>
          <w:p>
            <w:r>
              <w:rPr>
                <w:rFonts w:ascii="Calibri" w:hAnsi="Calibri"/>
                <w:b/>
                <w:color w:val="17365D"/>
                <w:sz w:val="17"/>
              </w:rPr>
              <w:t>Bewijs</w:t>
            </w:r>
          </w:p>
        </w:tc>
        <w:tc>
          <w:tcPr>
            <w:tcW w:type="dxa" w:w="1660"/>
            <w:shd w:fill="F2F4F7"/>
            <w:tcMar>
              <w:top w:w="80" w:type="dxa"/>
              <w:start w:w="120" w:type="dxa"/>
              <w:bottom w:w="80" w:type="dxa"/>
              <w:end w:w="120" w:type="dxa"/>
            </w:tcMar>
            <w:vAlign w:val="center"/>
          </w:tcPr>
          <w:p>
            <w:pPr>
              <w:spacing w:after="0"/>
              <w:jc w:val="left"/>
            </w:pPr>
            <w:r>
              <w:rPr>
                <w:rFonts w:ascii="Calibri" w:hAnsi="Calibri"/>
                <w:b/>
                <w:color w:val="17365D"/>
                <w:sz w:val="17"/>
              </w:rPr>
              <w:t>Status</w:t>
            </w:r>
          </w:p>
        </w:tc>
      </w:tr>
      <w:tr>
        <w:trPr>
          <w:cantSplit/>
          <w:cantSplit/>
        </w:trPr>
        <w:tc>
          <w:tcPr>
            <w:tcW w:type="dxa" w:w="3500"/>
            <w:tcMar>
              <w:top w:w="80" w:type="dxa"/>
              <w:start w:w="120" w:type="dxa"/>
              <w:bottom w:w="80" w:type="dxa"/>
              <w:end w:w="120" w:type="dxa"/>
            </w:tcMar>
            <w:vAlign w:val="center"/>
          </w:tcPr>
          <w:p>
            <w:pPr>
              <w:spacing w:after="0" w:line="252" w:lineRule="auto"/>
              <w:jc w:val="left"/>
            </w:pPr>
            <w:r>
              <w:rPr>
                <w:rFonts w:ascii="Calibri" w:hAnsi="Calibri"/>
                <w:sz w:val="17"/>
              </w:rPr>
              <w:t>WerkOrder wordt in meerdere functionele segmenten uitgewisseld.</w:t>
            </w:r>
          </w:p>
        </w:tc>
        <w:tc>
          <w:tcPr>
            <w:tcW w:type="dxa" w:w="4200"/>
            <w:tcMar>
              <w:top w:w="80" w:type="dxa"/>
              <w:start w:w="120" w:type="dxa"/>
              <w:bottom w:w="80" w:type="dxa"/>
              <w:end w:w="120" w:type="dxa"/>
            </w:tcMar>
            <w:vAlign w:val="center"/>
          </w:tcPr>
          <w:p>
            <w:pPr>
              <w:spacing w:after="0" w:line="252" w:lineRule="auto"/>
              <w:jc w:val="left"/>
            </w:pPr>
            <w:r>
              <w:rPr>
                <w:rFonts w:ascii="Calibri" w:hAnsi="Calibri"/>
                <w:sz w:val="17"/>
              </w:rPr>
              <w:t>Mappings/SQL over kern, planning, lifecycle, uitvoering en financien.</w:t>
            </w:r>
          </w:p>
        </w:tc>
        <w:tc>
          <w:tcPr>
            <w:tcW w:type="dxa" w:w="1660"/>
            <w:tcMar>
              <w:top w:w="80" w:type="dxa"/>
              <w:start w:w="120" w:type="dxa"/>
              <w:bottom w:w="80" w:type="dxa"/>
              <w:end w:w="120" w:type="dxa"/>
            </w:tcMar>
            <w:vAlign w:val="center"/>
          </w:tcPr>
          <w:p>
            <w:pPr>
              <w:spacing w:after="0" w:line="252" w:lineRule="auto"/>
              <w:jc w:val="left"/>
            </w:pPr>
            <w:r>
              <w:rPr>
                <w:rFonts w:ascii="Calibri" w:hAnsi="Calibri"/>
                <w:sz w:val="17"/>
              </w:rPr>
              <w:t>Vastgesteld</w:t>
            </w:r>
          </w:p>
        </w:tc>
      </w:tr>
      <w:tr>
        <w:trPr>
          <w:cantSplit/>
          <w:cantSplit/>
        </w:trPr>
        <w:tc>
          <w:tcPr>
            <w:tcW w:type="dxa" w:w="3500"/>
            <w:tcMar>
              <w:top w:w="80" w:type="dxa"/>
              <w:start w:w="120" w:type="dxa"/>
              <w:bottom w:w="80" w:type="dxa"/>
              <w:end w:w="120" w:type="dxa"/>
            </w:tcMar>
            <w:vAlign w:val="center"/>
          </w:tcPr>
          <w:p>
            <w:pPr>
              <w:spacing w:after="0" w:line="252" w:lineRule="auto"/>
              <w:jc w:val="left"/>
            </w:pPr>
            <w:r>
              <w:rPr>
                <w:rFonts w:ascii="Calibri" w:hAnsi="Calibri"/>
                <w:sz w:val="17"/>
              </w:rPr>
              <w:t>Maximo -&gt; Quintiq bevat een brede WerkOrderrepresentatie.</w:t>
            </w:r>
          </w:p>
        </w:tc>
        <w:tc>
          <w:tcPr>
            <w:tcW w:type="dxa" w:w="4200"/>
            <w:tcMar>
              <w:top w:w="80" w:type="dxa"/>
              <w:start w:w="120" w:type="dxa"/>
              <w:bottom w:w="80" w:type="dxa"/>
              <w:end w:w="120" w:type="dxa"/>
            </w:tcMar>
            <w:vAlign w:val="center"/>
          </w:tcPr>
          <w:p>
            <w:pPr>
              <w:spacing w:after="0" w:line="252" w:lineRule="auto"/>
              <w:jc w:val="left"/>
            </w:pPr>
            <w:r>
              <w:rPr>
                <w:rFonts w:ascii="Calibri" w:hAnsi="Calibri"/>
                <w:sz w:val="17"/>
              </w:rPr>
              <w:t>23 tMap-outputvelden inclusief planning, locatie, rollen en context.</w:t>
            </w:r>
          </w:p>
        </w:tc>
        <w:tc>
          <w:tcPr>
            <w:tcW w:type="dxa" w:w="1660"/>
            <w:tcMar>
              <w:top w:w="80" w:type="dxa"/>
              <w:start w:w="120" w:type="dxa"/>
              <w:bottom w:w="80" w:type="dxa"/>
              <w:end w:w="120" w:type="dxa"/>
            </w:tcMar>
            <w:vAlign w:val="center"/>
          </w:tcPr>
          <w:p>
            <w:pPr>
              <w:spacing w:after="0" w:line="252" w:lineRule="auto"/>
              <w:jc w:val="left"/>
            </w:pPr>
            <w:r>
              <w:rPr>
                <w:rFonts w:ascii="Calibri" w:hAnsi="Calibri"/>
                <w:sz w:val="17"/>
              </w:rPr>
              <w:t>Vastgesteld</w:t>
            </w:r>
          </w:p>
        </w:tc>
      </w:tr>
      <w:tr>
        <w:trPr>
          <w:cantSplit/>
          <w:cantSplit/>
        </w:trPr>
        <w:tc>
          <w:tcPr>
            <w:tcW w:type="dxa" w:w="3500"/>
            <w:tcMar>
              <w:top w:w="80" w:type="dxa"/>
              <w:start w:w="120" w:type="dxa"/>
              <w:bottom w:w="80" w:type="dxa"/>
              <w:end w:w="120" w:type="dxa"/>
            </w:tcMar>
            <w:vAlign w:val="center"/>
          </w:tcPr>
          <w:p>
            <w:pPr>
              <w:spacing w:after="0" w:line="252" w:lineRule="auto"/>
              <w:jc w:val="left"/>
            </w:pPr>
            <w:r>
              <w:rPr>
                <w:rFonts w:ascii="Calibri" w:hAnsi="Calibri"/>
                <w:sz w:val="17"/>
              </w:rPr>
              <w:t>Quintiq -&gt; Maximo bevat planningselectie en fallbacklogica.</w:t>
            </w:r>
          </w:p>
        </w:tc>
        <w:tc>
          <w:tcPr>
            <w:tcW w:type="dxa" w:w="4200"/>
            <w:tcMar>
              <w:top w:w="80" w:type="dxa"/>
              <w:start w:w="120" w:type="dxa"/>
              <w:bottom w:w="80" w:type="dxa"/>
              <w:end w:w="120" w:type="dxa"/>
            </w:tcMar>
            <w:vAlign w:val="center"/>
          </w:tcPr>
          <w:p>
            <w:pPr>
              <w:spacing w:after="0" w:line="252" w:lineRule="auto"/>
              <w:jc w:val="left"/>
            </w:pPr>
            <w:r>
              <w:rPr>
                <w:rFonts w:ascii="Calibri" w:hAnsi="Calibri"/>
                <w:sz w:val="17"/>
              </w:rPr>
              <w:t>SQL op WOP/CapacityTask en afleiding van BC/SCHEDSTART/SCHEDFINISH/WOPM6.</w:t>
            </w:r>
          </w:p>
        </w:tc>
        <w:tc>
          <w:tcPr>
            <w:tcW w:type="dxa" w:w="1660"/>
            <w:tcMar>
              <w:top w:w="80" w:type="dxa"/>
              <w:start w:w="120" w:type="dxa"/>
              <w:bottom w:w="80" w:type="dxa"/>
              <w:end w:w="120" w:type="dxa"/>
            </w:tcMar>
            <w:vAlign w:val="center"/>
          </w:tcPr>
          <w:p>
            <w:pPr>
              <w:spacing w:after="0" w:line="252" w:lineRule="auto"/>
              <w:jc w:val="left"/>
            </w:pPr>
            <w:r>
              <w:rPr>
                <w:rFonts w:ascii="Calibri" w:hAnsi="Calibri"/>
                <w:sz w:val="17"/>
              </w:rPr>
              <w:t>Vastgesteld</w:t>
            </w:r>
          </w:p>
        </w:tc>
      </w:tr>
      <w:tr>
        <w:trPr>
          <w:cantSplit/>
          <w:cantSplit/>
        </w:trPr>
        <w:tc>
          <w:tcPr>
            <w:tcW w:type="dxa" w:w="3500"/>
            <w:tcMar>
              <w:top w:w="80" w:type="dxa"/>
              <w:start w:w="120" w:type="dxa"/>
              <w:bottom w:w="80" w:type="dxa"/>
              <w:end w:w="120" w:type="dxa"/>
            </w:tcMar>
            <w:vAlign w:val="center"/>
          </w:tcPr>
          <w:p>
            <w:pPr>
              <w:spacing w:after="0" w:line="252" w:lineRule="auto"/>
              <w:jc w:val="left"/>
            </w:pPr>
            <w:r>
              <w:rPr>
                <w:rFonts w:ascii="Calibri" w:hAnsi="Calibri"/>
                <w:sz w:val="17"/>
              </w:rPr>
              <w:t>AssetCheck- en Vialis-aanlevering bevat duplicatie.</w:t>
            </w:r>
          </w:p>
        </w:tc>
        <w:tc>
          <w:tcPr>
            <w:tcW w:type="dxa" w:w="4200"/>
            <w:tcMar>
              <w:top w:w="80" w:type="dxa"/>
              <w:start w:w="120" w:type="dxa"/>
              <w:bottom w:w="80" w:type="dxa"/>
              <w:end w:w="120" w:type="dxa"/>
            </w:tcMar>
            <w:vAlign w:val="center"/>
          </w:tcPr>
          <w:p>
            <w:pPr>
              <w:spacing w:after="0" w:line="252" w:lineRule="auto"/>
              <w:jc w:val="left"/>
            </w:pPr>
            <w:r>
              <w:rPr>
                <w:rFonts w:ascii="Calibri" w:hAnsi="Calibri"/>
                <w:sz w:val="17"/>
              </w:rPr>
              <w:t>45 overlappende AssetCheck-jobnamen; 93-100% Vialis-root-overlap.</w:t>
            </w:r>
          </w:p>
        </w:tc>
        <w:tc>
          <w:tcPr>
            <w:tcW w:type="dxa" w:w="1660"/>
            <w:tcMar>
              <w:top w:w="80" w:type="dxa"/>
              <w:start w:w="120" w:type="dxa"/>
              <w:bottom w:w="80" w:type="dxa"/>
              <w:end w:w="120" w:type="dxa"/>
            </w:tcMar>
            <w:vAlign w:val="center"/>
          </w:tcPr>
          <w:p>
            <w:pPr>
              <w:spacing w:after="0" w:line="252" w:lineRule="auto"/>
              <w:jc w:val="left"/>
            </w:pPr>
            <w:r>
              <w:rPr>
                <w:rFonts w:ascii="Calibri" w:hAnsi="Calibri"/>
                <w:sz w:val="17"/>
              </w:rPr>
              <w:t>Vastgesteld</w:t>
            </w:r>
          </w:p>
        </w:tc>
      </w:tr>
      <w:tr>
        <w:trPr>
          <w:cantSplit/>
          <w:cantSplit/>
        </w:trPr>
        <w:tc>
          <w:tcPr>
            <w:tcW w:type="dxa" w:w="3500"/>
            <w:tcMar>
              <w:top w:w="80" w:type="dxa"/>
              <w:start w:w="120" w:type="dxa"/>
              <w:bottom w:w="80" w:type="dxa"/>
              <w:end w:w="120" w:type="dxa"/>
            </w:tcMar>
            <w:vAlign w:val="center"/>
          </w:tcPr>
          <w:p>
            <w:r>
              <w:t>Acht WerkOrder-gerelateerde TMC-taakdefinities waren op de snapshotdatum als active geregistreerd.</w:t>
            </w:r>
          </w:p>
        </w:tc>
        <w:tc>
          <w:tcPr>
            <w:tcW w:type="dxa" w:w="4200"/>
            <w:tcMar>
              <w:top w:w="80" w:type="dxa"/>
              <w:start w:w="120" w:type="dxa"/>
              <w:bottom w:w="80" w:type="dxa"/>
              <w:end w:w="120" w:type="dxa"/>
            </w:tcMar>
            <w:vAlign w:val="center"/>
          </w:tcPr>
          <w:p>
            <w:r>
              <w:t>TMC-inventaris: 2 PROD, 3 ACC en 3 TST; last_seen 16-08-2026.</w:t>
            </w:r>
          </w:p>
        </w:tc>
        <w:tc>
          <w:tcPr>
            <w:tcW w:type="dxa" w:w="1660"/>
            <w:tcMar>
              <w:top w:w="80" w:type="dxa"/>
              <w:start w:w="120" w:type="dxa"/>
              <w:bottom w:w="80" w:type="dxa"/>
              <w:end w:w="120" w:type="dxa"/>
            </w:tcMar>
            <w:vAlign w:val="center"/>
          </w:tcPr>
          <w:p>
            <w:r>
              <w:t>Vastgesteld voor snapshot</w:t>
            </w:r>
          </w:p>
        </w:tc>
      </w:tr>
      <w:tr>
        <w:trPr>
          <w:cantSplit/>
          <w:cantSplit/>
        </w:trPr>
        <w:tc>
          <w:tcPr>
            <w:tcW w:type="dxa" w:w="3500"/>
            <w:tcMar>
              <w:top w:w="80" w:type="dxa"/>
              <w:start w:w="120" w:type="dxa"/>
              <w:bottom w:w="80" w:type="dxa"/>
              <w:end w:w="120" w:type="dxa"/>
            </w:tcMar>
            <w:vAlign w:val="center"/>
          </w:tcPr>
          <w:p>
            <w:pPr>
              <w:spacing w:after="0" w:line="252" w:lineRule="auto"/>
              <w:jc w:val="left"/>
            </w:pPr>
            <w:r>
              <w:rPr>
                <w:rFonts w:ascii="Calibri" w:hAnsi="Calibri"/>
                <w:sz w:val="17"/>
              </w:rPr>
              <w:t>Maximo is formeel auteur van alle uitgaande velden.</w:t>
            </w:r>
          </w:p>
        </w:tc>
        <w:tc>
          <w:tcPr>
            <w:tcW w:type="dxa" w:w="4200"/>
            <w:tcMar>
              <w:top w:w="80" w:type="dxa"/>
              <w:start w:w="120" w:type="dxa"/>
              <w:bottom w:w="80" w:type="dxa"/>
              <w:end w:w="120" w:type="dxa"/>
            </w:tcMar>
            <w:vAlign w:val="center"/>
          </w:tcPr>
          <w:p>
            <w:pPr>
              <w:spacing w:after="0" w:line="252" w:lineRule="auto"/>
              <w:jc w:val="left"/>
            </w:pPr>
            <w:r>
              <w:rPr>
                <w:rFonts w:ascii="Calibri" w:hAnsi="Calibri"/>
                <w:sz w:val="17"/>
              </w:rPr>
              <w:t>Technische bronrichting zichtbaar; business authority ontbreekt.</w:t>
            </w:r>
          </w:p>
        </w:tc>
        <w:tc>
          <w:tcPr>
            <w:tcW w:type="dxa" w:w="1660"/>
            <w:tcMar>
              <w:top w:w="80" w:type="dxa"/>
              <w:start w:w="120" w:type="dxa"/>
              <w:bottom w:w="80" w:type="dxa"/>
              <w:end w:w="120" w:type="dxa"/>
            </w:tcMar>
            <w:vAlign w:val="center"/>
          </w:tcPr>
          <w:p>
            <w:pPr>
              <w:spacing w:after="0" w:line="252" w:lineRule="auto"/>
              <w:jc w:val="left"/>
            </w:pPr>
            <w:r>
              <w:rPr>
                <w:rFonts w:ascii="Calibri" w:hAnsi="Calibri"/>
                <w:sz w:val="17"/>
              </w:rPr>
              <w:t>Niet bewezen</w:t>
            </w:r>
          </w:p>
        </w:tc>
      </w:tr>
      <w:tr>
        <w:trPr>
          <w:cantSplit/>
          <w:cantSplit/>
        </w:trPr>
        <w:tc>
          <w:tcPr>
            <w:tcW w:type="dxa" w:w="3500"/>
            <w:tcMar>
              <w:top w:w="80" w:type="dxa"/>
              <w:start w:w="120" w:type="dxa"/>
              <w:bottom w:w="80" w:type="dxa"/>
              <w:end w:w="120" w:type="dxa"/>
            </w:tcMar>
            <w:vAlign w:val="center"/>
          </w:tcPr>
          <w:p>
            <w:pPr>
              <w:spacing w:after="0" w:line="252" w:lineRule="auto"/>
              <w:jc w:val="left"/>
            </w:pPr>
            <w:r>
              <w:rPr>
                <w:rFonts w:ascii="Calibri" w:hAnsi="Calibri"/>
                <w:sz w:val="17"/>
              </w:rPr>
              <w:t>De voorgestelde eventnamen zijn officiele VWI-contracten.</w:t>
            </w:r>
          </w:p>
        </w:tc>
        <w:tc>
          <w:tcPr>
            <w:tcW w:type="dxa" w:w="4200"/>
            <w:tcMar>
              <w:top w:w="80" w:type="dxa"/>
              <w:start w:w="120" w:type="dxa"/>
              <w:bottom w:w="80" w:type="dxa"/>
              <w:end w:w="120" w:type="dxa"/>
            </w:tcMar>
            <w:vAlign w:val="center"/>
          </w:tcPr>
          <w:p>
            <w:pPr>
              <w:spacing w:after="0" w:line="252" w:lineRule="auto"/>
              <w:jc w:val="left"/>
            </w:pPr>
            <w:r>
              <w:rPr>
                <w:rFonts w:ascii="Calibri" w:hAnsi="Calibri"/>
                <w:sz w:val="17"/>
              </w:rPr>
              <w:t>Afgeleid uit ketencategorieen en VWI-naamgevingsregels.</w:t>
            </w:r>
          </w:p>
        </w:tc>
        <w:tc>
          <w:tcPr>
            <w:tcW w:type="dxa" w:w="1660"/>
            <w:tcMar>
              <w:top w:w="80" w:type="dxa"/>
              <w:start w:w="120" w:type="dxa"/>
              <w:bottom w:w="80" w:type="dxa"/>
              <w:end w:w="120" w:type="dxa"/>
            </w:tcMar>
            <w:vAlign w:val="center"/>
          </w:tcPr>
          <w:p>
            <w:pPr>
              <w:spacing w:after="0" w:line="252" w:lineRule="auto"/>
              <w:jc w:val="left"/>
            </w:pPr>
            <w:r>
              <w:rPr>
                <w:rFonts w:ascii="Calibri" w:hAnsi="Calibri"/>
                <w:sz w:val="17"/>
              </w:rPr>
              <w:t>Ontwerpvoorstel</w:t>
            </w:r>
          </w:p>
        </w:tc>
      </w:tr>
      <w:tr>
        <w:trPr>
          <w:cantSplit/>
          <w:cantSplit/>
        </w:trPr>
        <w:tc>
          <w:tcPr>
            <w:tcW w:type="dxa" w:w="3500"/>
            <w:vAlign w:val="center"/>
            <w:tcMar>
              <w:top w:type="dxa" w:w="80"/>
              <w:start w:type="dxa" w:w="120"/>
              <w:bottom w:type="dxa" w:w="80"/>
              <w:end w:type="dxa" w:w="120"/>
            </w:tcMar>
          </w:tcPr>
          <w:p>
            <w:pPr>
              <w:spacing w:after="0" w:line="252" w:lineRule="auto"/>
            </w:pPr>
            <w:r>
              <w:rPr>
                <w:rFonts w:ascii="Calibri" w:hAnsi="Calibri"/>
                <w:sz w:val="17"/>
              </w:rPr>
              <w:t>Maximo2RHM_Workorders en Quintiq2Maximo_PlannedWorkOrder zijn in PROD uitgevoerd.</w:t>
            </w:r>
          </w:p>
        </w:tc>
        <w:tc>
          <w:tcPr>
            <w:tcW w:type="dxa" w:w="4200"/>
            <w:vAlign w:val="center"/>
            <w:tcMar>
              <w:top w:type="dxa" w:w="80"/>
              <w:start w:type="dxa" w:w="120"/>
              <w:bottom w:type="dxa" w:w="80"/>
              <w:end w:type="dxa" w:w="120"/>
            </w:tcMar>
          </w:tcPr>
          <w:p>
            <w:pPr>
              <w:spacing w:after="0" w:line="252" w:lineRule="auto"/>
            </w:pPr>
            <w:r>
              <w:rPr>
                <w:rFonts w:ascii="Calibri" w:hAnsi="Calibri"/>
                <w:sz w:val="17"/>
              </w:rPr>
              <w:t>Respectievelijk 893 en 597 runs; laatste runs 16-08-2026 met status success.</w:t>
            </w:r>
          </w:p>
        </w:tc>
        <w:tc>
          <w:tcPr>
            <w:tcW w:type="dxa" w:w="1660"/>
            <w:vAlign w:val="center"/>
            <w:tcMar>
              <w:top w:type="dxa" w:w="80"/>
              <w:start w:type="dxa" w:w="120"/>
              <w:bottom w:type="dxa" w:w="80"/>
              <w:end w:type="dxa" w:w="120"/>
            </w:tcMar>
          </w:tcPr>
          <w:p>
            <w:pPr>
              <w:spacing w:after="0" w:line="252" w:lineRule="auto"/>
            </w:pPr>
            <w:r>
              <w:rPr>
                <w:rFonts w:ascii="Calibri" w:hAnsi="Calibri"/>
                <w:sz w:val="17"/>
              </w:rPr>
              <w:t>Vastgesteld voor periode</w:t>
            </w:r>
          </w:p>
        </w:tc>
      </w:tr>
      <w:tr>
        <w:trPr>
          <w:cantSplit/>
          <w:cantSplit/>
        </w:trPr>
        <w:tc>
          <w:tcPr>
            <w:tcW w:type="dxa" w:w="3500"/>
            <w:vAlign w:val="center"/>
            <w:tcMar>
              <w:top w:type="dxa" w:w="80"/>
              <w:start w:type="dxa" w:w="120"/>
              <w:bottom w:type="dxa" w:w="80"/>
              <w:end w:type="dxa" w:w="120"/>
            </w:tcMar>
          </w:tcPr>
          <w:p>
            <w:pPr>
              <w:spacing w:after="0" w:line="252" w:lineRule="auto"/>
            </w:pPr>
            <w:r>
              <w:rPr>
                <w:rFonts w:ascii="Calibri" w:hAnsi="Calibri"/>
                <w:sz w:val="17"/>
              </w:rPr>
              <w:t>De TMC-selectie dekt het volledige statische WerkOrder-landschap.</w:t>
            </w:r>
          </w:p>
        </w:tc>
        <w:tc>
          <w:tcPr>
            <w:tcW w:type="dxa" w:w="4200"/>
            <w:vAlign w:val="center"/>
            <w:tcMar>
              <w:top w:type="dxa" w:w="80"/>
              <w:start w:type="dxa" w:w="120"/>
              <w:bottom w:type="dxa" w:w="80"/>
              <w:end w:type="dxa" w:w="120"/>
            </w:tcMar>
          </w:tcPr>
          <w:p>
            <w:pPr>
              <w:spacing w:after="0" w:line="252" w:lineRule="auto"/>
            </w:pPr>
            <w:r>
              <w:rPr>
                <w:rFonts w:ascii="Calibri" w:hAnsi="Calibri"/>
                <w:sz w:val="17"/>
              </w:rPr>
              <w:t>Geen TMC-taken in deze bron voor AssetCheck, Infor, Ortec/Vialis en FlexTunnel; geen formele runtime_job_scan_maps.</w:t>
            </w:r>
          </w:p>
        </w:tc>
        <w:tc>
          <w:tcPr>
            <w:tcW w:type="dxa" w:w="1660"/>
            <w:vAlign w:val="center"/>
            <w:tcMar>
              <w:top w:type="dxa" w:w="80"/>
              <w:start w:type="dxa" w:w="120"/>
              <w:bottom w:type="dxa" w:w="80"/>
              <w:end w:type="dxa" w:w="120"/>
            </w:tcMar>
          </w:tcPr>
          <w:p>
            <w:pPr>
              <w:spacing w:after="0" w:line="252" w:lineRule="auto"/>
            </w:pPr>
            <w:r>
              <w:rPr>
                <w:rFonts w:ascii="Calibri" w:hAnsi="Calibri"/>
                <w:sz w:val="17"/>
              </w:rPr>
              <w:t>Niet bewezen</w:t>
            </w:r>
          </w:p>
        </w:tc>
      </w:tr>
      <w:tr>
        <w:trPr>
          <w:cantSplit/>
          <w:cantSplit/>
        </w:trPr>
        <w:tc>
          <w:tcPr>
            <w:tcW w:type="dxa" w:w="3500"/>
            <w:vAlign w:val="center"/>
            <w:tcMar>
              <w:top w:type="dxa" w:w="80"/>
              <w:start w:type="dxa" w:w="120"/>
              <w:bottom w:type="dxa" w:w="80"/>
              <w:end w:type="dxa" w:w="120"/>
            </w:tcMar>
          </w:tcPr>
          <w:p>
            <w:pPr>
              <w:spacing w:after="0" w:line="252" w:lineRule="auto"/>
            </w:pPr>
            <w:r>
              <w:rPr>
                <w:rFonts w:ascii="Calibri" w:hAnsi="Calibri"/>
                <w:sz w:val="17"/>
              </w:rPr>
              <w:t>De runtimegegevens zijn actueel tot de rapportdatum.</w:t>
            </w:r>
          </w:p>
        </w:tc>
        <w:tc>
          <w:tcPr>
            <w:tcW w:type="dxa" w:w="4200"/>
            <w:vAlign w:val="center"/>
            <w:tcMar>
              <w:top w:type="dxa" w:w="80"/>
              <w:start w:type="dxa" w:w="120"/>
              <w:bottom w:type="dxa" w:w="80"/>
              <w:end w:type="dxa" w:w="120"/>
            </w:tcMar>
          </w:tcPr>
          <w:p>
            <w:pPr>
              <w:spacing w:after="0" w:line="252" w:lineRule="auto"/>
            </w:pPr>
            <w:r>
              <w:rPr>
                <w:rFonts w:ascii="Calibri" w:hAnsi="Calibri"/>
                <w:sz w:val="17"/>
              </w:rPr>
              <w:t>Laatste succesvolle sync 16-08; vw_TMC auto-disabled na drie transportfouten op 17-08.</w:t>
            </w:r>
          </w:p>
        </w:tc>
        <w:tc>
          <w:tcPr>
            <w:tcW w:type="dxa" w:w="1660"/>
            <w:vAlign w:val="center"/>
            <w:tcMar>
              <w:top w:type="dxa" w:w="80"/>
              <w:start w:type="dxa" w:w="120"/>
              <w:bottom w:type="dxa" w:w="80"/>
              <w:end w:type="dxa" w:w="120"/>
            </w:tcMar>
          </w:tcPr>
          <w:p>
            <w:pPr>
              <w:spacing w:after="0" w:line="252" w:lineRule="auto"/>
            </w:pPr>
            <w:r>
              <w:rPr>
                <w:rFonts w:ascii="Calibri" w:hAnsi="Calibri"/>
                <w:sz w:val="17"/>
              </w:rPr>
              <w:t>Niet bewezen na 16-08</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8"/>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B6778"/>
        <w:sz w:val="18"/>
      </w:rPr>
      <w:t>VWI WerkOrder | Integratieanalyse en herontwerpinput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WerkOrder integratieanalyse tegen VWI Integratiebeleid 0.8 – TMC-verrijkt</dc:title>
  <dc:subject>Statische Talend-analyse, mappings, SQL en TMC-runtimebewijs voor WerkOrder-rationalisatie</dc:subject>
  <dc:creator>Nexus / IntoData</dc:creator>
  <cp:keywords>WerkOrder, Talend, VWIIM, BEDDA, AIS, integratie, rationalisatie</cp:keywords>
  <dc:description>Verrijkt met TMC-runtime-snapshot; laatste succesvolle synchronisatie 16 augustus 2026.</dc:description>
  <cp:lastModifiedBy/>
  <cp:revision>1</cp:revision>
  <dcterms:created xsi:type="dcterms:W3CDTF">2013-12-23T23:15:00Z</dcterms:created>
  <dcterms:modified xsi:type="dcterms:W3CDTF">2013-12-23T23:15:00Z</dcterms:modified>
  <cp:category/>
</cp:coreProperties>
</file>