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Calibri" w:hAnsi="Calibri"/>
          <w:b/>
          <w:color w:val="16324F"/>
          <w:sz w:val="48"/>
        </w:rPr>
        <w:t>WerkOrder — bewijsbijlage</w:t>
      </w:r>
    </w:p>
    <w:p>
      <w:pPr>
        <w:spacing w:after="320"/>
      </w:pPr>
      <w:r>
        <w:rPr>
          <w:rFonts w:ascii="Calibri" w:hAnsi="Calibri"/>
          <w:color w:val="5B6573"/>
          <w:sz w:val="26"/>
        </w:rPr>
        <w:t>SQL, mappings, cross-references en TMC-runtime achter het herontwerpadvies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Object: </w:t>
      </w:r>
      <w:r>
        <w:rPr>
          <w:rFonts w:ascii="Calibri" w:hAnsi="Calibri"/>
          <w:color w:val="000000"/>
          <w:sz w:val="21"/>
        </w:rPr>
        <w:t>WerkOrder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Doel: </w:t>
      </w:r>
      <w:r>
        <w:rPr>
          <w:rFonts w:ascii="Calibri" w:hAnsi="Calibri"/>
          <w:color w:val="000000"/>
          <w:sz w:val="21"/>
        </w:rPr>
        <w:t>Rationalisatie en herontwerp richting BEDDA, 3-tier interfaces en VWI common layer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Bewijsbasis: </w:t>
      </w:r>
      <w:r>
        <w:rPr>
          <w:rFonts w:ascii="Calibri" w:hAnsi="Calibri"/>
          <w:color w:val="000000"/>
          <w:sz w:val="21"/>
        </w:rPr>
        <w:t>Talend ZIP, scannerfacts, mappings, SQL, call-relaties en TMC-runtime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Peildatum runtime: </w:t>
      </w:r>
      <w:r>
        <w:rPr>
          <w:rFonts w:ascii="Calibri" w:hAnsi="Calibri"/>
          <w:color w:val="000000"/>
          <w:sz w:val="21"/>
        </w:rPr>
        <w:t>12 augustus 2026; observatievenster vanaf 26 mei 2026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Status: </w:t>
      </w:r>
      <w:r>
        <w:rPr>
          <w:rFonts w:ascii="Calibri" w:hAnsi="Calibri"/>
          <w:color w:val="000000"/>
          <w:sz w:val="21"/>
        </w:rPr>
        <w:t>Technische bijlage; geen credentials, payloadwaarden of persoonsgegevens opgenomen</w:t>
      </w:r>
    </w:p>
    <w:p>
      <w:pPr>
        <w:spacing w:after="80"/>
      </w:pPr>
    </w:p>
    <w:p>
      <w:pPr>
        <w:spacing w:before="120" w:after="160" w:line="269" w:lineRule="auto"/>
        <w:ind w:left="259" w:right="259"/>
        <w:shd w:fill="E8EEF5"/>
      </w:pPr>
      <w:r>
        <w:rPr>
          <w:rFonts w:ascii="Calibri" w:hAnsi="Calibri"/>
          <w:b/>
          <w:color w:val="16324F"/>
          <w:sz w:val="21"/>
        </w:rPr>
        <w:t xml:space="preserve">Gebruik: </w:t>
      </w:r>
      <w:r>
        <w:rPr>
          <w:rFonts w:ascii="Calibri" w:hAnsi="Calibri"/>
          <w:color w:val="000000"/>
          <w:sz w:val="21"/>
        </w:rPr>
        <w:t>Deze bijlage maakt claims controleerbaar. Zij scheidt statische code-evidence, runtime-evidence en interpretatie. Runtimeaantallen zijn begrensd door de ingestcaps en mogen niet zonder correctie als volledige 90-daagse volumes worden gebruikt.</w:t>
      </w:r>
    </w:p>
    <w:p>
      <w:pPr>
        <w:pStyle w:val="Heading1"/>
      </w:pPr>
      <w:r>
        <w:t>1. Bewijsbasis en grenzen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Bronklasse</w:t>
            </w:r>
          </w:p>
        </w:tc>
        <w:tc>
          <w:tcPr>
            <w:tcW w:type="dxa" w:w="43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Gebruikt voor</w:t>
            </w:r>
          </w:p>
        </w:tc>
        <w:tc>
          <w:tcPr>
            <w:tcW w:type="dxa" w:w="326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Belangrijkste grens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Talend ZIP/scanner</w:t>
            </w:r>
          </w:p>
        </w:tc>
        <w:tc>
          <w:tcPr>
            <w:tcW w:type="dxa" w:w="43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Jobs, routes, componenten, contexts, SQL, tMap/tXMLMap, calls en mappingrefs.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Statisch; bewijst geen actuele uitvoering.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TMC runtime</w:t>
            </w:r>
          </w:p>
        </w:tc>
        <w:tc>
          <w:tcPr>
            <w:tcW w:type="dxa" w:w="43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Taakselectie, environment, runstatus, tijd, failures, logs en componentmetrics.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Maximaal 250 runs per executable; details alleen voor recente subsets.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Gegenereerde unitdocs</w:t>
            </w:r>
          </w:p>
        </w:tc>
        <w:tc>
          <w:tcPr>
            <w:tcW w:type="dxa" w:w="43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Navigeerbare samenvatting met protected scanner facts.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Secundair; scanner/mapping/SQL blijft leidend.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VWI-model</w:t>
            </w:r>
          </w:p>
        </w:tc>
        <w:tc>
          <w:tcPr>
            <w:tcW w:type="dxa" w:w="43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Niet beschikbaar.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Geen officiële VWI-propertymapping mogelijk.</w:t>
            </w:r>
          </w:p>
        </w:tc>
      </w:tr>
    </w:tbl>
    <w:p>
      <w:pPr>
        <w:spacing w:after="40"/>
      </w:pPr>
    </w:p>
    <w:p>
      <w:pPr/>
      <w:r>
        <w:t>Runtimevenster: 26 mei 2026 13:13 UTC tot en met 12 augustus 2026 01:30 UTC. De ingest selecteerde acht TMC-taakrecords met expliciete WerkOrder/WorkOrder-termen; door dubbele deployments zijn dat zes unieke namen. Drie executables bereikten de cap van 250 runs, waardoor hun werkelijke runaantal hoger kan zijn.</w:t>
      </w:r>
    </w:p>
    <w:p>
      <w:r>
        <w:br w:type="page"/>
      </w:r>
    </w:p>
    <w:p>
      <w:pPr>
        <w:pStyle w:val="Heading1"/>
      </w:pPr>
      <w:r>
        <w:t>2. Runtime-overzicht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600"/>
        <w:gridCol w:w="650"/>
        <w:gridCol w:w="650"/>
        <w:gridCol w:w="650"/>
        <w:gridCol w:w="800"/>
        <w:gridCol w:w="800"/>
        <w:gridCol w:w="3310"/>
      </w:tblGrid>
      <w:tr>
        <w:trPr>
          <w:tblHeader w:val="true"/>
        </w:trPr>
        <w:tc>
          <w:tcPr>
            <w:tcW w:type="dxa" w:w="19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4"/>
              </w:rPr>
              <w:t>Taak / omgeving</w:t>
            </w:r>
          </w:p>
        </w:tc>
        <w:tc>
          <w:tcPr>
            <w:tcW w:type="dxa" w:w="6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4"/>
              </w:rPr>
              <w:t>Runs</w:t>
            </w:r>
          </w:p>
        </w:tc>
        <w:tc>
          <w:tcPr>
            <w:tcW w:type="dxa" w:w="65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4"/>
              </w:rPr>
              <w:t>Success</w:t>
            </w:r>
          </w:p>
        </w:tc>
        <w:tc>
          <w:tcPr>
            <w:tcW w:type="dxa" w:w="65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4"/>
              </w:rPr>
              <w:t>Failed</w:t>
            </w:r>
          </w:p>
        </w:tc>
        <w:tc>
          <w:tcPr>
            <w:tcW w:type="dxa" w:w="65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4"/>
              </w:rPr>
              <w:t>Unknown</w:t>
            </w:r>
          </w:p>
        </w:tc>
        <w:tc>
          <w:tcPr>
            <w:tcW w:type="dxa" w:w="8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4"/>
              </w:rPr>
              <w:t>Mediaan</w:t>
            </w:r>
          </w:p>
        </w:tc>
        <w:tc>
          <w:tcPr>
            <w:tcW w:type="dxa" w:w="8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4"/>
              </w:rPr>
              <w:t>p95</w:t>
            </w:r>
          </w:p>
        </w:tc>
        <w:tc>
          <w:tcPr>
            <w:tcW w:type="dxa" w:w="331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4"/>
              </w:rPr>
              <w:t>Bewijsduiding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Maximo2RHM_Workorders / PROD</w:t>
            </w:r>
          </w:p>
        </w:tc>
        <w:tc>
          <w:tcPr>
            <w:tcW w:type="dxa" w:w="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250*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250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10,7 s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22,6 s</w:t>
            </w:r>
          </w:p>
        </w:tc>
        <w:tc>
          <w:tcPr>
            <w:tcW w:type="dxa" w:w="33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Actief en stabiel in capped set.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Quintiq2Maximo_PlannedWorkOrder / PROD</w:t>
            </w:r>
          </w:p>
        </w:tc>
        <w:tc>
          <w:tcPr>
            <w:tcW w:type="dxa" w:w="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250*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250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2,7 s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6,3 s</w:t>
            </w:r>
          </w:p>
        </w:tc>
        <w:tc>
          <w:tcPr>
            <w:tcW w:type="dxa" w:w="33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Actief en stabiel in capped set.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RHM2Smartflow_Workorders / ACC</w:t>
            </w:r>
          </w:p>
        </w:tc>
        <w:tc>
          <w:tcPr>
            <w:tcW w:type="dxa" w:w="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250*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141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109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13,5 s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27,6 s</w:t>
            </w:r>
          </w:p>
        </w:tc>
        <w:tc>
          <w:tcPr>
            <w:tcW w:type="dxa" w:w="33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43,6% failed; geen PROD-extrapolatie.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Maximo2Quintiq_Workorder_Route / ACC</w:t>
            </w:r>
          </w:p>
        </w:tc>
        <w:tc>
          <w:tcPr>
            <w:tcW w:type="dxa" w:w="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8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4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4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1.630 s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~76 d†</w:t>
            </w:r>
          </w:p>
        </w:tc>
        <w:tc>
          <w:tcPr>
            <w:tcW w:type="dxa" w:w="33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Route/servicegedrag; 50% failed in kleine set.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Maximo2Quintiq_Workorder_Route / TST</w:t>
            </w:r>
          </w:p>
        </w:tc>
        <w:tc>
          <w:tcPr>
            <w:tcW w:type="dxa" w:w="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1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1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~13 d†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~13 d†</w:t>
            </w:r>
          </w:p>
        </w:tc>
        <w:tc>
          <w:tcPr>
            <w:tcW w:type="dxa" w:w="33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Langdurige service-executie, geen berichtlatency.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maximoFourpsWorkOrder / TST</w:t>
            </w:r>
          </w:p>
        </w:tc>
        <w:tc>
          <w:tcPr>
            <w:tcW w:type="dxa" w:w="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2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~8,9 d†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~15,4 d†</w:t>
            </w:r>
          </w:p>
        </w:tc>
        <w:tc>
          <w:tcPr>
            <w:tcW w:type="dxa" w:w="33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Routelevensduur; te kleine set voor SLA.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maximoFourpsWorkOrder / ACC</w:t>
            </w:r>
          </w:p>
        </w:tc>
        <w:tc>
          <w:tcPr>
            <w:tcW w:type="dxa" w:w="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3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3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—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—</w:t>
            </w:r>
          </w:p>
        </w:tc>
        <w:tc>
          <w:tcPr>
            <w:tcW w:type="dxa" w:w="33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Status unknown; activiteit niet inhoudelijk beoordeelbaar.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Quintiq2Maximo_WorkOrderPickedUpXML_DECOMMISIONED</w:t>
            </w:r>
          </w:p>
        </w:tc>
        <w:tc>
          <w:tcPr>
            <w:tcW w:type="dxa" w:w="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0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—</w:t>
            </w:r>
          </w:p>
        </w:tc>
        <w:tc>
          <w:tcPr>
            <w:tcW w:type="dxa" w:w="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—</w:t>
            </w:r>
          </w:p>
        </w:tc>
        <w:tc>
          <w:tcPr>
            <w:tcW w:type="dxa" w:w="33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4"/>
              </w:rPr>
              <w:t>Taak gevonden, geen run in geïmporteerde set.</w:t>
            </w:r>
          </w:p>
        </w:tc>
      </w:tr>
    </w:tbl>
    <w:p>
      <w:pPr>
        <w:spacing w:after="40"/>
      </w:pPr>
    </w:p>
    <w:p>
      <w:pPr>
        <w:pStyle w:val="SourceNote"/>
      </w:pPr>
      <w:r>
        <w:t>* Cap bereikt: 250 is een ondergrens. † Langdurige route-executies representeren waarschijnlijk servicelevensduur of onvolledige eindregistratie en zijn niet bruikbaar als transactie-latency.</w:t>
      </w:r>
    </w:p>
    <w:p>
      <w:pPr>
        <w:pStyle w:val="Heading2"/>
      </w:pPr>
      <w:r>
        <w:t>2.1 Persistente runtime-evidence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100"/>
        <w:gridCol w:w="6160"/>
      </w:tblGrid>
      <w:tr>
        <w:trPr>
          <w:tblHeader w:val="true"/>
        </w:trPr>
        <w:tc>
          <w:tcPr>
            <w:tcW w:type="dxa" w:w="21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Evidence</w:t>
            </w:r>
          </w:p>
        </w:tc>
        <w:tc>
          <w:tcPr>
            <w:tcW w:type="dxa" w:w="11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Aantal</w:t>
            </w:r>
          </w:p>
        </w:tc>
        <w:tc>
          <w:tcPr>
            <w:tcW w:type="dxa" w:w="616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Interpretatie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TMC job records</w:t>
            </w:r>
          </w:p>
        </w:tc>
        <w:tc>
          <w:tcPr>
            <w:tcW w:type="dxa" w:w="1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8</w:t>
            </w:r>
          </w:p>
        </w:tc>
        <w:tc>
          <w:tcPr>
            <w:tcW w:type="dxa" w:w="61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Zes unieke namen; twee dubbele deployments voor Maximo→Quintiq en Maximo→4PS.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Jobruns</w:t>
            </w:r>
          </w:p>
        </w:tc>
        <w:tc>
          <w:tcPr>
            <w:tcW w:type="dxa" w:w="1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765</w:t>
            </w:r>
          </w:p>
        </w:tc>
        <w:tc>
          <w:tcPr>
            <w:tcW w:type="dxa" w:w="61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Genormaliseerde runs binnen cap en venster.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Planruns</w:t>
            </w:r>
          </w:p>
        </w:tc>
        <w:tc>
          <w:tcPr>
            <w:tcW w:type="dxa" w:w="1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250</w:t>
            </w:r>
          </w:p>
        </w:tc>
        <w:tc>
          <w:tcPr>
            <w:tcW w:type="dxa" w:w="61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Eén relevant plan; cap bereikt.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Failures</w:t>
            </w:r>
          </w:p>
        </w:tc>
        <w:tc>
          <w:tcPr>
            <w:tcW w:type="dxa" w:w="1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113</w:t>
            </w:r>
          </w:p>
        </w:tc>
        <w:tc>
          <w:tcPr>
            <w:tcW w:type="dxa" w:w="61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109 RHM→Smartflow plus 4 Maximo→Quintiq routefailures.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Logevents</w:t>
            </w:r>
          </w:p>
        </w:tc>
        <w:tc>
          <w:tcPr>
            <w:tcW w:type="dxa" w:w="1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4.768</w:t>
            </w:r>
          </w:p>
        </w:tc>
        <w:tc>
          <w:tcPr>
            <w:tcW w:type="dxa" w:w="61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Alle behouden logs horen bij recente failed route-executies; 2.317 info, 1.352 warning, 1.099 error.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Unieke componentmetrics</w:t>
            </w:r>
          </w:p>
        </w:tc>
        <w:tc>
          <w:tcPr>
            <w:tcW w:type="dxa" w:w="1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543</w:t>
            </w:r>
          </w:p>
        </w:tc>
        <w:tc>
          <w:tcPr>
            <w:tcW w:type="dxa" w:w="61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Na upsert/retentie; geschikt voor component- en rijobservaties, niet als unieke businessvolumeteller.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Execution summaries / incidents</w:t>
            </w:r>
          </w:p>
        </w:tc>
        <w:tc>
          <w:tcPr>
            <w:tcW w:type="dxa" w:w="1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765 / 113</w:t>
            </w:r>
          </w:p>
        </w:tc>
        <w:tc>
          <w:tcPr>
            <w:tcW w:type="dxa" w:w="61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Afgeleide runtime-intelligentie voor iedere run en failure.</w:t>
            </w:r>
          </w:p>
        </w:tc>
      </w:tr>
    </w:tbl>
    <w:p>
      <w:pPr>
        <w:spacing w:after="40"/>
      </w:pPr>
    </w:p>
    <w:p>
      <w:pPr>
        <w:spacing w:before="120" w:after="160" w:line="269" w:lineRule="auto"/>
        <w:ind w:left="259" w:right="259"/>
        <w:shd w:fill="FFF5D6"/>
      </w:pPr>
      <w:r>
        <w:rPr>
          <w:rFonts w:ascii="Calibri" w:hAnsi="Calibri"/>
          <w:b/>
          <w:color w:val="16324F"/>
          <w:sz w:val="21"/>
        </w:rPr>
        <w:t xml:space="preserve">Lognuance: </w:t>
      </w:r>
      <w:r>
        <w:rPr>
          <w:rFonts w:ascii="Calibri" w:hAnsi="Calibri"/>
          <w:color w:val="000000"/>
          <w:sz w:val="21"/>
        </w:rPr>
        <w:t>De route-level logs bevatten ook generieke ESB- en andere componentnamen. Zonder expliciete runtime-job↔statische-job/componentmapping mogen zulke regels niet automatisch als root cause van de WerkOrder-keten worden gepresenteerd.</w:t>
      </w:r>
    </w:p>
    <w:p>
      <w:pPr>
        <w:pStyle w:val="Heading1"/>
      </w:pPr>
      <w:r>
        <w:t>3. Mappingevidence</w:t>
      </w:r>
    </w:p>
    <w:p>
      <w:pPr>
        <w:pStyle w:val="Heading2"/>
      </w:pPr>
      <w:r>
        <w:t>3.1 Maximo → Quintiq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360"/>
        <w:gridCol w:w="1900"/>
        <w:gridCol w:w="3200"/>
      </w:tblGrid>
      <w:tr>
        <w:trPr>
          <w:tblHeader w:val="true"/>
        </w:trPr>
        <w:tc>
          <w:tcPr>
            <w:tcW w:type="dxa" w:w="19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Maximo-bron</w:t>
            </w:r>
          </w:p>
        </w:tc>
        <w:tc>
          <w:tcPr>
            <w:tcW w:type="dxa" w:w="236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Quintiq-doel/kandidaat</w:t>
            </w:r>
          </w:p>
        </w:tc>
        <w:tc>
          <w:tcPr>
            <w:tcW w:type="dxa" w:w="19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Transformatie</w:t>
            </w:r>
          </w:p>
        </w:tc>
        <w:tc>
          <w:tcPr>
            <w:tcW w:type="dxa" w:w="32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Semantische duiding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WONUM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WorkOrderNr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Identificatie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GLACCOUNT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ProjectNr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Project/financiële relatie; betekenis bevestigen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BC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MonitoringCode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Monitoring-/businesscode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TARGSTARTDATE / TARGCOMPDATE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DateStart / DateEnd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Datumconversie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Planningvenster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DESCRIPTION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Omschrijving/opdrachtnaam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ESTDUR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Cycle/duur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Onder meer deling door 8 zichtbaar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Grensgeval business-/adapterregel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STATUS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Status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Lifecycle; codelijst/authority ontbreekt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LOCATION / WOLO5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Location/GEOCode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Locatie/geografische context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WORKTYPE / WO3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Type/TechnicalField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Werksoort/technisch kenmerk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SITEID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Site/context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Organisatie-/sitecontext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WOPM5 / WOPM1 / WOLO4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Remark/ShiftType/ContractArea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Aanvullende planning/contractcontext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LEAD / SUPERVISOR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LeadEmployeeNr / SupervisorEmployeeNr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LEAD met voorloopnullen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Rollen/bemensing</w:t>
            </w:r>
          </w:p>
        </w:tc>
      </w:tr>
      <w:tr>
        <w:trPr/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WO14</w:t>
            </w:r>
          </w:p>
        </w:tc>
        <w:tc>
          <w:tcPr>
            <w:tcW w:type="dxa" w:w="23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TRS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Betekenis te valideren</w:t>
            </w:r>
          </w:p>
        </w:tc>
      </w:tr>
    </w:tbl>
    <w:p>
      <w:pPr>
        <w:spacing w:after="40"/>
      </w:pPr>
    </w:p>
    <w:p>
      <w:pPr>
        <w:pStyle w:val="SourceNote"/>
      </w:pPr>
      <w:r>
        <w:t>Bronbasis: Maximo2Quintiq_Workorder_0.1.item, tMap Output.*.</w:t>
      </w:r>
    </w:p>
    <w:p>
      <w:pPr>
        <w:pStyle w:val="Heading2"/>
      </w:pPr>
      <w:r>
        <w:t>3.2 Maximo → RHM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900"/>
        <w:gridCol w:w="2600"/>
        <w:gridCol w:w="306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Maximo-bron</w:t>
            </w:r>
          </w:p>
        </w:tc>
        <w:tc>
          <w:tcPr>
            <w:tcW w:type="dxa" w:w="19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RHM-doel</w:t>
            </w:r>
          </w:p>
        </w:tc>
        <w:tc>
          <w:tcPr>
            <w:tcW w:type="dxa" w:w="26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Transformatie</w:t>
            </w:r>
          </w:p>
        </w:tc>
        <w:tc>
          <w:tcPr>
            <w:tcW w:type="dxa" w:w="306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Semantische/open vraag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wonum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WorkorderNr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0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Uniciteit en sleutelcontext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orgid / siteid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OrgId / SiteId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0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Administratieve versus uitvoeringscontext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description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Description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0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Omschrijvingfunctie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status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Status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0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Canonieke codelijst en authority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changedate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StatusDate / DATUM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parseDate yyyy-MM-dd HH:mm:ss</w:t>
            </w:r>
          </w:p>
        </w:tc>
        <w:tc>
          <w:tcPr>
            <w:tcW w:type="dxa" w:w="30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Statusmoment, bron en tijdzone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historyflag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HistoryFlag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false→0, true→1</w:t>
            </w:r>
          </w:p>
        </w:tc>
        <w:tc>
          <w:tcPr>
            <w:tcW w:type="dxa" w:w="30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Businesshistorie of synchronisatievlag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parent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Parent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0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Relatietype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glaccount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ProjectNr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0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Project, grootboek of kostenobject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bc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MonitoringCode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Direct</w:t>
            </w:r>
          </w:p>
        </w:tc>
        <w:tc>
          <w:tcPr>
            <w:tcW w:type="dxa" w:w="30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Business-/monitoringbetekenis</w:t>
            </w:r>
          </w:p>
        </w:tc>
      </w:tr>
    </w:tbl>
    <w:p>
      <w:pPr>
        <w:spacing w:after="40"/>
      </w:pPr>
    </w:p>
    <w:p>
      <w:pPr>
        <w:pStyle w:val="SourceNote"/>
      </w:pPr>
      <w:r>
        <w:t>Bronbasis: Maximo2RHM_Workorders_0.4.item, tMap WriteToRhm.*.</w:t>
      </w:r>
    </w:p>
    <w:p>
      <w:pPr>
        <w:pStyle w:val="Heading2"/>
      </w:pPr>
      <w:r>
        <w:t>3.3 Maximo → 4PS gedocumenteerde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50"/>
        <w:gridCol w:w="2200"/>
        <w:gridCol w:w="5010"/>
      </w:tblGrid>
      <w:tr>
        <w:trPr>
          <w:tblHeader w:val="true"/>
        </w:trPr>
        <w:tc>
          <w:tcPr>
            <w:tcW w:type="dxa" w:w="215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Bron</w:t>
            </w:r>
          </w:p>
        </w:tc>
        <w:tc>
          <w:tcPr>
            <w:tcW w:type="dxa" w:w="22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4PS-kandidaat</w:t>
            </w:r>
          </w:p>
        </w:tc>
        <w:tc>
          <w:tcPr>
            <w:tcW w:type="dxa" w:w="501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Bewezen betekenis / beperking</w:t>
            </w:r>
          </w:p>
        </w:tc>
      </w:tr>
      <w:tr>
        <w:trPr/>
        <w:tc>
          <w:tcPr>
            <w:tcW w:type="dxa" w:w="21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WONUM</w:t>
            </w:r>
          </w:p>
        </w:tc>
        <w:tc>
          <w:tcPr>
            <w:tcW w:type="dxa" w:w="2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WerkOrder-identiteit</w:t>
            </w:r>
          </w:p>
        </w:tc>
        <w:tc>
          <w:tcPr>
            <w:tcW w:type="dxa" w:w="50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In PublishVLWO→to4psJson zichtbaar.</w:t>
            </w:r>
          </w:p>
        </w:tc>
      </w:tr>
      <w:tr>
        <w:trPr/>
        <w:tc>
          <w:tcPr>
            <w:tcW w:type="dxa" w:w="21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DESCRIPTION</w:t>
            </w:r>
          </w:p>
        </w:tc>
        <w:tc>
          <w:tcPr>
            <w:tcW w:type="dxa" w:w="2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Omschrijving</w:t>
            </w:r>
          </w:p>
        </w:tc>
        <w:tc>
          <w:tcPr>
            <w:tcW w:type="dxa" w:w="50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Eerste 50 tekens in gedocumenteerde mapping.</w:t>
            </w:r>
          </w:p>
        </w:tc>
      </w:tr>
      <w:tr>
        <w:trPr/>
        <w:tc>
          <w:tcPr>
            <w:tcW w:type="dxa" w:w="21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PLUSPAGREEMENT</w:t>
            </w:r>
          </w:p>
        </w:tc>
        <w:tc>
          <w:tcPr>
            <w:tcW w:type="dxa" w:w="2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projectnr</w:t>
            </w:r>
          </w:p>
        </w:tc>
        <w:tc>
          <w:tcPr>
            <w:tcW w:type="dxa" w:w="50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Project-/overeenkomstbetekenis valideren.</w:t>
            </w:r>
          </w:p>
        </w:tc>
      </w:tr>
      <w:tr>
        <w:trPr/>
        <w:tc>
          <w:tcPr>
            <w:tcW w:type="dxa" w:w="21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GLACCOUNT/VALUE</w:t>
            </w:r>
          </w:p>
        </w:tc>
        <w:tc>
          <w:tcPr>
            <w:tcW w:type="dxa" w:w="2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element / glAccount</w:t>
            </w:r>
          </w:p>
        </w:tc>
        <w:tc>
          <w:tcPr>
            <w:tcW w:type="dxa" w:w="50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Financiële relatie; common-modelbesluit nodig.</w:t>
            </w:r>
          </w:p>
        </w:tc>
      </w:tr>
      <w:tr>
        <w:trPr/>
        <w:tc>
          <w:tcPr>
            <w:tcW w:type="dxa" w:w="21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STATUS</w:t>
            </w:r>
          </w:p>
        </w:tc>
        <w:tc>
          <w:tcPr>
            <w:tcW w:type="dxa" w:w="2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status</w:t>
            </w:r>
          </w:p>
        </w:tc>
        <w:tc>
          <w:tcPr>
            <w:tcW w:type="dxa" w:w="50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Statusveld zichtbaar; officiële vertaling niet bewezen.</w:t>
            </w:r>
          </w:p>
        </w:tc>
      </w:tr>
      <w:tr>
        <w:trPr/>
        <w:tc>
          <w:tcPr>
            <w:tcW w:type="dxa" w:w="21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WORKTYPE</w:t>
            </w:r>
          </w:p>
        </w:tc>
        <w:tc>
          <w:tcPr>
            <w:tcW w:type="dxa" w:w="2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work type</w:t>
            </w:r>
          </w:p>
        </w:tc>
        <w:tc>
          <w:tcPr>
            <w:tcW w:type="dxa" w:w="50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Classificatie; codelijst ontbreekt.</w:t>
            </w:r>
          </w:p>
        </w:tc>
      </w:tr>
      <w:tr>
        <w:trPr/>
        <w:tc>
          <w:tcPr>
            <w:tcW w:type="dxa" w:w="21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VR_WBS01 / VR_WBS02</w:t>
            </w:r>
          </w:p>
        </w:tc>
        <w:tc>
          <w:tcPr>
            <w:tcW w:type="dxa" w:w="2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WBS-context</w:t>
            </w:r>
          </w:p>
        </w:tc>
        <w:tc>
          <w:tcPr>
            <w:tcW w:type="dxa" w:w="50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Financieel/projectsegment.</w:t>
            </w:r>
          </w:p>
        </w:tc>
      </w:tr>
      <w:tr>
        <w:trPr/>
        <w:tc>
          <w:tcPr>
            <w:tcW w:type="dxa" w:w="21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EXTERNALREFID</w:t>
            </w:r>
          </w:p>
        </w:tc>
        <w:tc>
          <w:tcPr>
            <w:tcW w:type="dxa" w:w="2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companyId</w:t>
            </w:r>
          </w:p>
        </w:tc>
        <w:tc>
          <w:tcPr>
            <w:tcW w:type="dxa" w:w="50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Organisatie-/companyrelatie.</w:t>
            </w:r>
          </w:p>
        </w:tc>
      </w:tr>
      <w:tr>
        <w:trPr/>
        <w:tc>
          <w:tcPr>
            <w:tcW w:type="dxa" w:w="21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PLUSPCUSTOMER</w:t>
            </w:r>
          </w:p>
        </w:tc>
        <w:tc>
          <w:tcPr>
            <w:tcW w:type="dxa" w:w="2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customerNo</w:t>
            </w:r>
          </w:p>
        </w:tc>
        <w:tc>
          <w:tcPr>
            <w:tcW w:type="dxa" w:w="50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Klantrelatie.</w:t>
            </w:r>
          </w:p>
        </w:tc>
      </w:tr>
    </w:tbl>
    <w:p>
      <w:pPr>
        <w:spacing w:after="40"/>
      </w:pPr>
    </w:p>
    <w:p>
      <w:pPr>
        <w:pStyle w:val="SourceNote"/>
      </w:pPr>
      <w:r>
        <w:t>Bronbasis: maximoFourpsWorkOrder unit evidence; mappingref PublishVLWO→to4psJson.</w:t>
      </w:r>
    </w:p>
    <w:p>
      <w:pPr>
        <w:pStyle w:val="Heading1"/>
      </w:pPr>
      <w:r>
        <w:t>4. SQL-evidence en regelclassificatie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650"/>
        <w:gridCol w:w="2350"/>
        <w:gridCol w:w="156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5"/>
              </w:rPr>
              <w:t>Artefact</w:t>
            </w:r>
          </w:p>
        </w:tc>
        <w:tc>
          <w:tcPr>
            <w:tcW w:type="dxa" w:w="365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5"/>
              </w:rPr>
              <w:t>SQL/regel</w:t>
            </w:r>
          </w:p>
        </w:tc>
        <w:tc>
          <w:tcPr>
            <w:tcW w:type="dxa" w:w="235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5"/>
              </w:rPr>
              <w:t>Wat het bewijst</w:t>
            </w:r>
          </w:p>
        </w:tc>
        <w:tc>
          <w:tcPr>
            <w:tcW w:type="dxa" w:w="156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5"/>
              </w:rPr>
              <w:t>Classificatie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Quintiq2Maximo_PlannedWorkOrder</w:t>
            </w:r>
          </w:p>
        </w:tc>
        <w:tc>
          <w:tcPr>
            <w:tcW w:type="dxa" w:w="3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TriggerType='Workorder', QQUPDATE&gt;LastRun, Status='WOP', released CapacityTask, geen delete request.</w:t>
            </w:r>
          </w:p>
        </w:tc>
        <w:tc>
          <w:tcPr>
            <w:tcW w:type="dxa" w:w="23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Selectie van planningdelta.</w:t>
            </w:r>
          </w:p>
        </w:tc>
        <w:tc>
          <w:tcPr>
            <w:tcW w:type="dxa" w:w="15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Businessachtige procesregel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Quintiq2Maximo_PlannedWorkOrder</w:t>
            </w:r>
          </w:p>
        </w:tc>
        <w:tc>
          <w:tcPr>
            <w:tcW w:type="dxa" w:w="3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BC, SCHEDSTART, SCHEDFINISH, WOPM6 uit WorkPackage/CapacityTask; earliest/latest released task met fallback.</w:t>
            </w:r>
          </w:p>
        </w:tc>
        <w:tc>
          <w:tcPr>
            <w:tcW w:type="dxa" w:w="23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Afleiding van planningsegment.</w:t>
            </w:r>
          </w:p>
        </w:tc>
        <w:tc>
          <w:tcPr>
            <w:tcW w:type="dxa" w:w="15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Businessregel + fallback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Maximo2RHM_Workorders</w:t>
            </w:r>
          </w:p>
        </w:tc>
        <w:tc>
          <w:tcPr>
            <w:tcW w:type="dxa" w:w="3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Processes LastRunDateTime; QWO changedate 7D; pagination; TRUNCATE TempMaximoWorkorders.</w:t>
            </w:r>
          </w:p>
        </w:tc>
        <w:tc>
          <w:tcPr>
            <w:tcW w:type="dxa" w:w="23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Delta-inname en staging.</w:t>
            </w:r>
          </w:p>
        </w:tc>
        <w:tc>
          <w:tcPr>
            <w:tcW w:type="dxa" w:w="15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Technische verwerking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RHM2Smartflow_Workorders</w:t>
            </w:r>
          </w:p>
        </w:tc>
        <w:tc>
          <w:tcPr>
            <w:tcW w:type="dxa" w:w="3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WorkordersSelectQuery en DeletedWorkorders; SendToSmartflow wordt gezet.</w:t>
            </w:r>
          </w:p>
        </w:tc>
        <w:tc>
          <w:tcPr>
            <w:tcW w:type="dxa" w:w="23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Nieuwe/verwijderde orders en synchronisatiemarkering.</w:t>
            </w:r>
          </w:p>
        </w:tc>
        <w:tc>
          <w:tcPr>
            <w:tcW w:type="dxa" w:w="15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Gemengd: functionele selectie + technische state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AssetCheck Get/Send</w:t>
            </w:r>
          </w:p>
        </w:tc>
        <w:tc>
          <w:tcPr>
            <w:tcW w:type="dxa" w:w="3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ProcessID op ProcessCode en procesregistratie.</w:t>
            </w:r>
          </w:p>
        </w:tc>
        <w:tc>
          <w:tcPr>
            <w:tcW w:type="dxa" w:w="23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Runadministratie, niet businesspayload.</w:t>
            </w:r>
          </w:p>
        </w:tc>
        <w:tc>
          <w:tcPr>
            <w:tcW w:type="dxa" w:w="15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Technische verwerking</w:t>
            </w:r>
          </w:p>
        </w:tc>
      </w:tr>
      <w:tr>
        <w:trPr/>
        <w:tc>
          <w:tcPr>
            <w:tcW w:type="dxa" w:w="18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Meerdere ketens</w:t>
            </w:r>
          </w:p>
        </w:tc>
        <w:tc>
          <w:tcPr>
            <w:tcW w:type="dxa" w:w="36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Processes/ProcessData/LastRunDateTime/ProcessedDateTime.</w:t>
            </w:r>
          </w:p>
        </w:tc>
        <w:tc>
          <w:tcPr>
            <w:tcW w:type="dxa" w:w="23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Incrementaliteit, deduplicatie en audit.</w:t>
            </w:r>
          </w:p>
        </w:tc>
        <w:tc>
          <w:tcPr>
            <w:tcW w:type="dxa" w:w="15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Platformcapability</w:t>
            </w:r>
          </w:p>
        </w:tc>
      </w:tr>
    </w:tbl>
    <w:p>
      <w:pPr>
        <w:spacing w:after="40"/>
      </w:pPr>
    </w:p>
    <w:p>
      <w:pPr>
        <w:pStyle w:val="Heading1"/>
      </w:pPr>
      <w:r>
        <w:t>5. Cross-references en ketenverbanden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2600"/>
        <w:gridCol w:w="1900"/>
        <w:gridCol w:w="2610"/>
      </w:tblGrid>
      <w:tr>
        <w:trPr>
          <w:tblHeader w:val="true"/>
        </w:trPr>
        <w:tc>
          <w:tcPr>
            <w:tcW w:type="dxa" w:w="225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Van</w:t>
            </w:r>
          </w:p>
        </w:tc>
        <w:tc>
          <w:tcPr>
            <w:tcW w:type="dxa" w:w="26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Naar</w:t>
            </w:r>
          </w:p>
        </w:tc>
        <w:tc>
          <w:tcPr>
            <w:tcW w:type="dxa" w:w="19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Relatie</w:t>
            </w:r>
          </w:p>
        </w:tc>
        <w:tc>
          <w:tcPr>
            <w:tcW w:type="dxa" w:w="261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Betekenis voor herontwerp</w:t>
            </w:r>
          </w:p>
        </w:tc>
      </w:tr>
      <w:tr>
        <w:trPr/>
        <w:tc>
          <w:tcPr>
            <w:tcW w:type="dxa" w:w="22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Maximo2Quintiq_Workorder_Route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Maximo2Quintiq_Workorder_Route_Job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cTalendJob call edge</w:t>
            </w:r>
          </w:p>
        </w:tc>
        <w:tc>
          <w:tcPr>
            <w:tcW w:type="dxa" w:w="26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Route/service en businessjob scheiden.</w:t>
            </w:r>
          </w:p>
        </w:tc>
      </w:tr>
      <w:tr>
        <w:trPr/>
        <w:tc>
          <w:tcPr>
            <w:tcW w:type="dxa" w:w="22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Maximo2AssetCheck_MainJob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Maximo2AssetCheck_SendWorkOrder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Job call</w:t>
            </w:r>
          </w:p>
        </w:tc>
        <w:tc>
          <w:tcPr>
            <w:tcW w:type="dxa" w:w="26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Orchestratie boven send-capability.</w:t>
            </w:r>
          </w:p>
        </w:tc>
      </w:tr>
      <w:tr>
        <w:trPr/>
        <w:tc>
          <w:tcPr>
            <w:tcW w:type="dxa" w:w="22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AssetCheck_Main_Job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GetWorkOrder / GetWorkOrders / SendWorkOrderUpdate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Drie job calls</w:t>
            </w:r>
          </w:p>
        </w:tc>
        <w:tc>
          <w:tcPr>
            <w:tcW w:type="dxa" w:w="26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Query, bulkquery en update zijn aparte capabilities.</w:t>
            </w:r>
          </w:p>
        </w:tc>
      </w:tr>
      <w:tr>
        <w:trPr/>
        <w:tc>
          <w:tcPr>
            <w:tcW w:type="dxa" w:w="22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maximoRestService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ettm.maximoFourpsWorkOrder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JMS publisher</w:t>
            </w:r>
          </w:p>
        </w:tc>
        <w:tc>
          <w:tcPr>
            <w:tcW w:type="dxa" w:w="26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Bronadapter publiceert WerkOrder-event/command.</w:t>
            </w:r>
          </w:p>
        </w:tc>
      </w:tr>
      <w:tr>
        <w:trPr/>
        <w:tc>
          <w:tcPr>
            <w:tcW w:type="dxa" w:w="22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ettm.maximoFourpsWorkOrder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maximoFourpsWorkOrder_VRI / workorder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JMS consumer + embedded job</w:t>
            </w:r>
          </w:p>
        </w:tc>
        <w:tc>
          <w:tcPr>
            <w:tcW w:type="dxa" w:w="26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Transport, transformatie en delivery zijn gekoppeld.</w:t>
            </w:r>
          </w:p>
        </w:tc>
      </w:tr>
      <w:tr>
        <w:trPr/>
        <w:tc>
          <w:tcPr>
            <w:tcW w:type="dxa" w:w="22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maximoFourpsWorkOrder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VirtualTopic.esb.MessageCollector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Wiretap/monitoring</w:t>
            </w:r>
          </w:p>
        </w:tc>
        <w:tc>
          <w:tcPr>
            <w:tcW w:type="dxa" w:w="26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Observability buiten businesscontract houden.</w:t>
            </w:r>
          </w:p>
        </w:tc>
      </w:tr>
      <w:tr>
        <w:trPr/>
        <w:tc>
          <w:tcPr>
            <w:tcW w:type="dxa" w:w="22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Quintiq DB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Quintiq2Maximo_PlannedWorkOrder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MSSQL→XML</w:t>
            </w:r>
          </w:p>
        </w:tc>
        <w:tc>
          <w:tcPr>
            <w:tcW w:type="dxa" w:w="26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Planningafleiding vóór consumerinterface.</w:t>
            </w:r>
          </w:p>
        </w:tc>
      </w:tr>
      <w:tr>
        <w:trPr/>
        <w:tc>
          <w:tcPr>
            <w:tcW w:type="dxa" w:w="22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RHM WorkOrders</w:t>
            </w:r>
          </w:p>
        </w:tc>
        <w:tc>
          <w:tcPr>
            <w:tcW w:type="dxa" w:w="26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RHM2Smartflow_Workorders→ProcessXml</w:t>
            </w:r>
          </w:p>
        </w:tc>
        <w:tc>
          <w:tcPr>
            <w:tcW w:type="dxa" w:w="1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MSSQL→XML→SOAP</w:t>
            </w:r>
          </w:p>
        </w:tc>
        <w:tc>
          <w:tcPr>
            <w:tcW w:type="dxa" w:w="261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Uitvoeringssegment en deleteflow expliciet modelleren.</w:t>
            </w:r>
          </w:p>
        </w:tc>
      </w:tr>
    </w:tbl>
    <w:p>
      <w:pPr>
        <w:spacing w:after="40"/>
      </w:pPr>
    </w:p>
    <w:p>
      <w:pPr>
        <w:pStyle w:val="Heading1"/>
      </w:pPr>
      <w:r>
        <w:t>6. Claimregister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2450"/>
        <w:gridCol w:w="2050"/>
        <w:gridCol w:w="1760"/>
      </w:tblGrid>
      <w:tr>
        <w:trPr>
          <w:tblHeader w:val="true"/>
        </w:trPr>
        <w:tc>
          <w:tcPr>
            <w:tcW w:type="dxa" w:w="31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5"/>
              </w:rPr>
              <w:t>Claim</w:t>
            </w:r>
          </w:p>
        </w:tc>
        <w:tc>
          <w:tcPr>
            <w:tcW w:type="dxa" w:w="245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5"/>
              </w:rPr>
              <w:t>Statisch bewijs</w:t>
            </w:r>
          </w:p>
        </w:tc>
        <w:tc>
          <w:tcPr>
            <w:tcW w:type="dxa" w:w="205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5"/>
              </w:rPr>
              <w:t>Runtimebewijs</w:t>
            </w:r>
          </w:p>
        </w:tc>
        <w:tc>
          <w:tcPr>
            <w:tcW w:type="dxa" w:w="176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5"/>
              </w:rPr>
              <w:t>Status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Maximo→RHM wisselt kern/status/context uit.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tMap en QWO select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250/250 PROD success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Vastgesteld + bevestigd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Quintiq→Maximo levert planningdelta.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SQL en tXMLMap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250/250 PROD success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Vastgesteld + bevestigd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RHM→Smartflow is actief en risicovol in ACC.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WorkOrders→ProcessXml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109/250 failed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Vastgesteld + bevestigd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Maximo→Quintiq omvat brede WerkOrdervelden.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tMap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ACC/TST route actief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Vastgesteld; kwaliteit aandachtspunt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Maximo→4PS heeft brede object-/financecontext.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Mappingref + route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2 success TST, 3 unknown ACC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Statisch sterk; runtime beperkt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AssetCheck/VISE verwerkt WerkOrder-updates.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Jobnamen/callgraph; beperkte tMaps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Niet direct gekoppeld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Keten vastgesteld; payload onbekend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Ortec gebruikt aparte lifecyclecategorieën.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Vier routes + filter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Niet direct gekoppeld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Categorieën vastgesteld; gebruik onbekend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Maximo is formele auteur van alle uitgaande velden.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Niet bewezen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Niet bewijsbaar uit runrichting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Te valideren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Quintiq is formele planningauthority.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Planning wordt daar afgeleid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Actieve PROD-terugstroom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Sterke interpretatie; te bevestigen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250 runs is het volledige 90-daagse volume.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Niet van toepassing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Ingestcap bereikt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Onjuist; 250 is ondergrens</w:t>
            </w:r>
          </w:p>
        </w:tc>
      </w:tr>
      <w:tr>
        <w:trPr/>
        <w:tc>
          <w:tcPr>
            <w:tcW w:type="dxa" w:w="3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Route duration is berichtlatency.</w:t>
            </w:r>
          </w:p>
        </w:tc>
        <w:tc>
          <w:tcPr>
            <w:tcW w:type="dxa" w:w="24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Route/serviceconstructie</w:t>
            </w:r>
          </w:p>
        </w:tc>
        <w:tc>
          <w:tcPr>
            <w:tcW w:type="dxa" w:w="205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Dagenlange executions</w:t>
            </w:r>
          </w:p>
        </w:tc>
        <w:tc>
          <w:tcPr>
            <w:tcW w:type="dxa" w:w="17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5"/>
              </w:rPr>
              <w:t>Onjuist; niet als SLA gebruiken</w:t>
            </w:r>
          </w:p>
        </w:tc>
      </w:tr>
    </w:tbl>
    <w:p>
      <w:pPr>
        <w:spacing w:after="40"/>
      </w:pPr>
    </w:p>
    <w:p>
      <w:pPr>
        <w:pStyle w:val="Heading1"/>
      </w:pPr>
      <w:r>
        <w:t>7. Resterende bewijsleemten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3200"/>
        <w:gridCol w:w="3260"/>
      </w:tblGrid>
      <w:tr>
        <w:trPr>
          <w:tblHeader w:val="true"/>
        </w:trPr>
        <w:tc>
          <w:tcPr>
            <w:tcW w:type="dxa" w:w="29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Leemte</w:t>
            </w:r>
          </w:p>
        </w:tc>
        <w:tc>
          <w:tcPr>
            <w:tcW w:type="dxa" w:w="32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Impact</w:t>
            </w:r>
          </w:p>
        </w:tc>
        <w:tc>
          <w:tcPr>
            <w:tcW w:type="dxa" w:w="326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6"/>
              </w:rPr>
              <w:t>Benodigde aanvulling</w:t>
            </w:r>
          </w:p>
        </w:tc>
      </w:tr>
      <w:tr>
        <w:trPr/>
        <w:tc>
          <w:tcPr>
            <w:tcW w:type="dxa" w:w="2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Formeel VWI WerkOrder-object ontbreekt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Geen officiële mapping/cardinaliteit/codelijst.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Modelobjecten en governance aanleveren.</w:t>
            </w:r>
          </w:p>
        </w:tc>
      </w:tr>
      <w:tr>
        <w:trPr/>
        <w:tc>
          <w:tcPr>
            <w:tcW w:type="dxa" w:w="2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4PS- en AssetCheck-payload niet volledig gereconstrueerd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Geen compleet doelcontract.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Voorbeeldpayload/schema of gerichte codeextractie.</w:t>
            </w:r>
          </w:p>
        </w:tc>
      </w:tr>
      <w:tr>
        <w:trPr/>
        <w:tc>
          <w:tcPr>
            <w:tcW w:type="dxa" w:w="2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Geen PROD-runtime voor RHM→Smartflow in huidige set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ACC-failuregraad niet extrapoleren.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PROD-taskbinding of gevalideerde runexport.</w:t>
            </w:r>
          </w:p>
        </w:tc>
      </w:tr>
      <w:tr>
        <w:trPr/>
        <w:tc>
          <w:tcPr>
            <w:tcW w:type="dxa" w:w="2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Route logs zijn breed/noisy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Root cause kan verkeerd worden toegeschreven.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Expliciete runtime-job↔static-job/componentmapping.</w:t>
            </w:r>
          </w:p>
        </w:tc>
      </w:tr>
      <w:tr>
        <w:trPr/>
        <w:tc>
          <w:tcPr>
            <w:tcW w:type="dxa" w:w="2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Ownership per attribuut ontbreekt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Geen definitief common-layer authoritymodel.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Businessvalidatie per segment/veld.</w:t>
            </w:r>
          </w:p>
        </w:tc>
      </w:tr>
      <w:tr>
        <w:trPr/>
        <w:tc>
          <w:tcPr>
            <w:tcW w:type="dxa" w:w="29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Ingestcaps begrenzen runvolume</w:t>
            </w:r>
          </w:p>
        </w:tc>
        <w:tc>
          <w:tcPr>
            <w:tcW w:type="dxa" w:w="32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Frequentie alleen als ondergrens.</w:t>
            </w:r>
          </w:p>
        </w:tc>
        <w:tc>
          <w:tcPr>
            <w:tcW w:type="dxa" w:w="3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6"/>
              </w:rPr>
              <w:t>TMC-export met hogere gecontroleerde cap of schedulemetadata.</w:t>
            </w:r>
          </w:p>
        </w:tc>
      </w:tr>
    </w:tbl>
    <w:p>
      <w:pPr>
        <w:spacing w:after="40"/>
      </w:pPr>
    </w:p>
    <w:p>
      <w:pPr>
        <w:pStyle w:val="Heading1"/>
      </w:pPr>
      <w:r>
        <w:t>8. Traceerbare technische bronnen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Brongebied</w:t>
            </w:r>
          </w:p>
        </w:tc>
        <w:tc>
          <w:tcPr>
            <w:tcW w:type="dxa" w:w="7260"/>
            <w:shd w:fill="F2F4F7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7"/>
              </w:rPr>
              <w:t>Artefact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Scanneraggregaat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intodoc-output/werkorder/scan_result.json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Landschap en lineage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intodoc-output/werkorder/scan/{landscape,lineage,connections,contexts,routines,manifest}.json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Maximo→Quintiq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Maximo2Quintiq_Workorder_0.1.item en Maximo2Quintiq_Workorder_Route_0.1.item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Quintiq→Maximo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Quintiq2Maximo_PlannedWorkOrder_0.9.item en WorkOrderPickedUpXML_0.9.item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Maximo→RHM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Maximo2RHM_Workorders_0.4.item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RHM→Smartflow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RHM2Smartflow_Workorders_0.4.item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Maximo→4PS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maximoFourpsWorkOrder_11.3.item; workorder_0.12.item; PublishVLWO→to4psJson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AssetCheck/VISE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AssetCheck_GetWorkOrder(s), SendWorkOrderUpdate en Maximo2AssetCheck_SendWorkOrder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Ortec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trigger_geplande_directe/indirecte, gewijzigde en geannuleerde werkorder; OrtecWerkorderInFilter</w:t>
            </w:r>
          </w:p>
        </w:tc>
      </w:tr>
      <w:tr>
        <w:trPr/>
        <w:tc>
          <w:tcPr>
            <w:tcW w:type="dxa" w:w="210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Runtime</w:t>
            </w:r>
          </w:p>
        </w:tc>
        <w:tc>
          <w:tcPr>
            <w:tcW w:type="dxa" w:w="7260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  <w:insideH w:val="single" w:sz="4" w:color="D8DDE5"/>
              <w:insideV w:val="single" w:sz="4" w:color="D8DDE5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000000"/>
                <w:sz w:val="17"/>
              </w:rPr>
              <w:t>runtime_jobs/job_runs/failures/log_events/component_metrics, project_id=werkorder, source_key=tmc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8"/>
      </w:rPr>
      <w:t>WerkOrder | bewijsbijlage SQL, mappings en runtime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80" w:after="80" w:line="240" w:lineRule="auto"/>
    </w:pPr>
    <w:rPr>
      <w:rFonts w:ascii="Calibri" w:hAnsi="Calibri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WerkOrder bewijsbijlage SQL mappings runtime</dc:title>
  <dc:subject>Technische evidence voor WerkOrder herontwerp</dc:subject>
  <dc:creator>Nexus / IntoData</dc:creator>
  <cp:keywords>WerkOrder, SQL, mappings, runtime, TMC,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