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Calibri" w:hAnsi="Calibri"/>
          <w:b/>
          <w:color w:val="16324F"/>
          <w:sz w:val="48"/>
        </w:rPr>
        <w:t>WerkOrder — integratieanalyse en herontwerpadvies</w:t>
      </w:r>
    </w:p>
    <w:p>
      <w:pPr>
        <w:spacing w:after="320"/>
      </w:pPr>
      <w:r>
        <w:rPr>
          <w:rFonts w:ascii="Calibri" w:hAnsi="Calibri"/>
          <w:color w:val="5B6573"/>
          <w:sz w:val="26"/>
        </w:rPr>
        <w:t>Feitelijk antwoord op de informatievraag, verrijkt met productie- en acceptatieruntime</w:t>
      </w:r>
    </w:p>
    <w:p>
      <w:pPr>
        <w:spacing w:after="40"/>
      </w:pPr>
      <w:r>
        <w:rPr>
          <w:rFonts w:ascii="Calibri" w:hAnsi="Calibri"/>
          <w:b/>
          <w:color w:val="000000"/>
          <w:sz w:val="21"/>
        </w:rPr>
        <w:t xml:space="preserve">Object: </w:t>
      </w:r>
      <w:r>
        <w:rPr>
          <w:rFonts w:ascii="Calibri" w:hAnsi="Calibri"/>
          <w:color w:val="000000"/>
          <w:sz w:val="21"/>
        </w:rPr>
        <w:t>WerkOrder</w:t>
      </w:r>
    </w:p>
    <w:p>
      <w:pPr>
        <w:spacing w:after="40"/>
      </w:pPr>
      <w:r>
        <w:rPr>
          <w:rFonts w:ascii="Calibri" w:hAnsi="Calibri"/>
          <w:b/>
          <w:color w:val="000000"/>
          <w:sz w:val="21"/>
        </w:rPr>
        <w:t xml:space="preserve">Doel: </w:t>
      </w:r>
      <w:r>
        <w:rPr>
          <w:rFonts w:ascii="Calibri" w:hAnsi="Calibri"/>
          <w:color w:val="000000"/>
          <w:sz w:val="21"/>
        </w:rPr>
        <w:t>Rationalisatie en herontwerp richting BEDDA, 3-tier interfaces en VWI common layer</w:t>
      </w:r>
    </w:p>
    <w:p>
      <w:pPr>
        <w:spacing w:after="40"/>
      </w:pPr>
      <w:r>
        <w:rPr>
          <w:rFonts w:ascii="Calibri" w:hAnsi="Calibri"/>
          <w:b/>
          <w:color w:val="000000"/>
          <w:sz w:val="21"/>
        </w:rPr>
        <w:t xml:space="preserve">Bewijsbasis: </w:t>
      </w:r>
      <w:r>
        <w:rPr>
          <w:rFonts w:ascii="Calibri" w:hAnsi="Calibri"/>
          <w:color w:val="000000"/>
          <w:sz w:val="21"/>
        </w:rPr>
        <w:t>Talend ZIP, scannerfacts, mappings, SQL, call-relaties en TMC-runtime</w:t>
      </w:r>
    </w:p>
    <w:p>
      <w:pPr>
        <w:spacing w:after="40"/>
      </w:pPr>
      <w:r>
        <w:rPr>
          <w:rFonts w:ascii="Calibri" w:hAnsi="Calibri"/>
          <w:b/>
          <w:color w:val="000000"/>
          <w:sz w:val="21"/>
        </w:rPr>
        <w:t xml:space="preserve">Peildatum runtime: </w:t>
      </w:r>
      <w:r>
        <w:rPr>
          <w:rFonts w:ascii="Calibri" w:hAnsi="Calibri"/>
          <w:color w:val="000000"/>
          <w:sz w:val="21"/>
        </w:rPr>
        <w:t>12 augustus 2026; observatievenster vanaf 26 mei 2026</w:t>
      </w:r>
    </w:p>
    <w:p>
      <w:pPr>
        <w:spacing w:after="40"/>
      </w:pPr>
      <w:r>
        <w:rPr>
          <w:rFonts w:ascii="Calibri" w:hAnsi="Calibri"/>
          <w:b/>
          <w:color w:val="000000"/>
          <w:sz w:val="21"/>
        </w:rPr>
        <w:t xml:space="preserve">Status: </w:t>
      </w:r>
      <w:r>
        <w:rPr>
          <w:rFonts w:ascii="Calibri" w:hAnsi="Calibri"/>
          <w:color w:val="000000"/>
          <w:sz w:val="21"/>
        </w:rPr>
        <w:t>Beslisdocument; formele VWI-mapping en data-ownership vereisen nog domeinbevestiging</w:t>
      </w:r>
    </w:p>
    <w:p>
      <w:pPr>
        <w:spacing w:after="80"/>
      </w:pPr>
    </w:p>
    <w:p>
      <w:pPr>
        <w:spacing w:before="120" w:after="160" w:line="269" w:lineRule="auto"/>
        <w:ind w:left="259" w:right="259"/>
        <w:shd w:fill="EAF4EA"/>
      </w:pPr>
      <w:r>
        <w:rPr>
          <w:rFonts w:ascii="Calibri" w:hAnsi="Calibri"/>
          <w:b/>
          <w:color w:val="16324F"/>
          <w:sz w:val="21"/>
        </w:rPr>
        <w:t xml:space="preserve">Kernantwoord: </w:t>
      </w:r>
      <w:r>
        <w:rPr>
          <w:rFonts w:ascii="Calibri" w:hAnsi="Calibri"/>
          <w:color w:val="000000"/>
          <w:sz w:val="21"/>
        </w:rPr>
        <w:t>De Talend-keten wisselt niet één uniforme WerkOrder uit, maar meerdere samenhangende segmenten: kerngegevens, planning, status/lifecycle, locatie en classificatie, rollen en uitvoeringsfeedback. De runtime bevestigt dat meerdere van deze stromen werkelijk actief zijn. De businesscapabilities moeten behouden of gerationaliseerd worden; de huidige point-to-point Talend-, file- en JMS-implementaties hoeven niet één-op-één terug te komen.</w:t>
      </w:r>
    </w:p>
    <w:p>
      <w:pPr>
        <w:pStyle w:val="Heading1"/>
      </w:pPr>
      <w:r>
        <w:t>Leeswijzer</w:t>
      </w:r>
    </w:p>
    <w:p>
      <w:pPr/>
      <w:r>
        <w:t>Dit rapport is als doorlopend advies geschreven. Het beantwoordt daarmee de inhoudelijke bedoeling van de e-mail zonder een nieuwe vragenlijst te worden. Feiten uit code, mappings en SQL worden gecombineerd met TMC-runtime. Waar formele betekenis of eigenaarschap ontbreekt, wordt dat expliciet als validatiepunt benoemd.</w:t>
      </w:r>
    </w:p>
    <w:tbl>
      <w:tblPr>
        <w:tblW w:type="dxa" w:w="9360"/>
        <w:jc w:val="left"/>
        <w:tblLayout w:type="fixed"/>
        <w:tblLook w:firstColumn="1" w:firstRow="1" w:lastColumn="0" w:lastRow="0" w:noHBand="0" w:noVBand="1" w:val="04A0"/>
        <w:tblInd w:type="dxa" w:w="120"/>
      </w:tblPr>
      <w:tblGrid>
        <w:gridCol w:w="1900"/>
        <w:gridCol w:w="7460"/>
      </w:tblGrid>
      <w:tr>
        <w:trPr>
          <w:tblHeader w:val="true"/>
        </w:trPr>
        <w:tc>
          <w:tcPr>
            <w:tcW w:type="dxa" w:w="19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8"/>
              </w:rPr>
              <w:t>Bewijsstatus</w:t>
            </w:r>
          </w:p>
        </w:tc>
        <w:tc>
          <w:tcPr>
            <w:tcW w:type="dxa" w:w="746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8"/>
              </w:rPr>
              <w:t>Betekenis in dit rapport</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Vastgesteld</w:t>
            </w:r>
          </w:p>
        </w:tc>
        <w:tc>
          <w:tcPr>
            <w:tcW w:type="dxa" w:w="74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Direct zichtbaar in mapping, SQL, job/routeconfiguratie of call-relatie.</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Runtime-bevestigd</w:t>
            </w:r>
          </w:p>
        </w:tc>
        <w:tc>
          <w:tcPr>
            <w:tcW w:type="dxa" w:w="74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De TMC-observatie laat een uitvoering, status, duur, failure of componentmeting zien.</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Interpretatie</w:t>
            </w:r>
          </w:p>
        </w:tc>
        <w:tc>
          <w:tcPr>
            <w:tcW w:type="dxa" w:w="74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Technisch waarschijnlijk, maar formele businessdefinitie of contract ontbreekt.</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Te valideren</w:t>
            </w:r>
          </w:p>
        </w:tc>
        <w:tc>
          <w:tcPr>
            <w:tcW w:type="dxa" w:w="74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8"/>
              </w:rPr>
              <w:t>Nodig voor VWI-mapping, ownership of een definitief rationalisatiebesluit.</w:t>
            </w:r>
          </w:p>
        </w:tc>
      </w:tr>
    </w:tbl>
    <w:p>
      <w:pPr>
        <w:spacing w:after="40"/>
      </w:pPr>
    </w:p>
    <w:p>
      <w:r>
        <w:br w:type="page"/>
      </w:r>
    </w:p>
    <w:p>
      <w:pPr>
        <w:pStyle w:val="Heading1"/>
      </w:pPr>
      <w:r>
        <w:t>1. Managementsamenvatting</w:t>
      </w:r>
    </w:p>
    <w:p>
      <w:pPr/>
      <w:r>
        <w:t>De aangeleverde Talend-bronset bevat voldoende bewijs om de verborgen WerkOrder-uitwisselingen te reconstrueren. Het sterkste statische bewijs zit in de Maximo→Quintiq- en Maximo→RHM-mappings en in de SQL van Quintiq→Maximo PlannedWorkOrder. Daaruit volgen aantoonbare velden voor identificatie, status, planning, locatie, classificatie, project-/monitoringcontext, hiërarchie en rollen.</w:t>
      </w:r>
    </w:p>
    <w:p>
      <w:pPr/>
      <w:r>
        <w:t>De nieuwe runtimegegevens veranderen de analyse op een belangrijk punt. Maximo2RHM_Workorders en Quintiq2Maximo_PlannedWorkOrder zijn niet alleen codeartefacten: voor beide zijn 250 recente PROD-uitvoeringen waargenomen en alle 250 eindigden succesvol. RHM2Smartflow_Workorders is eveneens aantoonbaar actief, maar in ACC faalden 109 van 250 waargenomen runs (43,6%). De Maximo2Quintiq-route heeft in ACC vier failures in acht runs, naast vier successes; een tiende status over ACC/TST is onbekend. Dit maakt RHM→Smartflow en de Maximo→Quintiq-routering concrete validatie- en rationalisatieprioriteiten.</w:t>
      </w:r>
    </w:p>
    <w:p>
      <w:pPr/>
      <w:r>
        <w:t>De runtime bewijst activiteit en technisch gedrag, niet de formele auteur van een WerkOrder-attribuut. Maximo is technisch bron voor de zichtbare uitgaande stromen; Quintiq is technisch bron voor de planningsterugmelding; RHM is technisch bron voor Smartflow. Of deze systemen ook toekomstig system of record of attribuutautoriteit zijn, moet door business en architectuur worden bevestigd.</w:t>
      </w:r>
    </w:p>
    <w:p>
      <w:pPr>
        <w:spacing w:before="120" w:after="160" w:line="269" w:lineRule="auto"/>
        <w:ind w:left="259" w:right="259"/>
        <w:shd w:fill="E8EEF5"/>
      </w:pPr>
      <w:r>
        <w:rPr>
          <w:rFonts w:ascii="Calibri" w:hAnsi="Calibri"/>
          <w:b/>
          <w:color w:val="16324F"/>
          <w:sz w:val="21"/>
        </w:rPr>
        <w:t xml:space="preserve">Aanbevolen ontwerpbesluit: </w:t>
      </w:r>
      <w:r>
        <w:rPr>
          <w:rFonts w:ascii="Calibri" w:hAnsi="Calibri"/>
          <w:color w:val="000000"/>
          <w:sz w:val="21"/>
        </w:rPr>
        <w:t>Ontwerp één versieerbare WerkOrder-common layer met een kleine kern en afzonderlijke segmenten voor planning, lifecycle/status, locatie/classificatie, rollen en uitvoeringsfeedback. Modelleer Talend-procesadministratie, files, queues, retries en monitoring niet als onderdeel van WerkOrder; lever die als platformcapaciteiten.</w:t>
      </w:r>
    </w:p>
    <w:p>
      <w:pPr>
        <w:pStyle w:val="Heading1"/>
      </w:pPr>
      <w:r>
        <w:t>2. Wat wordt feitelijk uitgewisseld?</w:t>
      </w:r>
    </w:p>
    <w:p>
      <w:pPr/>
      <w:r>
        <w:t>De code toont geen volledige, overal identieke WerkOrder. De ketens gebruiken verschillende doorsneden van hetzelfde business object. De volgende segmentering volgt rechtstreeks uit terugkerende mappings en SQL-regels.</w:t>
      </w:r>
    </w:p>
    <w:tbl>
      <w:tblPr>
        <w:tblW w:type="dxa" w:w="9360"/>
        <w:jc w:val="left"/>
        <w:tblLayout w:type="fixed"/>
        <w:tblLook w:firstColumn="1" w:firstRow="1" w:lastColumn="0" w:lastRow="0" w:noHBand="0" w:noVBand="1" w:val="04A0"/>
        <w:tblInd w:type="dxa" w:w="120"/>
      </w:tblPr>
      <w:tblGrid>
        <w:gridCol w:w="1650"/>
        <w:gridCol w:w="4810"/>
        <w:gridCol w:w="2900"/>
      </w:tblGrid>
      <w:tr>
        <w:trPr>
          <w:tblHeader w:val="true"/>
        </w:trPr>
        <w:tc>
          <w:tcPr>
            <w:tcW w:type="dxa" w:w="16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Segment</w:t>
            </w:r>
          </w:p>
        </w:tc>
        <w:tc>
          <w:tcPr>
            <w:tcW w:type="dxa" w:w="481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Aantoonbare inhoud</w:t>
            </w:r>
          </w:p>
        </w:tc>
        <w:tc>
          <w:tcPr>
            <w:tcW w:type="dxa" w:w="29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Voornaamste ketens</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WerkOrder-kern</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WONUM/WorkOrderNr, omschrijving, organisatie/site, parentrelatie.</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Maximo→Quintiq; Maximo→RHM</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Status en lifecycle</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STATUS, StatusDate/changedate, HistoryFlag; gepland, gewijzigd, geannuleerd; pickup/QQProcessed.</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Maximo→RHM/Quintiq/4PS; Ortec; Quintiq→Maximo</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Planning</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TARGSTARTDATE, TARGCOMPDATE, SCHEDSTART, SCHEDFINISH, Cycle/duur, WOPM6, vrijgegeven CapacityTask.</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Maximo↔Quintiq</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Locatie en classificatie</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LOCATION, SITEID, WOLO5, GEOCode, WORKTYPE, WO3, contractgebied.</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Maximo→Quintiq; Ortec-mappings</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Project en monitoring</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GLACCOUNT/ProjectNr, BC/MonitoringCode, WOLO4 en gerelateerde context.</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Maximo→RHM/Quintiq; Quintiq→Maximo</w:t>
            </w:r>
          </w:p>
        </w:tc>
      </w:tr>
      <w:tr>
        <w:trPr/>
        <w:tc>
          <w:tcPr>
            <w:tcW w:type="dxa" w:w="16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Rollen en uitvoering</w:t>
            </w:r>
          </w:p>
        </w:tc>
        <w:tc>
          <w:tcPr>
            <w:tcW w:type="dxa" w:w="4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LEAD, SUPERVISOR en Smartflow-uitvoering; aanvullende AssetCheck/VISE-updates nog niet veldmatig vastgesteld.</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Maximo→Quintiq; RHM→Smartflow; AssetCheck/VISE</w:t>
            </w:r>
          </w:p>
        </w:tc>
      </w:tr>
    </w:tbl>
    <w:p>
      <w:pPr>
        <w:spacing w:after="40"/>
      </w:pPr>
    </w:p>
    <w:p>
      <w:pPr>
        <w:pStyle w:val="SourceNote"/>
      </w:pPr>
      <w:r>
        <w:t>Bronbasis: Maximo2Quintiq_Workorder tMap; Maximo2RHM_Workorders tMap; Quintiq2Maximo_PlannedWorkOrder SQL/tXMLMap; Ortec-routeinventaris; AssetCheck-callgraph.</w:t>
      </w:r>
    </w:p>
    <w:p>
      <w:pPr>
        <w:pStyle w:val="Heading1"/>
      </w:pPr>
      <w:r>
        <w:t>3. Analyse per WerkOrder-keten</w:t>
      </w:r>
    </w:p>
    <w:p>
      <w:pPr>
        <w:pStyle w:val="Heading2"/>
      </w:pPr>
      <w:r>
        <w:t>3.1 Maximo → Quintiq: brede WerkOrder-representatie</w:t>
      </w:r>
    </w:p>
    <w:p>
      <w:pPr/>
      <w:r>
        <w:t>Vastgesteld. Maximo2Quintiq_Workorder mapt onder meer WONUM, GLACCOUNT, BC, TARGSTARTDATE, TARGCOMPDATE, DESCRIPTION, STATUS, LOCATION, WOLO5, WORKTYPE, WO3, SITEID, WOPM5, WOPM1, WOLO4, LEAD, SUPERVISOR en WO14. Daarmee gaat aantoonbaar meer dan een statusupdate over de lijn: identiteit, planning, locatie, werksoort, organisatorische context, project/monitoring, aanvullende kenmerken en medewerkerrollen.</w:t>
      </w:r>
    </w:p>
    <w:p>
      <w:pPr/>
      <w:r>
        <w:t>Runtime-bevestigd. TMC bevat twee taakrecords met de naam Maximo2Quintiq_Workorder_Route, passend bij de twee fysieke kopieën uit de scan. In ACC zijn acht runs waargenomen: vier success, vier failed. In TST zijn twee runs waargenomen: één success en één unknown. Enkele route-executies blijven extreem lang open, tot circa 76 dagen. Dat is waarschijnlijk de levensduur van een route/service of onvolledige eindregistratie en mag niet als WerkOrder-berichtlatency worden gebruikt.</w:t>
      </w:r>
    </w:p>
    <w:p>
      <w:pPr/>
      <w:r>
        <w:t>Duiding. De businesscapability is het aanbieden van WerkOrder-kern en planningcontext aan een planningsdomein. De file-pollingroute, dubbele deployment en langdurige route-executies zijn implementatiekenmerken. De inhoud hoort in een common contract; de route hoort te worden vervangen door een gestandaardiseerde proces-/eventinterface met expliciete idempotentie en traceability.</w:t>
      </w:r>
    </w:p>
    <w:p>
      <w:pPr>
        <w:pStyle w:val="SourceNote"/>
      </w:pPr>
      <w:r>
        <w:t>Bronbasis: Maximo2Quintiq_Workorder_0.1.item; Maximo2Quintiq_Workorder_Route_0.1.item; call edge Route→Route_Job; TMC jobruns 26-05-2026 t/m 12-08-2026.</w:t>
      </w:r>
    </w:p>
    <w:p>
      <w:pPr>
        <w:pStyle w:val="Heading2"/>
      </w:pPr>
      <w:r>
        <w:t>3.2 Quintiq → Maximo: geplande WerkOrder</w:t>
      </w:r>
    </w:p>
    <w:p>
      <w:pPr/>
      <w:r>
        <w:t>Vastgesteld. Quintiq2Maximo_PlannedWorkOrder selecteert gewijzigde WerkOrders met status WOP, een Workorder-trigger, minimaal één vrijgegeven CapacityTask en geen verwijderverzoek. De job bepaalt BC, SCHEDSTART, SCHEDFINISH en WOPM6 uit WorkPackage en CapacityTask. Het begin en einde volgen uit de eerste en laatste vrijgegeven capaciteitstaak, met WorkPackage als fallback.</w:t>
      </w:r>
    </w:p>
    <w:p>
      <w:pPr/>
      <w:r>
        <w:t>Runtime-bevestigd. In PROD zijn 250 waargenomen runs beschikbaar; alle 250 eindigden succesvol. De mediaan is 2,7 seconden en p95 6,3 seconden. In de behouden componentmetingen leverde tMSSqlInput_3 in 17 samples samen zes geselecteerde rijen; dit wijst op een frequente maar vaak lege of kleine delta, niet op de totale businessvolume over 90 dagen. Het aantal 250 is bovendien de ingestcap en dus een ondergrens voor het werkelijke aantal runs.</w:t>
      </w:r>
    </w:p>
    <w:p>
      <w:pPr/>
      <w:r>
        <w:t>Duiding. Dit is een afzonderlijk planningsegment, geen volledige WerkOrder. De selectievoorwaarden zijn businessachtig, maar moeten niet automatisch als toekomstig beleid worden gekopieerd. WOP, IsReleased, delete request en fallbacklogica moeten expliciet worden gevalideerd en vervolgens als contract- of procesregel worden beheerd.</w:t>
      </w:r>
    </w:p>
    <w:p>
      <w:pPr>
        <w:pStyle w:val="SourceNote"/>
      </w:pPr>
      <w:r>
        <w:t>Bronbasis: Quintiq2Maximo_PlannedWorkOrder_0.9.item, tMSSqlInput_3/tMSSqlInput_4; TMC PROD-runs en componentmetrics.</w:t>
      </w:r>
    </w:p>
    <w:p>
      <w:pPr>
        <w:pStyle w:val="Heading2"/>
      </w:pPr>
      <w:r>
        <w:t>3.3 Maximo → RHM: compact kern- en statusprofiel</w:t>
      </w:r>
    </w:p>
    <w:p>
      <w:pPr/>
      <w:r>
        <w:t>Vastgesteld. Maximo2RHM_Workorders leest de Maximo MAS QWO API en mapt wonum, orgid, siteid, description, status, changedate, historyflag, parent, glaccount en bc naar TempMaximoWorkorders. changedate wordt geparsed naar StatusDate en DATUM; historyflag wordt 0/1. De job gebruikt paginering, een tijdelijke tabel en een stored procedure.</w:t>
      </w:r>
    </w:p>
    <w:p>
      <w:pPr/>
      <w:r>
        <w:t>Runtime-bevestigd. In PROD zijn 250 runs waargenomen en alle 250 zijn succesvol. De mediaan is 10,7 seconden, p95 22,6 seconden en het maximum 51,3 seconden. Voor 33 metrische samples zijn op meerdere ketencomponenten samen 27.492 verwerkte rijen en nul rejected rows geregistreerd. Omdat dezelfde rijen langs meerdere componenten worden gemeten, is 27.492 geen uniek WerkOrder-volume; per gemeten schakel correspondeert het met circa 833 rijen over de 33 samples.</w:t>
      </w:r>
    </w:p>
    <w:p>
      <w:pPr/>
      <w:r>
        <w:t>Duiding. De actieve, stabiele runtime ondersteunt behoud van de informatiecapability zolang RHM deze gegevens nodig heeft. TRUNCATE, hashbuffer, process last-run en stored procedure zijn adapter-/verwerkingslogica. Het toekomstige contract moet kern-, status- en contextvelden standaardiseren; de tijdelijke tabelconstructie hoeft niet te worden overgenomen.</w:t>
      </w:r>
    </w:p>
    <w:p>
      <w:pPr>
        <w:pStyle w:val="SourceNote"/>
      </w:pPr>
      <w:r>
        <w:t>Bronbasis: Maximo2RHM_Workorders_0.4.item; tMap WriteToRhm; QWO API-context; TMC PROD-runs en componentmetrics.</w:t>
      </w:r>
    </w:p>
    <w:p>
      <w:pPr>
        <w:pStyle w:val="Heading2"/>
      </w:pPr>
      <w:r>
        <w:t>3.4 RHM → Smartflow: uitvoering met aantoonbaar kwaliteitsrisico</w:t>
      </w:r>
    </w:p>
    <w:p>
      <w:pPr/>
      <w:r>
        <w:t>Vastgesteld. RHM2Smartflow_Workorders leest nieuwe en verwijderde WorkOrders, bouwt XML, roept Smartflow Login en ProcessXml aan en markeert SendToSmartflow. De statische SQL bevat afzonderlijke selecties voor actieve en verwijderde orders; de tMaps koppelen RefExternal terug aan WorkorderNr.</w:t>
      </w:r>
    </w:p>
    <w:p>
      <w:pPr/>
      <w:r>
        <w:t>Runtime-bevestigd. In ACC zijn 250 runs waargenomen: 141 success en 109 failed. Dat is 43,6% failures binnen de beschikbare capped dataset. Mediaan en p95 zijn 13,5 en 27,6 seconden. Dit is geen bewijs dat PROD dezelfde foutgraad heeft, maar wel hard bewijs dat deze keten in ACC actief en instabiel is.</w:t>
      </w:r>
    </w:p>
    <w:p>
      <w:pPr/>
      <w:r>
        <w:t>Duiding. Deze keten was in het eerdere rapport onderbelicht omdat runtime ontbrak. Zij is nu een prioriteit voor functionele validatie: welke WerkOrder-informatie heeft Smartflow nodig, horen verwijderingen als delete of lifecycle-event te worden verwerkt, en is SendToSmartflow een businessstatus of alleen technische synchronisatiemarkering? Rationalisatieadvies: behouden indien Smartflow een toekomstige uitvoeringsfunctie heeft, maar contract en foutafhandeling herontwerpen vóór migratie.</w:t>
      </w:r>
    </w:p>
    <w:p>
      <w:pPr>
        <w:pStyle w:val="SourceNote"/>
      </w:pPr>
      <w:r>
        <w:t>Bronbasis: RHM2Smartflow_Workorders_0.4.item; WorkordersSelectQuery/DeletedWorkorders; TMC ACC-runs.</w:t>
      </w:r>
    </w:p>
    <w:p>
      <w:pPr>
        <w:pStyle w:val="Heading2"/>
      </w:pPr>
      <w:r>
        <w:t>3.5 Maximo → 4PS: businessroute met nog onvolledige runtimebewijsvoering</w:t>
      </w:r>
    </w:p>
    <w:p>
      <w:pPr/>
      <w:r>
        <w:t>Vastgesteld. maximoFourpsWorkOrder consumeert JMS, roept de embedded workorder-job aan en kent reader-, writer- en patcherfasen met centrale monitoring. De gedocumenteerde PublishVLWO→to4psJson-mapping bevat onder meer WONUM, DESCRIPTION, projectnr, GLACCOUNT, STATUS, WORKTYPE, WBS-velden, companyId en customerNo.</w:t>
      </w:r>
    </w:p>
    <w:p>
      <w:pPr/>
      <w:r>
        <w:t>Runtime-bevestigd met beperking. TMC bevat twee taakrecords. In TST zijn twee success-statussen gezien; in ACC drie unknown-statussen. De zeer lange execution durations passen bij een permanent draaiende route en zijn geen transactie-SLA. Er zijn geen failures in deze vijf records, maar de dataset is te klein en bevat unknown-statussen; daarmee is betrouwbaarheid niet vastgesteld.</w:t>
      </w:r>
    </w:p>
    <w:p>
      <w:pPr/>
      <w:r>
        <w:t>Duiding. De WerkOrder-naar-4PS capability lijkt functioneel breed genoeg om te behouden of nader te rationaliseren, maar JMS, reader/writer/patcher en monitoringtopics zijn platform-/adapterlogica. Voor een ontwerpbesluit moeten formele 4PS-consumenten, terugmutaties en status-/finance-ownership worden bevestigd.</w:t>
      </w:r>
    </w:p>
    <w:p>
      <w:pPr>
        <w:pStyle w:val="SourceNote"/>
      </w:pPr>
      <w:r>
        <w:t>Bronbasis: maximoFourpsWorkOrder_11.3.item; workorder_0.12.item; PublishVLWO→to4psJson mapping; TMC ACC/TST-runs.</w:t>
      </w:r>
    </w:p>
    <w:p>
      <w:pPr>
        <w:pStyle w:val="Heading2"/>
      </w:pPr>
      <w:r>
        <w:t>3.6 AssetCheck / VISE en Ortec: statisch sterk, runtime nog niet gekoppeld</w:t>
      </w:r>
    </w:p>
    <w:p>
      <w:pPr/>
      <w:r>
        <w:t>AssetCheck/VISE. De callgraph bevestigt afzonderlijke GetWorkOrder, GetWorkOrders, SendWorkOrder en SendWorkOrderUpdate-stappen met MSSQL, file en HTTP. De onderzochte tMaps beschrijven vooral procesafhandeling; de businesspayload is niet volledig zichtbaar. De huidige TMC-defaultscope selecteert uitsluitend taken waarvan naam, artefact of directe metadata het businessobject benoemt. Afwezigheid in de runtime-import bewijst daarom niet dat AssetCheck/VISE inactief is.</w:t>
      </w:r>
    </w:p>
    <w:p>
      <w:pPr/>
      <w:r>
        <w:t>Ortec. De scan bevestigt aparte routes voor geplande directe, geplande indirecte, gewijzigde en geannuleerde WerkOrders en een OrtecWerkorderInFilter. Dit bewijst eventcategorieën, niet de volledige payload of actieve productieconsument. De toekomstige eventtaxonomie moet worden gevalideerd; vervolgens kunnen deze point-to-point routes worden samengebracht in een versieerbaar lifecyclecontract.</w:t>
      </w:r>
    </w:p>
    <w:p>
      <w:pPr>
        <w:pStyle w:val="SourceNote"/>
      </w:pPr>
      <w:r>
        <w:t>Bronbasis: AssetCheck_Interface- en Maximo2AssetCheck-jobs/callgraph; ortec_maximo routes; geen direct gekoppelde TMC-run in de huidige WerkOrder-selectie.</w:t>
      </w:r>
    </w:p>
    <w:p>
      <w:r>
        <w:br w:type="page"/>
      </w:r>
    </w:p>
    <w:p>
      <w:pPr>
        <w:pStyle w:val="Heading1"/>
      </w:pPr>
      <w:r>
        <w:t>4. Mogelijke relatie met het VWI Informatie Model</w:t>
      </w:r>
    </w:p>
    <w:p>
      <w:pPr/>
      <w:r>
        <w:t>Het formele VWI WerkOrder-model is niet aangeleverd. Daarom bevat dit rapport semantische kandidaten en geen officiële VWI-propertynamen. De technische velden kunnen pas formeel worden gemapt nadat objectdefinities, cardinaliteiten, codelijsten, relaties, ownership en versiebeleid beschikbaar zijn.</w:t>
      </w:r>
    </w:p>
    <w:tbl>
      <w:tblPr>
        <w:tblW w:type="dxa" w:w="9360"/>
        <w:jc w:val="left"/>
        <w:tblLayout w:type="fixed"/>
        <w:tblLook w:firstColumn="1" w:firstRow="1" w:lastColumn="0" w:lastRow="0" w:noHBand="0" w:noVBand="1" w:val="04A0"/>
        <w:tblInd w:type="dxa" w:w="120"/>
      </w:tblPr>
      <w:tblGrid>
        <w:gridCol w:w="1750"/>
        <w:gridCol w:w="2200"/>
        <w:gridCol w:w="2600"/>
        <w:gridCol w:w="2810"/>
      </w:tblGrid>
      <w:tr>
        <w:trPr>
          <w:tblHeader w:val="true"/>
        </w:trPr>
        <w:tc>
          <w:tcPr>
            <w:tcW w:type="dxa" w:w="17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Bronveld of regel</w:t>
            </w:r>
          </w:p>
        </w:tc>
        <w:tc>
          <w:tcPr>
            <w:tcW w:type="dxa" w:w="22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Semantische kandidaat</w:t>
            </w:r>
          </w:p>
        </w:tc>
        <w:tc>
          <w:tcPr>
            <w:tcW w:type="dxa" w:w="26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Stand van bewijs</w:t>
            </w:r>
          </w:p>
        </w:tc>
        <w:tc>
          <w:tcPr>
            <w:tcW w:type="dxa" w:w="281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Nog te besluiten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WONUM / WorkOrderNr</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WerkOrder-identificatie</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mapping; runtime van meerdere ketens bevestigd.</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Globale uniciteit versus org/site-context.</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ORGID / SITEID</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Organisatie- en sitecontext</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mapping naar RHM.</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Administratieve site, uitvoeringslocatie of ownership.</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DESCRIPTION / Name</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Omschrijving/opdrachtnaam</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mapping.</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Vrije tekst, titel of functionele opdracht.</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STATUS / StatusDate / changedate</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Status en statusmoment</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Meerdere mappings; actieve runtime.</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Canonieke statuslevenscyclus, tijdzone en auteur.</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TARGSTARTDATE / TARGCOMPDATE / SCHEDSTART / SCHEDFINISH</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Planningvenster</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Mapping en planning-SQL; PROD-runtime bevestigd.</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Forecast, afspraak, commitment en actuals onderscheiden.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PARENT</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Hiërarchische relatie</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mapping.</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Parent WerkOrder, hoofdorder of andere relatie.</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LOCATION / WOLO5 / GEOCode</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Locatie/geografische context</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Bronvelden zichtbaar.</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Primaire locatie en relatie met asset/object.</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WORKTYPE / WO3</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Werksoort/technische classificatie</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Bronvelden zichtbaar.</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Codelijst, definitie en governance.</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GLACCOUNT / ProjectNr / BC / MonitoringCode / WOLO4</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Financiële, project-, monitoring- of contractcontext</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overdracht; betekenis deels geïnterpreteerd.</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Splitsen in expliciete relaties en codes.</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LEAD / SUPERVISOR</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WerkOrder-rollen</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Directe mapping; LEAD-formaatnormalisatie.</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Persoon, medewerker, rol of leverancier.</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WOPM1 / WOPM5 / WOPM6 / WO14 / HistoryFlag / QQProcessed</w:t>
            </w:r>
          </w:p>
        </w:tc>
        <w:tc>
          <w:tcPr>
            <w:tcW w:type="dxa" w:w="2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Aanvullende planning/lifecycle</w:t>
            </w:r>
          </w:p>
        </w:tc>
        <w:tc>
          <w:tcPr>
            <w:tcW w:type="dxa" w:w="26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Technisch zichtbaar, niet formeel geduid.</w:t>
            </w:r>
          </w:p>
        </w:tc>
        <w:tc>
          <w:tcPr>
            <w:tcW w:type="dxa" w:w="28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Behoud, naam, datatype, codelijst en auteur.</w:t>
            </w:r>
          </w:p>
        </w:tc>
      </w:tr>
    </w:tbl>
    <w:p>
      <w:pPr>
        <w:spacing w:after="40"/>
      </w:pPr>
    </w:p>
    <w:p>
      <w:pPr>
        <w:pStyle w:val="Heading1"/>
      </w:pPr>
      <w:r>
        <w:t>5. Businesslogica versus techniek en workaround</w:t>
      </w:r>
    </w:p>
    <w:tbl>
      <w:tblPr>
        <w:tblW w:type="dxa" w:w="9360"/>
        <w:jc w:val="left"/>
        <w:tblLayout w:type="fixed"/>
        <w:tblLook w:firstColumn="1" w:firstRow="1" w:lastColumn="0" w:lastRow="0" w:noHBand="0" w:noVBand="1" w:val="04A0"/>
        <w:tblInd w:type="dxa" w:w="120"/>
      </w:tblPr>
      <w:tblGrid>
        <w:gridCol w:w="1450"/>
        <w:gridCol w:w="2850"/>
        <w:gridCol w:w="2450"/>
        <w:gridCol w:w="2610"/>
      </w:tblGrid>
      <w:tr>
        <w:trPr>
          <w:tblHeader w:val="true"/>
        </w:trPr>
        <w:tc>
          <w:tcPr>
            <w:tcW w:type="dxa" w:w="14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Patroon</w:t>
            </w:r>
          </w:p>
        </w:tc>
        <w:tc>
          <w:tcPr>
            <w:tcW w:type="dxa" w:w="28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Voorbeeld</w:t>
            </w:r>
          </w:p>
        </w:tc>
        <w:tc>
          <w:tcPr>
            <w:tcW w:type="dxa" w:w="24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Voorlopige classificatie</w:t>
            </w:r>
          </w:p>
        </w:tc>
        <w:tc>
          <w:tcPr>
            <w:tcW w:type="dxa" w:w="261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Ontwerpactie</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Businessregel</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WOP + vrijgegeven CapacityTask + geen delete request.</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Planningselectie; toekomstwaarde te bevestigen.</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Als procesregel modelleren en testen.</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Businessregel</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Status, planningvenster, locatie, werksoort en parent.</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WerkOrder-semantiek.</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In VWI/common contract plaatsen.</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Grensgeval</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ESTDUR ÷ 8 en LEAD met voorloopnullen.</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Mogelijke domeinconventie of adapterregel.</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Businessbetekenis en doelcontract valideren.</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Technische transformatie</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Datumparsing, XML/JSON/XSLT, hashbuffers.</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Serialisatie en adapterlogica.</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In adapters/platform, niet in objectsemantiek.</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Technische verwerking</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Processes/ProcessData, LastRunDateTime, temp tables.</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Delta, deduplicatie en runadministratie.</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Vervangen door platformstate/idempotentie.</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Historische vorm</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Fileshares, JMS-queues, aparte send/get/update-routes.</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Point-to-point implementatie.</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Niet één-op-één herbouwen; rationaliseren.</w:t>
            </w:r>
          </w:p>
        </w:tc>
      </w:tr>
      <w:tr>
        <w:trPr/>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Observability</w:t>
            </w:r>
          </w:p>
        </w:tc>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Wiretaps, StatCatcher, MessageCollector, LogInfo.</w:t>
            </w:r>
          </w:p>
        </w:tc>
        <w:tc>
          <w:tcPr>
            <w:tcW w:type="dxa" w:w="2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Nodig als platformcapability, geen WerkOrder-veld.</w:t>
            </w:r>
          </w:p>
        </w:tc>
        <w:tc>
          <w:tcPr>
            <w:tcW w:type="dxa" w:w="26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Gestandaardiseerde tracing, metrics en DLQ.</w:t>
            </w:r>
          </w:p>
        </w:tc>
      </w:tr>
    </w:tbl>
    <w:p>
      <w:pPr>
        <w:spacing w:after="40"/>
      </w:pPr>
    </w:p>
    <w:p>
      <w:pPr>
        <w:pStyle w:val="Heading1"/>
      </w:pPr>
      <w:r>
        <w:t>6. Systemen: technische bron, consument en formele auteur</w:t>
      </w:r>
    </w:p>
    <w:p>
      <w:pPr/>
      <w:r>
        <w:t>De technische richting kan uit code en runtime worden vastgesteld. Formele data-authority kan dat niet. Onderstaande tabel voorkomt dat een technische producer automatisch tot system of record wordt verheven.</w:t>
      </w:r>
    </w:p>
    <w:tbl>
      <w:tblPr>
        <w:tblW w:type="dxa" w:w="9360"/>
        <w:jc w:val="left"/>
        <w:tblLayout w:type="fixed"/>
        <w:tblLook w:firstColumn="1" w:firstRow="1" w:lastColumn="0" w:lastRow="0" w:noHBand="0" w:noVBand="1" w:val="04A0"/>
        <w:tblInd w:type="dxa" w:w="120"/>
      </w:tblPr>
      <w:tblGrid>
        <w:gridCol w:w="1750"/>
        <w:gridCol w:w="1450"/>
        <w:gridCol w:w="1450"/>
        <w:gridCol w:w="2700"/>
        <w:gridCol w:w="2010"/>
      </w:tblGrid>
      <w:tr>
        <w:trPr>
          <w:tblHeader w:val="true"/>
        </w:trPr>
        <w:tc>
          <w:tcPr>
            <w:tcW w:type="dxa" w:w="17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Keten</w:t>
            </w:r>
          </w:p>
        </w:tc>
        <w:tc>
          <w:tcPr>
            <w:tcW w:type="dxa" w:w="14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Technische bron</w:t>
            </w:r>
          </w:p>
        </w:tc>
        <w:tc>
          <w:tcPr>
            <w:tcW w:type="dxa" w:w="14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Technische consument</w:t>
            </w:r>
          </w:p>
        </w:tc>
        <w:tc>
          <w:tcPr>
            <w:tcW w:type="dxa" w:w="27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Runtime</w:t>
            </w:r>
          </w:p>
        </w:tc>
        <w:tc>
          <w:tcPr>
            <w:tcW w:type="dxa" w:w="201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Formele auteur</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Maximo→Quintiq</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 / file-export</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Quintiq</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ACC/TST actief; failures en langdurige route-runs.</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Per attribuut te valideren.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Quintiq→Maximo planning</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Quintiq DB</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250/250 PROD success.</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Planning waarschijnlijk Quintiq; formeel te bevestigen.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Maximo→RHM</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 MAS QWO</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RHM</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250/250 PROD success.</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Per attribuut te valideren.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RHM→Smartflow</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RHM WorkOrders</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Smartflow</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ACC actief; 109/250 failed.</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Uitvoeringsvelden en delete-authority te valideren.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Maximo→4PS</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Maximo/JMS</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4PS</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TST success; ACC unknown; kleine set.</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Status/finance/project per attribuut te valideren.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AssetCheck/VISE</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Maximo/AssetCheck volgens jobrichting</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Wisselend</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Niet gekoppeld in huidige scoped runtime.</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Te valideren.</w:t>
            </w:r>
          </w:p>
        </w:tc>
      </w:tr>
      <w:tr>
        <w:trPr/>
        <w:tc>
          <w:tcPr>
            <w:tcW w:type="dxa" w:w="17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Ortec lifecycle</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Route-/eventproducer niet volledig vastgesteld</w:t>
            </w:r>
          </w:p>
        </w:tc>
        <w:tc>
          <w:tcPr>
            <w:tcW w:type="dxa" w:w="14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Ortec/Maximo-domein</w:t>
            </w:r>
          </w:p>
        </w:tc>
        <w:tc>
          <w:tcPr>
            <w:tcW w:type="dxa" w:w="27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Niet gekoppeld.</w:t>
            </w:r>
          </w:p>
        </w:tc>
        <w:tc>
          <w:tcPr>
            <w:tcW w:type="dxa" w:w="20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Te valideren.</w:t>
            </w:r>
          </w:p>
        </w:tc>
      </w:tr>
    </w:tbl>
    <w:p>
      <w:pPr>
        <w:spacing w:after="40"/>
      </w:pPr>
    </w:p>
    <w:p>
      <w:pPr>
        <w:pStyle w:val="Heading1"/>
      </w:pPr>
      <w:r>
        <w:t>7. Rationalisatieadvies</w:t>
      </w:r>
    </w:p>
    <w:tbl>
      <w:tblPr>
        <w:tblW w:type="dxa" w:w="9360"/>
        <w:jc w:val="left"/>
        <w:tblLayout w:type="fixed"/>
        <w:tblLook w:firstColumn="1" w:firstRow="1" w:lastColumn="0" w:lastRow="0" w:noHBand="0" w:noVBand="1" w:val="04A0"/>
        <w:tblInd w:type="dxa" w:w="120"/>
      </w:tblPr>
      <w:tblGrid>
        <w:gridCol w:w="1800"/>
        <w:gridCol w:w="2100"/>
        <w:gridCol w:w="2900"/>
        <w:gridCol w:w="2560"/>
      </w:tblGrid>
      <w:tr>
        <w:trPr>
          <w:tblHeader w:val="true"/>
        </w:trPr>
        <w:tc>
          <w:tcPr>
            <w:tcW w:type="dxa" w:w="18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Informatie-uitwisseling</w:t>
            </w:r>
          </w:p>
        </w:tc>
        <w:tc>
          <w:tcPr>
            <w:tcW w:type="dxa" w:w="21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Advies</w:t>
            </w:r>
          </w:p>
        </w:tc>
        <w:tc>
          <w:tcPr>
            <w:tcW w:type="dxa" w:w="29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Reden</w:t>
            </w:r>
          </w:p>
        </w:tc>
        <w:tc>
          <w:tcPr>
            <w:tcW w:type="dxa" w:w="256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6"/>
              </w:rPr>
              <w:t>Besluitvoorwaarde</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Maximo→Quintiq kern/planning</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Behouden als capability; vervangen als implementatie.</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Brede mapping en runtimeactiviteit; routekwaliteit vraagt aandacht.</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Planning- en attribuutownership.</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Quintiq→Maximo PlannedWorkOrder</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Behouden en standaardiseren.</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SQL en stabiele PROD-runtime bevestigen de functie.</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WOP/CapacityTask/fallbackregels valideren.</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Maximo→RHM</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Behouden indien RHM blijft; standaardiseren.</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Expliciet profiel en stabiele PROD-runtime.</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RHM-rol en lokale veldsemantiek.</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RHM→Smartflow</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Nader onderzoeken en herontwerpen met prioriteit.</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Actief maar 43,6% failures in ACC.</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Smartflow-functie, deletegedrag, foutoorzaak en PROD-status.</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Maximo→4PS</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Behouden/nader onderzoeken; Talend/JMS vervangen.</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Brede statische mapping, beperkte runtimebewijsvoering.</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Werkelijke transacties, terugmutaties en ownership.</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AssetCheck/VISE</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Nader onderzoeken.</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Get/send/update bestaan, payload en runtime onvolledig.</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Businesspayload en uitvoeringsauthority.</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Ortec eventroutes</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Samenvoegen tot lifecyclecontract indien nodig.</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Aparte eventcategorieën, mogelijk point-to-point versnippering.</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Eventtaxonomie en actieve consumers.</w:t>
            </w:r>
          </w:p>
        </w:tc>
      </w:tr>
      <w:tr>
        <w:trPr/>
        <w:tc>
          <w:tcPr>
            <w:tcW w:type="dxa" w:w="18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Process/log/file/JMS-hulplagen</w:t>
            </w:r>
          </w:p>
        </w:tc>
        <w:tc>
          <w:tcPr>
            <w:tcW w:type="dxa" w:w="21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Uitfaseren als objectspecifieke implementatie.</w:t>
            </w:r>
          </w:p>
        </w:tc>
        <w:tc>
          <w:tcPr>
            <w:tcW w:type="dxa" w:w="2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Geen WerkOrder-semantiek; wel platformbehoefte.</w:t>
            </w:r>
          </w:p>
        </w:tc>
        <w:tc>
          <w:tcPr>
            <w:tcW w:type="dxa" w:w="256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6"/>
              </w:rPr>
              <w:t>Platform biedt idempotentie, observability, retry en audit.</w:t>
            </w:r>
          </w:p>
        </w:tc>
      </w:tr>
    </w:tbl>
    <w:p>
      <w:pPr>
        <w:spacing w:after="40"/>
      </w:pPr>
    </w:p>
    <w:p>
      <w:pPr>
        <w:pStyle w:val="Heading1"/>
      </w:pPr>
      <w:r>
        <w:t>8. Richting voor BEDDA en 3-tier interfaces</w:t>
      </w:r>
    </w:p>
    <w:p>
      <w:pPr/>
      <w:r>
        <w:t>Zonder een aangeleverd BEDDA-detailcontract kan alleen een architectuurpatroon worden voorgesteld. De veilige richting is een scheiding tussen bronspecifieke adapters, een gemeenschappelijke WerkOrder-laag en consumerspecifieke processen.</w:t>
      </w:r>
    </w:p>
    <w:tbl>
      <w:tblPr>
        <w:tblW w:type="dxa" w:w="9360"/>
        <w:jc w:val="left"/>
        <w:tblLayout w:type="fixed"/>
        <w:tblLook w:firstColumn="1" w:firstRow="1" w:lastColumn="0" w:lastRow="0" w:noHBand="0" w:noVBand="1" w:val="04A0"/>
        <w:tblInd w:type="dxa" w:w="120"/>
      </w:tblPr>
      <w:tblGrid>
        <w:gridCol w:w="1900"/>
        <w:gridCol w:w="4920"/>
        <w:gridCol w:w="2540"/>
      </w:tblGrid>
      <w:tr>
        <w:trPr>
          <w:tblHeader w:val="true"/>
        </w:trPr>
        <w:tc>
          <w:tcPr>
            <w:tcW w:type="dxa" w:w="19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Laag</w:t>
            </w:r>
          </w:p>
        </w:tc>
        <w:tc>
          <w:tcPr>
            <w:tcW w:type="dxa" w:w="492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Verantwoordelijkheid</w:t>
            </w:r>
          </w:p>
        </w:tc>
        <w:tc>
          <w:tcPr>
            <w:tcW w:type="dxa" w:w="254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Niet meenemen</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System/API-adapters</w:t>
            </w:r>
          </w:p>
        </w:tc>
        <w:tc>
          <w:tcPr>
            <w:tcW w:type="dxa" w:w="492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Maximo-, Quintiq-, RHM-, 4PS-, Smartflow- en AssetCheck-protocollen; technische serialisatie; bronauthenticatie.</w:t>
            </w:r>
          </w:p>
        </w:tc>
        <w:tc>
          <w:tcPr>
            <w:tcW w:type="dxa" w:w="254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Businessbetekenis dupliceren per interface.</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Common information/process layer</w:t>
            </w:r>
          </w:p>
        </w:tc>
        <w:tc>
          <w:tcPr>
            <w:tcW w:type="dxa" w:w="492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VWI WerkOrder-kern, segmenten, codelijsten, ownership, lifecycle, versiebeheer, idempotency key en semantische validatie.</w:t>
            </w:r>
          </w:p>
        </w:tc>
        <w:tc>
          <w:tcPr>
            <w:tcW w:type="dxa" w:w="254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Talend-componentnamen, filesharepaden, process-tabellen.</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Consumer/process interfaces</w:t>
            </w:r>
          </w:p>
        </w:tc>
        <w:tc>
          <w:tcPr>
            <w:tcW w:type="dxa" w:w="492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Planningopdracht, planningsresultaat, lifecycle-event, uitvoeringsfeedback en gerichte query's per capability.</w:t>
            </w:r>
          </w:p>
        </w:tc>
        <w:tc>
          <w:tcPr>
            <w:tcW w:type="dxa" w:w="254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Generieke volledige snapshots als slechts één segment nodig is.</w:t>
            </w:r>
          </w:p>
        </w:tc>
      </w:tr>
      <w:tr>
        <w:trPr/>
        <w:tc>
          <w:tcPr>
            <w:tcW w:type="dxa" w:w="19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Platform cross-cutting</w:t>
            </w:r>
          </w:p>
        </w:tc>
        <w:tc>
          <w:tcPr>
            <w:tcW w:type="dxa" w:w="492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Tracing, metrics, retries, dead-lettering, audit, schema registry en contracttests.</w:t>
            </w:r>
          </w:p>
        </w:tc>
        <w:tc>
          <w:tcPr>
            <w:tcW w:type="dxa" w:w="254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Observability als velden in het WerkOrder-object.</w:t>
            </w:r>
          </w:p>
        </w:tc>
      </w:tr>
    </w:tbl>
    <w:p>
      <w:pPr>
        <w:spacing w:after="40"/>
      </w:pPr>
    </w:p>
    <w:p>
      <w:pPr>
        <w:spacing w:before="120" w:after="160" w:line="269" w:lineRule="auto"/>
        <w:ind w:left="259" w:right="259"/>
        <w:shd w:fill="E8EEF5"/>
      </w:pPr>
      <w:r>
        <w:rPr>
          <w:rFonts w:ascii="Calibri" w:hAnsi="Calibri"/>
          <w:b/>
          <w:color w:val="16324F"/>
          <w:sz w:val="21"/>
        </w:rPr>
        <w:t xml:space="preserve">Ontwerpprincipe: </w:t>
      </w:r>
      <w:r>
        <w:rPr>
          <w:rFonts w:ascii="Calibri" w:hAnsi="Calibri"/>
          <w:color w:val="000000"/>
          <w:sz w:val="21"/>
        </w:rPr>
        <w:t>Stuur niet standaard de volledige WerkOrder naar iedere consumer. Publiceer of bevraag het kleinste semantisch complete segment dat de capability nodig heeft, met een stabiele WerkOrder-identiteit en expliciete versie.</w:t>
      </w:r>
    </w:p>
    <w:p>
      <w:pPr>
        <w:pStyle w:val="Heading1"/>
      </w:pPr>
      <w:r>
        <w:t>9. Gerichte validatie voor business en architectuur</w:t>
      </w:r>
    </w:p>
    <w:p>
      <w:pPr/>
      <w:r>
        <w:t>De resterende vragen zijn beperkt tot beslissingen die niet betrouwbaar uit code en runtime kunnen worden afgeleid en die noodzakelijk zijn voor herontwerp.</w:t>
      </w:r>
    </w:p>
    <w:tbl>
      <w:tblPr>
        <w:tblW w:type="dxa" w:w="9360"/>
        <w:jc w:val="left"/>
        <w:tblLayout w:type="fixed"/>
        <w:tblLook w:firstColumn="1" w:firstRow="1" w:lastColumn="0" w:lastRow="0" w:noHBand="0" w:noVBand="1" w:val="04A0"/>
        <w:tblInd w:type="dxa" w:w="120"/>
      </w:tblPr>
      <w:tblGrid>
        <w:gridCol w:w="2850"/>
        <w:gridCol w:w="4200"/>
        <w:gridCol w:w="2310"/>
      </w:tblGrid>
      <w:tr>
        <w:trPr>
          <w:tblHeader w:val="true"/>
        </w:trPr>
        <w:tc>
          <w:tcPr>
            <w:tcW w:type="dxa" w:w="285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Besluit</w:t>
            </w:r>
          </w:p>
        </w:tc>
        <w:tc>
          <w:tcPr>
            <w:tcW w:type="dxa" w:w="420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Waarom nodig</w:t>
            </w:r>
          </w:p>
        </w:tc>
        <w:tc>
          <w:tcPr>
            <w:tcW w:type="dxa" w:w="2310"/>
            <w:shd w:fill="F2F4F7"/>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40" w:lineRule="auto"/>
            </w:pPr>
            <w:r>
              <w:rPr>
                <w:rFonts w:ascii="Calibri" w:hAnsi="Calibri"/>
                <w:b/>
                <w:color w:val="16324F"/>
                <w:sz w:val="17"/>
              </w:rPr>
              <w:t>Voorgestelde eigenaar</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Formele auteur per attribuut/segment</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Bepaalt wie mag creëren, wijzigen en corrigeren.</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Business object owner + applicatie-eigenaren</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Canonieke status- en lifecyclecodelijst</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Voorkomt lokale WOP/QQProcessed/HistoryFlag-interpretaties.</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Business + VWI-governance</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Planningsemantiek</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Plan, commitment, capaciteit, actuals en fallback zijn nu vermengd.</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Planning/operations + architectuur</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RHM→Smartflow failurepatroon</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109/250 ACC failures maken dit een migratierisico.</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Applicatiebeheer RHM/Smartflow</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4PS- en AssetCheck-payload</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Statische evidence is niet volledig genoeg voor een doelcontract.</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Applicatiebeheer + integratiearchitect</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VWI WerkOrder-contract</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Officiële namen, relaties, cardinaliteiten en codelijsten ontbreken.</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VWI-modelbeheer</w:t>
            </w:r>
          </w:p>
        </w:tc>
      </w:tr>
      <w:tr>
        <w:trPr/>
        <w:tc>
          <w:tcPr>
            <w:tcW w:type="dxa" w:w="285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Actieve consumers van Ortec-events</w:t>
            </w:r>
          </w:p>
        </w:tc>
        <w:tc>
          <w:tcPr>
            <w:tcW w:type="dxa" w:w="420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Bepaalt welke events behouden of samengevoegd worden.</w:t>
            </w:r>
          </w:p>
        </w:tc>
        <w:tc>
          <w:tcPr>
            <w:tcW w:type="dxa" w:w="2310"/>
            <w:tcBorders>
              <w:top w:val="single" w:sz="4" w:color="D8DDE5"/>
              <w:left w:val="single" w:sz="4" w:color="D8DDE5"/>
              <w:bottom w:val="single" w:sz="4" w:color="D8DDE5"/>
              <w:right w:val="single" w:sz="4" w:color="D8DDE5"/>
              <w:insideH w:val="single" w:sz="4" w:color="D8DDE5"/>
              <w:insideV w:val="single" w:sz="4" w:color="D8DDE5"/>
            </w:tcBorders>
            <w:vAlign w:val="center"/>
            <w:tcMar>
              <w:top w:w="90" w:type="dxa"/>
              <w:bottom w:w="90" w:type="dxa"/>
              <w:start w:w="120" w:type="dxa"/>
              <w:end w:w="120" w:type="dxa"/>
            </w:tcMar>
          </w:tcPr>
          <w:p>
            <w:pPr>
              <w:spacing w:after="0" w:line="250" w:lineRule="auto"/>
            </w:pPr>
            <w:r>
              <w:rPr>
                <w:rFonts w:ascii="Calibri" w:hAnsi="Calibri"/>
                <w:color w:val="000000"/>
                <w:sz w:val="17"/>
              </w:rPr>
              <w:t>Business/field operations</w:t>
            </w:r>
          </w:p>
        </w:tc>
      </w:tr>
    </w:tbl>
    <w:p>
      <w:pPr>
        <w:spacing w:after="40"/>
      </w:pPr>
    </w:p>
    <w:p>
      <w:pPr>
        <w:pStyle w:val="Heading1"/>
      </w:pPr>
      <w:r>
        <w:t>10. Eindconclusie</w:t>
      </w:r>
    </w:p>
    <w:p>
      <w:pPr/>
      <w:r>
        <w:t>De e-mail vroeg om verborgen technische kennis om te zetten in herontwerpinput. Dat is nu mogelijk op een sterker bewijsniveau dan in de eerdere POC-documenten. De mappings en SQL tonen de inhoud en regels; de cross-references tonen de ketens; de runtime bevestigt welke geselecteerde taken daadwerkelijk actief zijn en waar operationele risico's zitten.</w:t>
      </w:r>
    </w:p>
    <w:p>
      <w:pPr/>
      <w:r>
        <w:t>De kern voor het toekomstige ontwerp is niet Talend, maar een WerkOrder-informatiemodel met doelgerichte segmenten en expliciete authority. De huidige techniek bevat bruikbare businesskennis, maar ook lokale delta-administratie, formatconversie, fileshares, queues en monitoringconstructies die niet in het nieuwe objectcontract thuishoren. Maximo→RHM en Quintiq→Maximo zijn bewezen actieve en stabiele capabilities; RHM→Smartflow en Maximo→Quintiq verdienen directe validatie; 4PS, AssetCheck/VISE en Ortec vereisen gerichte payload- en ownershipbevestiging.</w:t>
      </w:r>
    </w:p>
    <w:p>
      <w:pPr>
        <w:spacing w:before="120" w:after="160" w:line="269" w:lineRule="auto"/>
        <w:ind w:left="259" w:right="259"/>
        <w:shd w:fill="FFF5D6"/>
      </w:pPr>
      <w:r>
        <w:rPr>
          <w:rFonts w:ascii="Calibri" w:hAnsi="Calibri"/>
          <w:b/>
          <w:color w:val="16324F"/>
          <w:sz w:val="21"/>
        </w:rPr>
        <w:t xml:space="preserve">Besliswaarde: </w:t>
      </w:r>
      <w:r>
        <w:rPr>
          <w:rFonts w:ascii="Calibri" w:hAnsi="Calibri"/>
          <w:color w:val="000000"/>
          <w:sz w:val="21"/>
        </w:rPr>
        <w:t>Dit dossier is geschikt als input voor een businessvalidatiesessie en een eerste WerkOrder contract-/eventontwerp. Het is nog geen formele VWI-mapping en geen definitief uitfaseringsbesluit per interface.</w:t>
      </w:r>
    </w:p>
    <w:p>
      <w:pPr>
        <w:pStyle w:val="Heading1"/>
      </w:pPr>
      <w:r>
        <w:t>Bijlage: bronverwijzingen</w:t>
      </w:r>
    </w:p>
    <w:p>
      <w:pPr>
        <w:pStyle w:val="SourceNote"/>
      </w:pPr>
      <w:r>
        <w:t>Scannerbasis: intodoc-output/werkorder/scan_result.json en scan/{manifest,landscape,lineage,connections,contexts,routines}.json.</w:t>
      </w:r>
    </w:p>
    <w:p>
      <w:pPr>
        <w:pStyle w:val="SourceNote"/>
      </w:pPr>
      <w:r>
        <w:t>Unit-evidence: Maximo2Quintiq_Workorder, Maximo2Quintiq_Workorder_Route, Quintiq2Maximo_PlannedWorkOrder, Maximo2RHM_Workorders, RHM2Smartflow_Workorders, maximoFourpsWorkOrder, AssetCheck- en Ortec-units.</w:t>
      </w:r>
    </w:p>
    <w:p>
      <w:pPr>
        <w:pStyle w:val="SourceNote"/>
      </w:pPr>
      <w:r>
        <w:t>Runtimebasis: PostgreSQL runtime_jobs, runtime_job_runs, runtime_failures, runtime_log_events en runtime_component_metrics voor project werkorder/source tmc; sync 12-08-2026.</w:t>
      </w:r>
    </w:p>
    <w:p>
      <w:pPr>
        <w:pStyle w:val="SourceNote"/>
      </w:pPr>
      <w:r>
        <w:t>Detailbijlage: WerkOrder_bewijsbijlage_SQL_mappings_runtime.docx.</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WerkOrder | integratieanalyse en herontwerpadvies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WerkOrder integratieanalyse en herontwerpadvies</dc:title>
  <dc:subject>BEDDA, 3-tier en VWI herontwerpinput</dc:subject>
  <dc:creator>Nexus / IntoData</dc:creator>
  <cp:keywords>WerkOrder, Talend, TMC, mappings, SQL, runtime, VWI, BEDDA</cp:keywords>
  <dc:description>generated by python-docx</dc:description>
  <cp:lastModifiedBy/>
  <cp:revision>1</cp:revision>
  <dcterms:created xsi:type="dcterms:W3CDTF">2013-12-23T23:15:00Z</dcterms:created>
  <dcterms:modified xsi:type="dcterms:W3CDTF">2013-12-23T23:15:00Z</dcterms:modified>
  <cp:category/>
</cp:coreProperties>
</file>