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Arial" w:hAnsi="Arial"/>
          <w:b/>
          <w:color w:val="0B2545"/>
          <w:sz w:val="46"/>
        </w:rPr>
        <w:t>WerkOrder POC — integratie-inventaris en herontwerpinput</w:t>
      </w:r>
    </w:p>
    <w:p>
      <w:pPr>
        <w:spacing w:after="320"/>
      </w:pPr>
      <w:r>
        <w:rPr>
          <w:rFonts w:ascii="Arial" w:hAnsi="Arial"/>
          <w:color w:val="5B6573"/>
          <w:sz w:val="26"/>
        </w:rPr>
        <w:t>Van Talend-code en mappings naar businessvalidatie, rationalisatie en toekomstig 3-tier ontwerp</w:t>
      </w:r>
    </w:p>
    <w:tbl>
      <w:tblPr>
        <w:tblW w:type="dxa" w:w="9360"/>
        <w:tblLayout w:type="fixed"/>
        <w:tblLook w:firstColumn="1" w:firstRow="1" w:lastColumn="0" w:lastRow="0" w:noHBand="0" w:noVBand="1" w:val="04A0"/>
        <w:tblInd w:w="120" w:type="dxa"/>
      </w:tblPr>
      <w:tblGrid>
        <w:gridCol w:w="1800"/>
        <w:gridCol w:w="7560"/>
      </w:tblGrid>
      <w:tr>
        <w:tc>
          <w:tcPr>
            <w:tcW w:type="dxa" w:w="1800"/>
            <w:vAlign w:val="center"/>
            <w:tcMar>
              <w:top w:w="80" w:type="dxa"/>
              <w:start w:w="120" w:type="dxa"/>
              <w:bottom w:w="80" w:type="dxa"/>
              <w:end w:w="120" w:type="dxa"/>
            </w:tcMar>
            <w:shd w:fill="F2F4F7"/>
          </w:tcPr>
          <w:p>
            <w:pPr>
              <w:spacing w:after="0"/>
            </w:pPr>
            <w:r>
              <w:rPr>
                <w:rFonts w:ascii="Arial" w:hAnsi="Arial"/>
                <w:b/>
                <w:color w:val="0B2545"/>
                <w:sz w:val="19"/>
              </w:rPr>
              <w:t>Doel</w:t>
            </w:r>
          </w:p>
        </w:tc>
        <w:tc>
          <w:tcPr>
            <w:tcW w:type="dxa" w:w="7560"/>
            <w:vAlign w:val="center"/>
            <w:tcMar>
              <w:top w:w="80" w:type="dxa"/>
              <w:start w:w="120" w:type="dxa"/>
              <w:bottom w:w="80" w:type="dxa"/>
              <w:end w:w="120" w:type="dxa"/>
            </w:tcMar>
          </w:tcPr>
          <w:p>
            <w:pPr>
              <w:spacing w:after="0"/>
            </w:pPr>
            <w:r>
              <w:rPr>
                <w:rFonts w:ascii="Arial" w:hAnsi="Arial"/>
                <w:color w:val="000000"/>
                <w:sz w:val="19"/>
              </w:rPr>
              <w:t>POC-herontwerpinput voor het business object WerkOrder</w:t>
            </w:r>
          </w:p>
        </w:tc>
      </w:tr>
      <w:tr>
        <w:tc>
          <w:tcPr>
            <w:tcW w:type="dxa" w:w="1800"/>
            <w:vAlign w:val="center"/>
            <w:tcMar>
              <w:top w:w="80" w:type="dxa"/>
              <w:start w:w="120" w:type="dxa"/>
              <w:bottom w:w="80" w:type="dxa"/>
              <w:end w:w="120" w:type="dxa"/>
            </w:tcMar>
            <w:shd w:fill="F2F4F7"/>
          </w:tcPr>
          <w:p>
            <w:pPr>
              <w:spacing w:after="0"/>
            </w:pPr>
            <w:r>
              <w:rPr>
                <w:rFonts w:ascii="Arial" w:hAnsi="Arial"/>
                <w:b/>
                <w:color w:val="0B2545"/>
                <w:sz w:val="19"/>
              </w:rPr>
              <w:t>Bron</w:t>
            </w:r>
          </w:p>
        </w:tc>
        <w:tc>
          <w:tcPr>
            <w:tcW w:type="dxa" w:w="7560"/>
            <w:vAlign w:val="center"/>
            <w:tcMar>
              <w:top w:w="80" w:type="dxa"/>
              <w:start w:w="120" w:type="dxa"/>
              <w:bottom w:w="80" w:type="dxa"/>
              <w:end w:w="120" w:type="dxa"/>
            </w:tcMar>
          </w:tcPr>
          <w:p>
            <w:pPr>
              <w:spacing w:after="0"/>
            </w:pPr>
            <w:r>
              <w:rPr>
                <w:rFonts w:ascii="Arial" w:hAnsi="Arial"/>
                <w:color w:val="000000"/>
                <w:sz w:val="19"/>
              </w:rPr>
              <w:t>Werkorder Talend ZIP: scanner-, mapping-, lineage- en gegenereerde analyseartefacten</w:t>
            </w:r>
          </w:p>
        </w:tc>
      </w:tr>
      <w:tr>
        <w:tc>
          <w:tcPr>
            <w:tcW w:type="dxa" w:w="1800"/>
            <w:vAlign w:val="center"/>
            <w:tcMar>
              <w:top w:w="80" w:type="dxa"/>
              <w:start w:w="120" w:type="dxa"/>
              <w:bottom w:w="80" w:type="dxa"/>
              <w:end w:w="120" w:type="dxa"/>
            </w:tcMar>
            <w:shd w:fill="F2F4F7"/>
          </w:tcPr>
          <w:p>
            <w:pPr>
              <w:spacing w:after="0"/>
            </w:pPr>
            <w:r>
              <w:rPr>
                <w:rFonts w:ascii="Arial" w:hAnsi="Arial"/>
                <w:b/>
                <w:color w:val="0B2545"/>
                <w:sz w:val="19"/>
              </w:rPr>
              <w:t>Status</w:t>
            </w:r>
          </w:p>
        </w:tc>
        <w:tc>
          <w:tcPr>
            <w:tcW w:type="dxa" w:w="7560"/>
            <w:vAlign w:val="center"/>
            <w:tcMar>
              <w:top w:w="80" w:type="dxa"/>
              <w:start w:w="120" w:type="dxa"/>
              <w:bottom w:w="80" w:type="dxa"/>
              <w:end w:w="120" w:type="dxa"/>
            </w:tcMar>
          </w:tcPr>
          <w:p>
            <w:pPr>
              <w:spacing w:after="0"/>
            </w:pPr>
            <w:r>
              <w:rPr>
                <w:rFonts w:ascii="Arial" w:hAnsi="Arial"/>
                <w:color w:val="000000"/>
                <w:sz w:val="19"/>
              </w:rPr>
              <w:t>Werkdocument — feiten en hypotheses zijn expliciet gescheiden</w:t>
            </w:r>
          </w:p>
        </w:tc>
      </w:tr>
      <w:tr>
        <w:tc>
          <w:tcPr>
            <w:tcW w:type="dxa" w:w="1800"/>
            <w:vAlign w:val="center"/>
            <w:tcMar>
              <w:top w:w="80" w:type="dxa"/>
              <w:start w:w="120" w:type="dxa"/>
              <w:bottom w:w="80" w:type="dxa"/>
              <w:end w:w="120" w:type="dxa"/>
            </w:tcMar>
            <w:shd w:fill="F2F4F7"/>
          </w:tcPr>
          <w:p>
            <w:pPr>
              <w:spacing w:after="0"/>
            </w:pPr>
            <w:r>
              <w:rPr>
                <w:rFonts w:ascii="Arial" w:hAnsi="Arial"/>
                <w:b/>
                <w:color w:val="0B2545"/>
                <w:sz w:val="19"/>
              </w:rPr>
              <w:t>Beperking</w:t>
            </w:r>
          </w:p>
        </w:tc>
        <w:tc>
          <w:tcPr>
            <w:tcW w:type="dxa" w:w="7560"/>
            <w:vAlign w:val="center"/>
            <w:tcMar>
              <w:top w:w="80" w:type="dxa"/>
              <w:start w:w="120" w:type="dxa"/>
              <w:bottom w:w="80" w:type="dxa"/>
              <w:end w:w="120" w:type="dxa"/>
            </w:tcMar>
          </w:tcPr>
          <w:p>
            <w:pPr>
              <w:spacing w:after="0"/>
            </w:pPr>
            <w:r>
              <w:rPr>
                <w:rFonts w:ascii="Arial" w:hAnsi="Arial"/>
                <w:color w:val="000000"/>
                <w:sz w:val="19"/>
              </w:rPr>
              <w:t>Geen productie-runtime, live database of VW Informatie Model-contract in de bronset</w:t>
            </w:r>
          </w:p>
        </w:tc>
      </w:tr>
    </w:tbl>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Arial" w:hAnsi="Arial"/>
                <w:b/>
                <w:color w:val="0B2545"/>
                <w:sz w:val="21"/>
              </w:rPr>
              <w:t xml:space="preserve">Kernboodschap: </w:t>
            </w:r>
            <w:r>
              <w:rPr>
                <w:rFonts w:ascii="Arial" w:hAnsi="Arial"/>
                <w:color w:val="0B2545"/>
                <w:sz w:val="21"/>
              </w:rPr>
              <w:t>De Werkorder ZIP bevat voldoende technische evidence om gerichte WerkOrder-ketens zichtbaar te maken. Zij bevat nog niet genoeg semantische of runtime-evidence om systeemautorisatie, volledige payloadbetekenis of definitieve rationalisatiebesluiten zelfstandig vast te stellen.</w:t>
            </w:r>
          </w:p>
        </w:tc>
      </w:tr>
    </w:tbl>
    <w:p>
      <w:pPr>
        <w:spacing w:after="40"/>
      </w:pPr>
    </w:p>
    <w:p>
      <w:pPr>
        <w:pStyle w:val="Heading1"/>
      </w:pPr>
      <w:r>
        <w:t>1. De kern van deze POC</w:t>
      </w:r>
    </w:p>
    <w:p>
      <w:r>
        <w:rPr>
          <w:rFonts w:ascii="Arial" w:hAnsi="Arial"/>
          <w:i w:val="0"/>
          <w:color w:val="000000"/>
          <w:sz w:val="22"/>
        </w:rPr>
        <w:t>Deze POC is geen beheer- of opschoondocumentatie van Talend. De ZIP wordt gebruikt als technische evidencebron voor een toekomstig WerkOrder-ontwerp: welke informatie beweegt er tussen systemen, welke regels zijn daarin verborgen, en welke onderdelen moeten in een common layer worden gestandaardiseerd voordat Talend kan verdwijnen.</w:t>
      </w:r>
    </w:p>
    <w:p>
      <w:r>
        <w:rPr>
          <w:rFonts w:ascii="Arial" w:hAnsi="Arial"/>
          <w:i w:val="0"/>
          <w:color w:val="000000"/>
          <w:sz w:val="22"/>
        </w:rPr>
        <w:t>De technische sporen laten zien dat WerkOrder niet één uniforme uitwisseling is. In verschillende ketens verschijnt het als een brede kernrepresentatie, als planning, als status-/locatiemutatie, als terugmelding, en als lifecycle-event. Maximo, 4PS, RHM, Quintiq, AssetCheck, VISE, Ortec en de ESB-infrastructuur spelen daarin aantoonbaar een rol. De code bewijst echter niet automatisch welk systeem formeel eigenaar is van een attribuut, of welke route in productie nog wordt gebruikt.</w:t>
      </w:r>
    </w:p>
    <w:p>
      <w:r>
        <w:rPr>
          <w:rFonts w:ascii="Arial" w:hAnsi="Arial"/>
          <w:i w:val="0"/>
          <w:color w:val="000000"/>
          <w:sz w:val="22"/>
        </w:rPr>
        <w:t>De belangrijkste conclusie is daarom tweeledig. De bestaande point-to-point Talend-implementaties moeten niet één-op-één worden gekopieerd. De onderliggende WerkOrder-capabilities, de aantoonbare velden en de gevalideerde businessregels zijn juist de kandidaten voor een toekomstig VWI- en 3-tier-contract.</w:t>
      </w:r>
    </w:p>
    <w:p>
      <w:pPr>
        <w:pStyle w:val="Heading1"/>
      </w:pPr>
      <w:r>
        <w:t>2. Werkwijze en bewijsladder</w:t>
      </w:r>
    </w:p>
    <w:p>
      <w:r>
        <w:rPr>
          <w:rFonts w:ascii="Arial" w:hAnsi="Arial"/>
          <w:i w:val="0"/>
          <w:color w:val="000000"/>
          <w:sz w:val="22"/>
        </w:rPr>
        <w:t>De scanner heeft 429 Talend-artefacten uit 14 bronroots geïnventariseerd: 209 jobs, 186 routes, 26 joblets en 8 routelets. De bronset bevat 72 jobs met tMap-data, 972 tMap-entries, 93 tXMLMap-componenten, 10 TDM-maps, 44 connectiondefinities en 163 contextgroepen. Er is geen productie-runtime, live database of formeel VW Informatie Model-contract meegeleverd.</w:t>
      </w:r>
    </w:p>
    <w:tbl>
      <w:tblPr>
        <w:tblStyle w:val="TableGrid"/>
        <w:tblW w:type="dxa" w:w="9360"/>
        <w:tblLayout w:type="fixed"/>
        <w:tblLook w:firstColumn="1" w:firstRow="1" w:lastColumn="0" w:lastRow="0" w:noHBand="0" w:noVBand="1" w:val="04A0"/>
        <w:tblInd w:w="120" w:type="dxa"/>
      </w:tblPr>
      <w:tblGrid>
        <w:gridCol w:w="1500"/>
        <w:gridCol w:w="4000"/>
        <w:gridCol w:w="3860"/>
      </w:tblGrid>
      <w:tr>
        <w:trPr>
          <w:tblHeader w:val="true"/>
        </w:trPr>
        <w:tc>
          <w:tcPr>
            <w:tcW w:type="dxa" w:w="1500"/>
            <w:vAlign w:val="center"/>
            <w:tcMar>
              <w:top w:w="80" w:type="dxa"/>
              <w:start w:w="120" w:type="dxa"/>
              <w:bottom w:w="80" w:type="dxa"/>
              <w:end w:w="120" w:type="dxa"/>
            </w:tcMar>
            <w:shd w:fill="F2F4F7"/>
          </w:tcPr>
          <w:p>
            <w:pPr>
              <w:spacing w:after="0"/>
            </w:pPr>
            <w:r>
              <w:rPr>
                <w:rFonts w:ascii="Arial" w:hAnsi="Arial"/>
                <w:b/>
                <w:color w:val="0B2545"/>
                <w:sz w:val="17"/>
              </w:rPr>
              <w:t>Label</w:t>
            </w:r>
          </w:p>
        </w:tc>
        <w:tc>
          <w:tcPr>
            <w:tcW w:type="dxa" w:w="4000"/>
            <w:vAlign w:val="center"/>
            <w:tcMar>
              <w:top w:w="80" w:type="dxa"/>
              <w:start w:w="120" w:type="dxa"/>
              <w:bottom w:w="80" w:type="dxa"/>
              <w:end w:w="120" w:type="dxa"/>
            </w:tcMar>
            <w:shd w:fill="F2F4F7"/>
          </w:tcPr>
          <w:p>
            <w:pPr>
              <w:spacing w:after="0"/>
            </w:pPr>
            <w:r>
              <w:rPr>
                <w:rFonts w:ascii="Arial" w:hAnsi="Arial"/>
                <w:b/>
                <w:color w:val="0B2545"/>
                <w:sz w:val="17"/>
              </w:rPr>
              <w:t>Betekenis</w:t>
            </w:r>
          </w:p>
        </w:tc>
        <w:tc>
          <w:tcPr>
            <w:tcW w:type="dxa" w:w="3860"/>
            <w:vAlign w:val="center"/>
            <w:tcMar>
              <w:top w:w="80" w:type="dxa"/>
              <w:start w:w="120" w:type="dxa"/>
              <w:bottom w:w="80" w:type="dxa"/>
              <w:end w:w="120" w:type="dxa"/>
            </w:tcMar>
            <w:shd w:fill="F2F4F7"/>
          </w:tcPr>
          <w:p>
            <w:pPr>
              <w:spacing w:after="0"/>
            </w:pPr>
            <w:r>
              <w:rPr>
                <w:rFonts w:ascii="Arial" w:hAnsi="Arial"/>
                <w:b/>
                <w:color w:val="0B2545"/>
                <w:sz w:val="17"/>
              </w:rPr>
              <w:t>Voorbeeld in dit dossier</w:t>
            </w:r>
          </w:p>
        </w:tc>
      </w:tr>
      <w:tr>
        <w:trPr>
          <w:cantSplit/>
        </w:trPr>
        <w:tc>
          <w:tcPr>
            <w:tcW w:type="dxa" w:w="1500"/>
          </w:tcPr>
          <w:p>
            <w:pPr>
              <w:spacing w:after="0"/>
            </w:pPr>
            <w:r>
              <w:rPr>
                <w:rFonts w:ascii="Arial" w:hAnsi="Arial"/>
                <w:color w:val="000000"/>
                <w:sz w:val="17"/>
              </w:rPr>
              <w:t>FEIT</w:t>
            </w:r>
          </w:p>
        </w:tc>
        <w:tc>
          <w:tcPr>
            <w:tcW w:type="dxa" w:w="4000"/>
          </w:tcPr>
          <w:p>
            <w:pPr>
              <w:spacing w:after="0"/>
            </w:pPr>
            <w:r>
              <w:rPr>
                <w:rFonts w:ascii="Arial" w:hAnsi="Arial"/>
                <w:color w:val="000000"/>
                <w:sz w:val="17"/>
              </w:rPr>
              <w:t>Direct herleidbaar tot een scanrecord, mappingexpressie, componentinventaris of call edge.</w:t>
            </w:r>
          </w:p>
        </w:tc>
        <w:tc>
          <w:tcPr>
            <w:tcW w:type="dxa" w:w="3860"/>
          </w:tcPr>
          <w:p>
            <w:pPr>
              <w:spacing w:after="0"/>
            </w:pPr>
            <w:r>
              <w:rPr>
                <w:rFonts w:ascii="Arial" w:hAnsi="Arial"/>
                <w:color w:val="000000"/>
                <w:sz w:val="17"/>
              </w:rPr>
              <w:t>Maximo2RHM_Workorders mapt row11.wonum naar WorkorderNr.</w:t>
            </w:r>
          </w:p>
        </w:tc>
      </w:tr>
      <w:tr>
        <w:trPr>
          <w:cantSplit/>
        </w:trPr>
        <w:tc>
          <w:tcPr>
            <w:tcW w:type="dxa" w:w="1500"/>
          </w:tcPr>
          <w:p>
            <w:pPr>
              <w:spacing w:after="0"/>
            </w:pPr>
            <w:r>
              <w:rPr>
                <w:rFonts w:ascii="Arial" w:hAnsi="Arial"/>
                <w:color w:val="000000"/>
                <w:sz w:val="17"/>
              </w:rPr>
              <w:t>INFERENTIE</w:t>
            </w:r>
          </w:p>
        </w:tc>
        <w:tc>
          <w:tcPr>
            <w:tcW w:type="dxa" w:w="4000"/>
          </w:tcPr>
          <w:p>
            <w:pPr>
              <w:spacing w:after="0"/>
            </w:pPr>
            <w:r>
              <w:rPr>
                <w:rFonts w:ascii="Arial" w:hAnsi="Arial"/>
                <w:color w:val="000000"/>
                <w:sz w:val="17"/>
              </w:rPr>
              <w:t>Sterke technische aanwijzing, maar zonder expliciet functioneel contract of runtimebevestiging.</w:t>
            </w:r>
          </w:p>
        </w:tc>
        <w:tc>
          <w:tcPr>
            <w:tcW w:type="dxa" w:w="3860"/>
          </w:tcPr>
          <w:p>
            <w:pPr>
              <w:spacing w:after="0"/>
            </w:pPr>
            <w:r>
              <w:rPr>
                <w:rFonts w:ascii="Arial" w:hAnsi="Arial"/>
                <w:color w:val="000000"/>
                <w:sz w:val="17"/>
              </w:rPr>
              <w:t>Maximo→4PS lijkt een WerkOrder-synchronisatie via de queue etttm.maximoFourpsWorkOrder.</w:t>
            </w:r>
          </w:p>
        </w:tc>
      </w:tr>
      <w:tr>
        <w:trPr>
          <w:cantSplit/>
        </w:trPr>
        <w:tc>
          <w:tcPr>
            <w:tcW w:type="dxa" w:w="1500"/>
          </w:tcPr>
          <w:p>
            <w:pPr>
              <w:spacing w:after="0"/>
            </w:pPr>
            <w:r>
              <w:rPr>
                <w:rFonts w:ascii="Arial" w:hAnsi="Arial"/>
                <w:color w:val="000000"/>
                <w:sz w:val="17"/>
              </w:rPr>
              <w:t>HYPOTHESE</w:t>
            </w:r>
          </w:p>
        </w:tc>
        <w:tc>
          <w:tcPr>
            <w:tcW w:type="dxa" w:w="4000"/>
          </w:tcPr>
          <w:p>
            <w:pPr>
              <w:spacing w:after="0"/>
            </w:pPr>
            <w:r>
              <w:rPr>
                <w:rFonts w:ascii="Arial" w:hAnsi="Arial"/>
                <w:color w:val="000000"/>
                <w:sz w:val="17"/>
              </w:rPr>
              <w:t>Plausibele ontwerp- of businessduiding die door de domeineigenaar moet worden gevalideerd.</w:t>
            </w:r>
          </w:p>
        </w:tc>
        <w:tc>
          <w:tcPr>
            <w:tcW w:type="dxa" w:w="3860"/>
          </w:tcPr>
          <w:p>
            <w:pPr>
              <w:spacing w:after="0"/>
            </w:pPr>
            <w:r>
              <w:rPr>
                <w:rFonts w:ascii="Arial" w:hAnsi="Arial"/>
                <w:color w:val="000000"/>
                <w:sz w:val="17"/>
              </w:rPr>
              <w:t>Een statusregel is historisch in plaats van toekomstig beleid.</w:t>
            </w:r>
          </w:p>
        </w:tc>
      </w:tr>
      <w:tr>
        <w:trPr>
          <w:cantSplit/>
        </w:trPr>
        <w:tc>
          <w:tcPr>
            <w:tcW w:type="dxa" w:w="1500"/>
          </w:tcPr>
          <w:p>
            <w:pPr>
              <w:spacing w:after="0"/>
            </w:pPr>
            <w:r>
              <w:rPr>
                <w:rFonts w:ascii="Arial" w:hAnsi="Arial"/>
                <w:color w:val="000000"/>
                <w:sz w:val="17"/>
              </w:rPr>
              <w:t>ONBEKEND</w:t>
            </w:r>
          </w:p>
        </w:tc>
        <w:tc>
          <w:tcPr>
            <w:tcW w:type="dxa" w:w="4000"/>
          </w:tcPr>
          <w:p>
            <w:pPr>
              <w:spacing w:after="0"/>
            </w:pPr>
            <w:r>
              <w:rPr>
                <w:rFonts w:ascii="Arial" w:hAnsi="Arial"/>
                <w:color w:val="000000"/>
                <w:sz w:val="17"/>
              </w:rPr>
              <w:t>Niet veilig afleidbaar uit de bronset.</w:t>
            </w:r>
          </w:p>
        </w:tc>
        <w:tc>
          <w:tcPr>
            <w:tcW w:type="dxa" w:w="3860"/>
          </w:tcPr>
          <w:p>
            <w:pPr>
              <w:spacing w:after="0"/>
            </w:pPr>
            <w:r>
              <w:rPr>
                <w:rFonts w:ascii="Arial" w:hAnsi="Arial"/>
                <w:color w:val="000000"/>
                <w:sz w:val="17"/>
              </w:rPr>
              <w:t>Welk systeem auteur/authority is voor de definitieve WerkOrder-status.</w:t>
            </w:r>
          </w:p>
        </w:tc>
      </w:tr>
    </w:tbl>
    <w:p>
      <w:pPr>
        <w:spacing w:after="40"/>
      </w:pP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Arial" w:hAnsi="Arial"/>
                <w:b/>
                <w:color w:val="7A5A00"/>
                <w:sz w:val="21"/>
              </w:rPr>
              <w:t xml:space="preserve">Niet concluderen: </w:t>
            </w:r>
            <w:r>
              <w:rPr>
                <w:rFonts w:ascii="Arial" w:hAnsi="Arial"/>
                <w:color w:val="7A5A00"/>
                <w:sz w:val="21"/>
              </w:rPr>
              <w:t>Technische namen of databasecomponenten bewijzen geen systeemautorisatie, actuele runtimevolumes, SLA, datakwaliteit of volledige payload. Die punten staan daarom als gerichte validatievragen, niet als feiten.</w:t>
            </w:r>
          </w:p>
        </w:tc>
      </w:tr>
    </w:tbl>
    <w:p>
      <w:pPr>
        <w:spacing w:after="40"/>
      </w:pPr>
    </w:p>
    <w:p>
      <w:pPr>
        <w:pStyle w:val="Heading1"/>
      </w:pPr>
      <w:r>
        <w:t>3. WerkOrder-ketens uit de ZIP</w:t>
      </w:r>
    </w:p>
    <w:p>
      <w:r>
        <w:rPr>
          <w:rFonts w:ascii="Arial" w:hAnsi="Arial"/>
          <w:i w:val="0"/>
          <w:color w:val="000000"/>
          <w:sz w:val="22"/>
        </w:rPr>
        <w:t>De volgende ketens zijn geselecteerd omdat zij expliciet WerkOrder/Werkorders in artefactnamen bevatten of aantoonbare WerkOrder-velden mappen. Ze vormen de eerste POC-scope; ze zijn geen volledige landschapscatalogus.</w:t>
      </w:r>
    </w:p>
    <w:p>
      <w:pPr>
        <w:pStyle w:val="Heading2"/>
      </w:pPr>
      <w:r>
        <w:t>3.1 Maximo → 4PS: WerkOrder-synchronisatie via ETTM/VRI</w:t>
      </w:r>
    </w:p>
    <w:p>
      <w:r>
        <w:rPr>
          <w:rFonts w:ascii="Arial" w:hAnsi="Arial"/>
          <w:i w:val="0"/>
          <w:color w:val="000000"/>
          <w:sz w:val="22"/>
        </w:rPr>
        <w:t>Technisch vastgesteld: de route maximoFourpsWorkOrder gebruikt JMS, cTalendJob, cMessageFilter, cMulticast, cOnException en cWireTap; de job workorder bevat tXSLT, XML/JSON-conversie, tMap, 4PS-reader/writer/patcher-componenten. Een JMS-queue etttm.maximoFourpsWorkOrder heeft maximoRestService als publisher en maximoFourpsWorkOrder_VRI als consumer in de gegenereerde dependency map.</w:t>
      </w:r>
    </w:p>
    <w:p>
      <w:r>
        <w:rPr>
          <w:rFonts w:ascii="Arial" w:hAnsi="Arial"/>
          <w:i w:val="0"/>
          <w:color w:val="000000"/>
          <w:sz w:val="22"/>
        </w:rPr>
        <w:t>WerkOrder-informatie: minimaal status is expliciet zichtbaar (json.status ← globalMap status). De technische opbouw wijst op een bredere objectuitwisseling met transformatie tussen Maximo-formaat en 4PS-formaat; de volledige veldset is in deze bronpassage nog niet exhaustief vastgesteld.</w:t>
      </w:r>
    </w:p>
    <w:p>
      <w:pPr>
        <w:spacing w:before="80" w:after="100"/>
      </w:pPr>
      <w:r>
        <w:rPr>
          <w:rFonts w:ascii="Arial" w:hAnsi="Arial"/>
          <w:b/>
          <w:color w:val="5B6573"/>
          <w:sz w:val="17"/>
        </w:rPr>
        <w:t xml:space="preserve">Bron/evidence: </w:t>
      </w:r>
      <w:r>
        <w:rPr>
          <w:rFonts w:ascii="Arial" w:hAnsi="Arial"/>
          <w:i/>
          <w:color w:val="5B6573"/>
          <w:sz w:val="17"/>
        </w:rPr>
        <w:t>Feitenbasis: maximoFourps/workorder_0.12.item; maximoFourpsWorkOrder_11.3.item; VRI route; JMS dependency map. In een gegenereerde analyse staat een statusvoorbeeld VOORBEREID → In Process; dat voorbeeld is secundaire evidence en moet tegen de bronmapping worden herbevestigd.</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Arial" w:hAnsi="Arial"/>
                <w:b/>
                <w:color w:val="0B2545"/>
                <w:sz w:val="21"/>
              </w:rPr>
              <w:t xml:space="preserve">Duiding: </w:t>
            </w:r>
            <w:r>
              <w:rPr>
                <w:rFonts w:ascii="Arial" w:hAnsi="Arial"/>
                <w:color w:val="0B2545"/>
                <w:sz w:val="21"/>
              </w:rPr>
              <w:t>Classificatie: FEIT voor technische route, transport en statusveld; INFERENTIE voor bron→doelrichting en volledige objectsemantiek; HYPOTHESE voor businessbetekenis van statusconversies. Rationalisatiehypothese: BEHOUDEN als businesscapability, maar VERVANGEN als Talend/VRI point-to-point implementatie. Ontwerp een versieerbaar WerkOrder-event of API-contract op de common layer, met expliciete eigenaarschap- en statusregels.</w:t>
            </w:r>
          </w:p>
        </w:tc>
      </w:tr>
    </w:tbl>
    <w:p>
      <w:pPr>
        <w:spacing w:after="40"/>
      </w:pPr>
    </w:p>
    <w:p>
      <w:r>
        <w:rPr>
          <w:rFonts w:ascii="Arial" w:hAnsi="Arial"/>
          <w:i w:val="0"/>
          <w:color w:val="000000"/>
          <w:sz w:val="22"/>
        </w:rPr>
        <w:t>Voor het vervolg moet nog worden gevalideerd: Open validatie: Is Maximo de auteur van de betreffende statussen? Welke 4PS-mutaties komen terug? Is de queue een event, command of snapshot? Welke statusovergangen zijn nog functioneel nodig?</w:t>
      </w:r>
    </w:p>
    <w:p>
      <w:pPr>
        <w:pStyle w:val="Heading2"/>
      </w:pPr>
      <w:r>
        <w:t>3.2 Maximo → RHM: Werkorders met identificatie, status en planning</w:t>
      </w:r>
    </w:p>
    <w:p>
      <w:r>
        <w:rPr>
          <w:rFonts w:ascii="Arial" w:hAnsi="Arial"/>
          <w:i w:val="0"/>
          <w:color w:val="000000"/>
          <w:sz w:val="22"/>
        </w:rPr>
        <w:t>Technisch vastgesteld: Maximo2RHM_Workorders bevat MSSQL input/output, MSSQL stored procedure, REST-client, tXMLMap en tMap. De tMap schrijft onder meer WorkorderNr, OrgId, SiteId, Description, Status, StatusDate, Parent, ProjectNr, MonitoringCode en DATUM naar WriteToRhm.</w:t>
      </w:r>
    </w:p>
    <w:p>
      <w:r>
        <w:rPr>
          <w:rFonts w:ascii="Arial" w:hAnsi="Arial"/>
          <w:i w:val="0"/>
          <w:color w:val="000000"/>
          <w:sz w:val="22"/>
        </w:rPr>
        <w:t>WerkOrder-informatie: identificatie (wonum), organisatie, site, omschrijving, status en wijzigdatum; hiërarchie (parent); project/grootboekreferentie; monitoringcode. Dit is een aantoonbare deel- of kernrepresentatie van WerkOrder, niet automatisch het volledige object.</w:t>
      </w:r>
    </w:p>
    <w:p>
      <w:pPr>
        <w:spacing w:before="80" w:after="100"/>
      </w:pPr>
      <w:r>
        <w:rPr>
          <w:rFonts w:ascii="Arial" w:hAnsi="Arial"/>
          <w:b/>
          <w:color w:val="5B6573"/>
          <w:sz w:val="17"/>
        </w:rPr>
        <w:t xml:space="preserve">Bron/evidence: </w:t>
      </w:r>
      <w:r>
        <w:rPr>
          <w:rFonts w:ascii="Arial" w:hAnsi="Arial"/>
          <w:i/>
          <w:color w:val="5B6573"/>
          <w:sz w:val="17"/>
        </w:rPr>
        <w:t>Feitenbasis: Maximo2RHM/Maximo2RHM_Workorders_0.4.item; mappings row11.wonum, orgid, siteid, description, status, changedate, historyflag, parent, glaccount en bc.</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Arial" w:hAnsi="Arial"/>
                <w:b/>
                <w:color w:val="0B2545"/>
                <w:sz w:val="21"/>
              </w:rPr>
              <w:t xml:space="preserve">Duiding: </w:t>
            </w:r>
            <w:r>
              <w:rPr>
                <w:rFonts w:ascii="Arial" w:hAnsi="Arial"/>
                <w:color w:val="0B2545"/>
                <w:sz w:val="21"/>
              </w:rPr>
              <w:t>Classificatie: FEIT voor de zichtbaar gemapte velden en technische transformaties; ONBEKEND of RHM de velden alleen consumeert, verrijkt of terugschrijft. Rationalisatiehypothese: BEHOUDEN/ STANDAARDISEREN indien RHM-planning of realisatie een toekomstig capability blijft. De datum- en statussemantiek horen in een VWI-conform contract, niet in Talend-expressies of databaseprocedures.</w:t>
            </w:r>
          </w:p>
        </w:tc>
      </w:tr>
    </w:tbl>
    <w:p>
      <w:pPr>
        <w:spacing w:after="40"/>
      </w:pPr>
    </w:p>
    <w:p>
      <w:r>
        <w:rPr>
          <w:rFonts w:ascii="Arial" w:hAnsi="Arial"/>
          <w:i w:val="0"/>
          <w:color w:val="000000"/>
          <w:sz w:val="22"/>
        </w:rPr>
        <w:t>Voor het vervolg moet nog worden gevalideerd: Open validatie: Welke betekenis heeft HistoryFlag? Is ProjectNr werkelijk project, grootboek of kostenobject? Welke statusdatum geldt bij conflict? Is RHM consument, planner of mede-auteur?</w:t>
      </w:r>
    </w:p>
    <w:p>
      <w:pPr>
        <w:pStyle w:val="Heading2"/>
      </w:pPr>
      <w:r>
        <w:t>3.3 Maximo ↔ Quintiq: planning en terugmelding van WerkOrder</w:t>
      </w:r>
    </w:p>
    <w:p>
      <w:r>
        <w:rPr>
          <w:rFonts w:ascii="Arial" w:hAnsi="Arial"/>
          <w:i w:val="0"/>
          <w:color w:val="000000"/>
          <w:sz w:val="22"/>
        </w:rPr>
        <w:t>Technisch vastgesteld: Maximo2Quintiq_Workorder en gerelateerde MainJob/SubJob/Route_Job gebruiken XML-invoer, tMap, tXMLMap, MSSQL input/output en bestandsstappen. De mapping bevat WorkOrderNr, ProjectNr, MonitoringCode, start/einddatum, omschrijving, duur/cyclus, status, locatie, type werk, site, contractgebied en medewerkerrollen. Quintiq2Maximo_PlannedWorkOrder is een afzonderlijke job met XML-output en MSSQL-componenten.</w:t>
      </w:r>
    </w:p>
    <w:p>
      <w:r>
        <w:rPr>
          <w:rFonts w:ascii="Arial" w:hAnsi="Arial"/>
          <w:i w:val="0"/>
          <w:color w:val="000000"/>
          <w:sz w:val="22"/>
        </w:rPr>
        <w:t>WerkOrder-informatie: planning (DateStart, DateEnd, Cycle), status, locatie, werksoort, contractgebied, project, hoofd- en supervisor-medewerker, en een identifier. De terugstroom heet expliciet PlannedWorkOrder; haar volledige payload is niet in de zichtbare tMap-passage aangetoond.</w:t>
      </w:r>
    </w:p>
    <w:p>
      <w:pPr>
        <w:spacing w:before="80" w:after="100"/>
      </w:pPr>
      <w:r>
        <w:rPr>
          <w:rFonts w:ascii="Arial" w:hAnsi="Arial"/>
          <w:b/>
          <w:color w:val="5B6573"/>
          <w:sz w:val="17"/>
        </w:rPr>
        <w:t xml:space="preserve">Bron/evidence: </w:t>
      </w:r>
      <w:r>
        <w:rPr>
          <w:rFonts w:ascii="Arial" w:hAnsi="Arial"/>
          <w:i/>
          <w:color w:val="5B6573"/>
          <w:sz w:val="17"/>
        </w:rPr>
        <w:t>Feitenbasis: Maximo2Quintiq/Maximo2Quintiq_Workorder_0.1.item tMap; Quintiq2Maximo/Quintiq2Maximo_PlannedWorkOrder_0.9.item componentinventaris; call edges MainJob→SubJob en route-relaties.</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Arial" w:hAnsi="Arial"/>
                <w:b/>
                <w:color w:val="0B2545"/>
                <w:sz w:val="21"/>
              </w:rPr>
              <w:t xml:space="preserve">Duiding: </w:t>
            </w:r>
            <w:r>
              <w:rPr>
                <w:rFonts w:ascii="Arial" w:hAnsi="Arial"/>
                <w:color w:val="0B2545"/>
                <w:sz w:val="21"/>
              </w:rPr>
              <w:t>Classificatie: FEIT voor uitgaande field mapping en voor het bestaan van een geplande-werkorder terugstroom; INFERENTIE dat Quintiq planning verrijkt; ONBEKEND wie planning formeel autoriseert. Rationalisatiehypothese: BEHOUDEN als planningcapability, maar HERONTWERPEN als expliciete command/event-uitwisseling. Maak onderscheid tussen WerkOrder-core, planning assignment, planning window en terugmelding; vermijd een generiek point-to-point XML-contract.</w:t>
            </w:r>
          </w:p>
        </w:tc>
      </w:tr>
    </w:tbl>
    <w:p>
      <w:pPr>
        <w:spacing w:after="40"/>
      </w:pPr>
    </w:p>
    <w:p>
      <w:r>
        <w:rPr>
          <w:rFonts w:ascii="Arial" w:hAnsi="Arial"/>
          <w:i w:val="0"/>
          <w:color w:val="000000"/>
          <w:sz w:val="22"/>
        </w:rPr>
        <w:t>Voor het vervolg moet nog worden gevalideerd: Open validatie: Welke velden zijn door Quintiq leidend? Is Cycle een duur in dagen, ploegencyclus of planningseenheid? Wat zijn de terugmeldbare statussen en welke partij besluit ze?</w:t>
      </w:r>
    </w:p>
    <w:p>
      <w:pPr>
        <w:pStyle w:val="Heading2"/>
      </w:pPr>
      <w:r>
        <w:t>3.4 Maximo ↔ AssetCheck / VISE: WerkOrder ophalen, versturen en bijwerken</w:t>
      </w:r>
    </w:p>
    <w:p>
      <w:r>
        <w:rPr>
          <w:rFonts w:ascii="Arial" w:hAnsi="Arial"/>
          <w:i w:val="0"/>
          <w:color w:val="000000"/>
          <w:sz w:val="22"/>
        </w:rPr>
        <w:t>Technisch vastgesteld: AssetCheck_Main_Job roept AssetCheck_GetWorkOrder, AssetCheck_GetWorkOrders en AssetCheck_SendWorkOrderUpdate aan. Maximo2AssetCheck_MainJob roept Maximo2AssetCheck_SendWorkOrder aan. De betrokken jobs bevatten MSSQL input/output, tMap, bestandsstappen; SendWorkOrderUpdate bevat daarnaast een HTTP-request.</w:t>
      </w:r>
    </w:p>
    <w:p>
      <w:r>
        <w:rPr>
          <w:rFonts w:ascii="Arial" w:hAnsi="Arial"/>
          <w:i w:val="0"/>
          <w:color w:val="000000"/>
          <w:sz w:val="22"/>
        </w:rPr>
        <w:t>WerkOrder-informatie: de namen bewijzen individuele en meervoudige WerkOrder-ophaalstromen plus een update-stroom. Uit de componenten blijkt een combinatie van database, file en HTTP-transport. De specifieke businessvelden zijn in de bekeken tMaps niet zichtbaar, omdat die tMaps voornamelijk logging/afhandeling beschrijven.</w:t>
      </w:r>
    </w:p>
    <w:p>
      <w:pPr>
        <w:spacing w:before="80" w:after="100"/>
      </w:pPr>
      <w:r>
        <w:rPr>
          <w:rFonts w:ascii="Arial" w:hAnsi="Arial"/>
          <w:b/>
          <w:color w:val="5B6573"/>
          <w:sz w:val="17"/>
        </w:rPr>
        <w:t xml:space="preserve">Bron/evidence: </w:t>
      </w:r>
      <w:r>
        <w:rPr>
          <w:rFonts w:ascii="Arial" w:hAnsi="Arial"/>
          <w:i/>
          <w:color w:val="5B6573"/>
          <w:sz w:val="17"/>
        </w:rPr>
        <w:t>Feitenbasis: AssetCheck_Interface/AssetCheck_GetWorkOrder_3.1.item; AssetCheck_GetWorkOrders_3.1.item; AssetCheck_SendWorkOrderUpdate_3.2.item; Maximo2AssetCheck/Maximo2AssetCheck_SendWorkOrder_1.4.item; call graph.</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Arial" w:hAnsi="Arial"/>
                <w:b/>
                <w:color w:val="0B2545"/>
                <w:sz w:val="21"/>
              </w:rPr>
              <w:t xml:space="preserve">Duiding: </w:t>
            </w:r>
            <w:r>
              <w:rPr>
                <w:rFonts w:ascii="Arial" w:hAnsi="Arial"/>
                <w:color w:val="0B2545"/>
                <w:sz w:val="21"/>
              </w:rPr>
              <w:t>Classificatie: FEIT voor jobketen en technische middelen; INFERENTIE voor inhoud en richting van de businessmutatie; ONBEKEND of AssetCheck een consument, uitvoeringssysteem of mede-auteur is. Rationalisatiehypothese: NADER ONDERZOEKEN. Deze keten is een sterke kandidaat voor vervanging door object-API/eventing, maar eerst moeten de WerkOrder-updatevelden, business ownership en eventuele VISE-relatie worden vastgesteld.</w:t>
            </w:r>
          </w:p>
        </w:tc>
      </w:tr>
    </w:tbl>
    <w:p>
      <w:pPr>
        <w:spacing w:after="40"/>
      </w:pPr>
    </w:p>
    <w:p>
      <w:r>
        <w:rPr>
          <w:rFonts w:ascii="Arial" w:hAnsi="Arial"/>
          <w:i w:val="0"/>
          <w:color w:val="000000"/>
          <w:sz w:val="22"/>
        </w:rPr>
        <w:t>Voor het vervolg moet nog worden gevalideerd: Open validatie: Welke AssetCheck-acties muteren WerkOrder? Wordt een update door AssetCheck, Maximo of een gebruiker geautoriseerd? Zijn bestanden een transportfallback of onderdeel van het functionele contract?</w:t>
      </w:r>
    </w:p>
    <w:p>
      <w:pPr>
        <w:pStyle w:val="Heading2"/>
      </w:pPr>
      <w:r>
        <w:t>3.5 Ortec / field operations: geplande, gewijzigde en geannuleerde WerkOrder-events</w:t>
      </w:r>
    </w:p>
    <w:p>
      <w:r>
        <w:rPr>
          <w:rFonts w:ascii="Arial" w:hAnsi="Arial"/>
          <w:i w:val="0"/>
          <w:color w:val="000000"/>
          <w:sz w:val="22"/>
        </w:rPr>
        <w:t>Technisch vastgesteld: routes bestaan voor geplande directe werkorder, geplande indirecte werkorder, gewijzigde werkorder en geannuleerde werkorder. Zij gebruiken JMS, messaging endpoints, processors, exception handling, file/config en wiretaps. OrtecWerkorderInFilter bestaat als afzonderlijke route.</w:t>
      </w:r>
    </w:p>
    <w:p>
      <w:r>
        <w:rPr>
          <w:rFonts w:ascii="Arial" w:hAnsi="Arial"/>
          <w:i w:val="0"/>
          <w:color w:val="000000"/>
          <w:sz w:val="22"/>
        </w:rPr>
        <w:t>WerkOrder-informatie: de artefactnamen duiden ten minste op levenscyclus-/eventsegmenten: gepland, gewijzigd en geannuleerd. De payloadvelden en de formele consumer zijn niet aangetoond in de beschikbare componentinventaris.</w:t>
      </w:r>
    </w:p>
    <w:p>
      <w:pPr>
        <w:spacing w:before="80" w:after="100"/>
      </w:pPr>
      <w:r>
        <w:rPr>
          <w:rFonts w:ascii="Arial" w:hAnsi="Arial"/>
          <w:b/>
          <w:color w:val="5B6573"/>
          <w:sz w:val="17"/>
        </w:rPr>
        <w:t xml:space="preserve">Bron/evidence: </w:t>
      </w:r>
      <w:r>
        <w:rPr>
          <w:rFonts w:ascii="Arial" w:hAnsi="Arial"/>
          <w:i/>
          <w:color w:val="5B6573"/>
          <w:sz w:val="17"/>
        </w:rPr>
        <w:t>Feitenbasis: ortec_maximo/*werkorder*.item route-inventaris; OrtecWerkorderInFilter_0.6.item.</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Arial" w:hAnsi="Arial"/>
                <w:b/>
                <w:color w:val="0B2545"/>
                <w:sz w:val="21"/>
              </w:rPr>
              <w:t xml:space="preserve">Duiding: </w:t>
            </w:r>
            <w:r>
              <w:rPr>
                <w:rFonts w:ascii="Arial" w:hAnsi="Arial"/>
                <w:color w:val="0B2545"/>
                <w:sz w:val="21"/>
              </w:rPr>
              <w:t>Classificatie: FEIT voor de aanwezige eventcategorieën; HYPOTHESE dat zij het field-operation domein bedienen; ONBEKEND of direct/indirect een plannings- of uitvoeringsclassificatie is. Rationalisatiehypothese: SAMENVOEGEN in één versieerbaar WerkOrder-lifecyclecontract met duidelijke eventtypes in plaats van afzonderlijke Talend-routes per mutatievorm.</w:t>
            </w:r>
          </w:p>
        </w:tc>
      </w:tr>
    </w:tbl>
    <w:p>
      <w:pPr>
        <w:spacing w:after="40"/>
      </w:pPr>
    </w:p>
    <w:p>
      <w:r>
        <w:rPr>
          <w:rFonts w:ascii="Arial" w:hAnsi="Arial"/>
          <w:i w:val="0"/>
          <w:color w:val="000000"/>
          <w:sz w:val="22"/>
        </w:rPr>
        <w:t>Voor het vervolg moet nog worden gevalideerd: Open validatie: Wat is de definitie van direct versus indirect? Is annulering een aparte state, command of delete? Welke consument heeft welke gebeurtenis nodig?</w:t>
      </w:r>
    </w:p>
    <w:p>
      <w:pPr>
        <w:pStyle w:val="Heading2"/>
      </w:pPr>
      <w:r>
        <w:t>3.6 EnterpriseServiceBus en monitoring: infrastructuur, geen zelfstandig WerkOrder-contract</w:t>
      </w:r>
    </w:p>
    <w:p>
      <w:r>
        <w:rPr>
          <w:rFonts w:ascii="Arial" w:hAnsi="Arial"/>
          <w:i w:val="0"/>
          <w:color w:val="000000"/>
          <w:sz w:val="22"/>
        </w:rPr>
        <w:t>Technisch vastgesteld: ETTM heeft een cross-project JMS edge naar EnterpriseServiceBus. context.ESB_MessageCollectorTopic wordt gebruikt voor centrale monitoring. De ETTM-workorderqueue en ESB-monitoringtopic zijn technisch onderscheiden.</w:t>
      </w:r>
    </w:p>
    <w:p>
      <w:r>
        <w:rPr>
          <w:rFonts w:ascii="Arial" w:hAnsi="Arial"/>
          <w:i w:val="0"/>
          <w:color w:val="000000"/>
          <w:sz w:val="22"/>
        </w:rPr>
        <w:t>WerkOrder-informatie: geen zelfstandige WerkOrder-payload vastgesteld voor de monitoringsstroom. Het betreft vooral transport/observability rondom de businessuitwisseling.</w:t>
      </w:r>
    </w:p>
    <w:p>
      <w:pPr>
        <w:spacing w:before="80" w:after="100"/>
      </w:pPr>
      <w:r>
        <w:rPr>
          <w:rFonts w:ascii="Arial" w:hAnsi="Arial"/>
          <w:b/>
          <w:color w:val="5B6573"/>
          <w:sz w:val="17"/>
        </w:rPr>
        <w:t xml:space="preserve">Bron/evidence: </w:t>
      </w:r>
      <w:r>
        <w:rPr>
          <w:rFonts w:ascii="Arial" w:hAnsi="Arial"/>
          <w:i/>
          <w:color w:val="5B6573"/>
          <w:sz w:val="17"/>
        </w:rPr>
        <w:t>Feitenbasis: cross_project_refs.md; JMS dependency map; ETTM architecture evidence.</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Arial" w:hAnsi="Arial"/>
                <w:b/>
                <w:color w:val="0B2545"/>
                <w:sz w:val="21"/>
              </w:rPr>
              <w:t xml:space="preserve">Duiding: </w:t>
            </w:r>
            <w:r>
              <w:rPr>
                <w:rFonts w:ascii="Arial" w:hAnsi="Arial"/>
                <w:color w:val="0B2545"/>
                <w:sz w:val="21"/>
              </w:rPr>
              <w:t>Classificatie: FEIT voor technische afhankelijkheid; ONBEKEND of de ESB ook businesspayload transformeert in deze keten. Rationalisatiehypothese: VERVANGEN als Talend-/ESB-specifieke transport- en monitoringimplementatie, maar behoud observability als platformcapability. Niet modelleren als deel van het VWI WerkOrder-object.</w:t>
            </w:r>
          </w:p>
        </w:tc>
      </w:tr>
    </w:tbl>
    <w:p>
      <w:pPr>
        <w:spacing w:after="40"/>
      </w:pPr>
    </w:p>
    <w:p>
      <w:r>
        <w:rPr>
          <w:rFonts w:ascii="Arial" w:hAnsi="Arial"/>
          <w:i w:val="0"/>
          <w:color w:val="000000"/>
          <w:sz w:val="22"/>
        </w:rPr>
        <w:t>Voor het vervolg moet nog worden gevalideerd: Open validatie: Draagt de ESB uitsluitend telemetry, of routeert hij ook WerkOrder-businessberichten? Welke audit- en traceability-eisen moeten in de nieuwe integratieplatformlaag terugkomen?</w:t>
      </w:r>
    </w:p>
    <w:p>
      <w:pPr>
        <w:pStyle w:val="Heading1"/>
      </w:pPr>
      <w:r>
        <w:t>4. Kandidaten voor VWI WerkOrder-mapping</w:t>
      </w:r>
    </w:p>
    <w:p>
      <w:r>
        <w:rPr>
          <w:rFonts w:ascii="Arial" w:hAnsi="Arial"/>
          <w:i w:val="0"/>
          <w:color w:val="000000"/>
          <w:sz w:val="22"/>
        </w:rPr>
        <w:t>Er is geen VW Informatie Model-contract meegeleverd. Daarom gebruikt deze tabel geen officiële VWI-propertynamen, maar semantische kandidaten. VW moet de officiële objecten, attributen, cardinaliteiten, codelijsten en eigenaarschap aanleveren voordat dit een formele mapping kan worden.</w:t>
      </w:r>
    </w:p>
    <w:tbl>
      <w:tblPr>
        <w:tblStyle w:val="TableGrid"/>
        <w:tblW w:type="dxa" w:w="9360"/>
        <w:tblLayout w:type="fixed"/>
        <w:tblLook w:firstColumn="1" w:firstRow="1" w:lastColumn="0" w:lastRow="0" w:noHBand="0" w:noVBand="1" w:val="04A0"/>
        <w:tblInd w:w="120" w:type="dxa"/>
      </w:tblPr>
      <w:tblGrid>
        <w:gridCol w:w="2400"/>
        <w:gridCol w:w="2600"/>
        <w:gridCol w:w="1500"/>
        <w:gridCol w:w="2860"/>
      </w:tblGrid>
      <w:tr>
        <w:trPr>
          <w:tblHeader w:val="true"/>
        </w:trPr>
        <w:tc>
          <w:tcPr>
            <w:tcW w:type="dxa" w:w="2400"/>
            <w:vAlign w:val="center"/>
            <w:tcMar>
              <w:top w:w="80" w:type="dxa"/>
              <w:start w:w="120" w:type="dxa"/>
              <w:bottom w:w="80" w:type="dxa"/>
              <w:end w:w="120" w:type="dxa"/>
            </w:tcMar>
            <w:shd w:fill="F2F4F7"/>
          </w:tcPr>
          <w:p>
            <w:pPr>
              <w:spacing w:after="0"/>
            </w:pPr>
            <w:r>
              <w:rPr>
                <w:rFonts w:ascii="Arial" w:hAnsi="Arial"/>
                <w:b/>
                <w:color w:val="0B2545"/>
                <w:sz w:val="16"/>
              </w:rPr>
              <w:t>Bronveld / evidence</w:t>
            </w:r>
          </w:p>
        </w:tc>
        <w:tc>
          <w:tcPr>
            <w:tcW w:type="dxa" w:w="2600"/>
            <w:vAlign w:val="center"/>
            <w:tcMar>
              <w:top w:w="80" w:type="dxa"/>
              <w:start w:w="120" w:type="dxa"/>
              <w:bottom w:w="80" w:type="dxa"/>
              <w:end w:w="120" w:type="dxa"/>
            </w:tcMar>
            <w:shd w:fill="F2F4F7"/>
          </w:tcPr>
          <w:p>
            <w:pPr>
              <w:spacing w:after="0"/>
            </w:pPr>
            <w:r>
              <w:rPr>
                <w:rFonts w:ascii="Arial" w:hAnsi="Arial"/>
                <w:b/>
                <w:color w:val="0B2545"/>
                <w:sz w:val="16"/>
              </w:rPr>
              <w:t>Semantische kandidaat</w:t>
            </w:r>
          </w:p>
        </w:tc>
        <w:tc>
          <w:tcPr>
            <w:tcW w:type="dxa" w:w="1500"/>
            <w:vAlign w:val="center"/>
            <w:tcMar>
              <w:top w:w="80" w:type="dxa"/>
              <w:start w:w="120" w:type="dxa"/>
              <w:bottom w:w="80" w:type="dxa"/>
              <w:end w:w="120" w:type="dxa"/>
            </w:tcMar>
            <w:shd w:fill="F2F4F7"/>
          </w:tcPr>
          <w:p>
            <w:pPr>
              <w:spacing w:after="0"/>
            </w:pPr>
            <w:r>
              <w:rPr>
                <w:rFonts w:ascii="Arial" w:hAnsi="Arial"/>
                <w:b/>
                <w:color w:val="0B2545"/>
                <w:sz w:val="16"/>
              </w:rPr>
              <w:t>Classificatie</w:t>
            </w:r>
          </w:p>
        </w:tc>
        <w:tc>
          <w:tcPr>
            <w:tcW w:type="dxa" w:w="2860"/>
            <w:vAlign w:val="center"/>
            <w:tcMar>
              <w:top w:w="80" w:type="dxa"/>
              <w:start w:w="120" w:type="dxa"/>
              <w:bottom w:w="80" w:type="dxa"/>
              <w:end w:w="120" w:type="dxa"/>
            </w:tcMar>
            <w:shd w:fill="F2F4F7"/>
          </w:tcPr>
          <w:p>
            <w:pPr>
              <w:spacing w:after="0"/>
            </w:pPr>
            <w:r>
              <w:rPr>
                <w:rFonts w:ascii="Arial" w:hAnsi="Arial"/>
                <w:b/>
                <w:color w:val="0B2545"/>
                <w:sz w:val="16"/>
              </w:rPr>
              <w:t>Open semantische vraag</w:t>
            </w:r>
          </w:p>
        </w:tc>
      </w:tr>
      <w:tr>
        <w:trPr>
          <w:cantSplit/>
        </w:trPr>
        <w:tc>
          <w:tcPr>
            <w:tcW w:type="dxa" w:w="2400"/>
          </w:tcPr>
          <w:p>
            <w:pPr>
              <w:spacing w:after="0"/>
            </w:pPr>
            <w:r>
              <w:rPr>
                <w:rFonts w:ascii="Arial" w:hAnsi="Arial"/>
                <w:color w:val="000000"/>
                <w:sz w:val="16"/>
              </w:rPr>
              <w:t>WONUM → WorkOrderNr</w:t>
            </w:r>
          </w:p>
        </w:tc>
        <w:tc>
          <w:tcPr>
            <w:tcW w:type="dxa" w:w="2600"/>
          </w:tcPr>
          <w:p>
            <w:pPr>
              <w:spacing w:after="0"/>
            </w:pPr>
            <w:r>
              <w:rPr>
                <w:rFonts w:ascii="Arial" w:hAnsi="Arial"/>
                <w:color w:val="000000"/>
                <w:sz w:val="16"/>
              </w:rPr>
              <w:t>WerkOrder.identificatie</w:t>
            </w:r>
          </w:p>
        </w:tc>
        <w:tc>
          <w:tcPr>
            <w:tcW w:type="dxa" w:w="1500"/>
          </w:tcPr>
          <w:p>
            <w:pPr>
              <w:spacing w:after="0"/>
            </w:pPr>
            <w:r>
              <w:rPr>
                <w:rFonts w:ascii="Arial" w:hAnsi="Arial"/>
                <w:color w:val="000000"/>
                <w:sz w:val="16"/>
              </w:rPr>
              <w:t>FEIT</w:t>
            </w:r>
          </w:p>
        </w:tc>
        <w:tc>
          <w:tcPr>
            <w:tcW w:type="dxa" w:w="2860"/>
          </w:tcPr>
          <w:p>
            <w:pPr>
              <w:spacing w:after="0"/>
            </w:pPr>
            <w:r>
              <w:rPr>
                <w:rFonts w:ascii="Arial" w:hAnsi="Arial"/>
                <w:color w:val="000000"/>
                <w:sz w:val="16"/>
              </w:rPr>
              <w:t>Is WONUM globaal uniek of alleen binnen org/site?</w:t>
            </w:r>
          </w:p>
        </w:tc>
      </w:tr>
      <w:tr>
        <w:trPr>
          <w:cantSplit/>
        </w:trPr>
        <w:tc>
          <w:tcPr>
            <w:tcW w:type="dxa" w:w="2400"/>
          </w:tcPr>
          <w:p>
            <w:pPr>
              <w:spacing w:after="0"/>
            </w:pPr>
            <w:r>
              <w:rPr>
                <w:rFonts w:ascii="Arial" w:hAnsi="Arial"/>
                <w:color w:val="000000"/>
                <w:sz w:val="16"/>
              </w:rPr>
              <w:t>ORGID, SITEID</w:t>
            </w:r>
          </w:p>
        </w:tc>
        <w:tc>
          <w:tcPr>
            <w:tcW w:type="dxa" w:w="2600"/>
          </w:tcPr>
          <w:p>
            <w:pPr>
              <w:spacing w:after="0"/>
            </w:pPr>
            <w:r>
              <w:rPr>
                <w:rFonts w:ascii="Arial" w:hAnsi="Arial"/>
                <w:color w:val="000000"/>
                <w:sz w:val="16"/>
              </w:rPr>
              <w:t>WerkOrder.organisatie / locatiecontext</w:t>
            </w:r>
          </w:p>
        </w:tc>
        <w:tc>
          <w:tcPr>
            <w:tcW w:type="dxa" w:w="1500"/>
          </w:tcPr>
          <w:p>
            <w:pPr>
              <w:spacing w:after="0"/>
            </w:pPr>
            <w:r>
              <w:rPr>
                <w:rFonts w:ascii="Arial" w:hAnsi="Arial"/>
                <w:color w:val="000000"/>
                <w:sz w:val="16"/>
              </w:rPr>
              <w:t>FEIT</w:t>
            </w:r>
          </w:p>
        </w:tc>
        <w:tc>
          <w:tcPr>
            <w:tcW w:type="dxa" w:w="2860"/>
          </w:tcPr>
          <w:p>
            <w:pPr>
              <w:spacing w:after="0"/>
            </w:pPr>
            <w:r>
              <w:rPr>
                <w:rFonts w:ascii="Arial" w:hAnsi="Arial"/>
                <w:color w:val="000000"/>
                <w:sz w:val="16"/>
              </w:rPr>
              <w:t>Zijn dit eigenaar, uitvoeringslocatie, administratieve site of alle drie?</w:t>
            </w:r>
          </w:p>
        </w:tc>
      </w:tr>
      <w:tr>
        <w:trPr>
          <w:cantSplit/>
        </w:trPr>
        <w:tc>
          <w:tcPr>
            <w:tcW w:type="dxa" w:w="2400"/>
          </w:tcPr>
          <w:p>
            <w:pPr>
              <w:spacing w:after="0"/>
            </w:pPr>
            <w:r>
              <w:rPr>
                <w:rFonts w:ascii="Arial" w:hAnsi="Arial"/>
                <w:color w:val="000000"/>
                <w:sz w:val="16"/>
              </w:rPr>
              <w:t>DESCRIPTION</w:t>
            </w:r>
          </w:p>
        </w:tc>
        <w:tc>
          <w:tcPr>
            <w:tcW w:type="dxa" w:w="2600"/>
          </w:tcPr>
          <w:p>
            <w:pPr>
              <w:spacing w:after="0"/>
            </w:pPr>
            <w:r>
              <w:rPr>
                <w:rFonts w:ascii="Arial" w:hAnsi="Arial"/>
                <w:color w:val="000000"/>
                <w:sz w:val="16"/>
              </w:rPr>
              <w:t>WerkOrder.omschrijving</w:t>
            </w:r>
          </w:p>
        </w:tc>
        <w:tc>
          <w:tcPr>
            <w:tcW w:type="dxa" w:w="1500"/>
          </w:tcPr>
          <w:p>
            <w:pPr>
              <w:spacing w:after="0"/>
            </w:pPr>
            <w:r>
              <w:rPr>
                <w:rFonts w:ascii="Arial" w:hAnsi="Arial"/>
                <w:color w:val="000000"/>
                <w:sz w:val="16"/>
              </w:rPr>
              <w:t>FEIT</w:t>
            </w:r>
          </w:p>
        </w:tc>
        <w:tc>
          <w:tcPr>
            <w:tcW w:type="dxa" w:w="2860"/>
          </w:tcPr>
          <w:p>
            <w:pPr>
              <w:spacing w:after="0"/>
            </w:pPr>
            <w:r>
              <w:rPr>
                <w:rFonts w:ascii="Arial" w:hAnsi="Arial"/>
                <w:color w:val="000000"/>
                <w:sz w:val="16"/>
              </w:rPr>
              <w:t>Vrije omschrijving of functionele opdracht?</w:t>
            </w:r>
          </w:p>
        </w:tc>
      </w:tr>
      <w:tr>
        <w:trPr>
          <w:cantSplit/>
        </w:trPr>
        <w:tc>
          <w:tcPr>
            <w:tcW w:type="dxa" w:w="2400"/>
          </w:tcPr>
          <w:p>
            <w:pPr>
              <w:spacing w:after="0"/>
            </w:pPr>
            <w:r>
              <w:rPr>
                <w:rFonts w:ascii="Arial" w:hAnsi="Arial"/>
                <w:color w:val="000000"/>
                <w:sz w:val="16"/>
              </w:rPr>
              <w:t>STATUS, changedate / StatusDate</w:t>
            </w:r>
          </w:p>
        </w:tc>
        <w:tc>
          <w:tcPr>
            <w:tcW w:type="dxa" w:w="2600"/>
          </w:tcPr>
          <w:p>
            <w:pPr>
              <w:spacing w:after="0"/>
            </w:pPr>
            <w:r>
              <w:rPr>
                <w:rFonts w:ascii="Arial" w:hAnsi="Arial"/>
                <w:color w:val="000000"/>
                <w:sz w:val="16"/>
              </w:rPr>
              <w:t>WerkOrder.status en statusmoment</w:t>
            </w:r>
          </w:p>
        </w:tc>
        <w:tc>
          <w:tcPr>
            <w:tcW w:type="dxa" w:w="1500"/>
          </w:tcPr>
          <w:p>
            <w:pPr>
              <w:spacing w:after="0"/>
            </w:pPr>
            <w:r>
              <w:rPr>
                <w:rFonts w:ascii="Arial" w:hAnsi="Arial"/>
                <w:color w:val="000000"/>
                <w:sz w:val="16"/>
              </w:rPr>
              <w:t>FEIT</w:t>
            </w:r>
          </w:p>
        </w:tc>
        <w:tc>
          <w:tcPr>
            <w:tcW w:type="dxa" w:w="2860"/>
          </w:tcPr>
          <w:p>
            <w:pPr>
              <w:spacing w:after="0"/>
            </w:pPr>
            <w:r>
              <w:rPr>
                <w:rFonts w:ascii="Arial" w:hAnsi="Arial"/>
                <w:color w:val="000000"/>
                <w:sz w:val="16"/>
              </w:rPr>
              <w:t>Welke canonieke statuslevenscyclus en tijdzone gelden?</w:t>
            </w:r>
          </w:p>
        </w:tc>
      </w:tr>
      <w:tr>
        <w:trPr>
          <w:cantSplit/>
        </w:trPr>
        <w:tc>
          <w:tcPr>
            <w:tcW w:type="dxa" w:w="2400"/>
          </w:tcPr>
          <w:p>
            <w:pPr>
              <w:spacing w:after="0"/>
            </w:pPr>
            <w:r>
              <w:rPr>
                <w:rFonts w:ascii="Arial" w:hAnsi="Arial"/>
                <w:color w:val="000000"/>
                <w:sz w:val="16"/>
              </w:rPr>
              <w:t>TARGSTARTDATE, TARGCOMPDATE</w:t>
            </w:r>
          </w:p>
        </w:tc>
        <w:tc>
          <w:tcPr>
            <w:tcW w:type="dxa" w:w="2600"/>
          </w:tcPr>
          <w:p>
            <w:pPr>
              <w:spacing w:after="0"/>
            </w:pPr>
            <w:r>
              <w:rPr>
                <w:rFonts w:ascii="Arial" w:hAnsi="Arial"/>
                <w:color w:val="000000"/>
                <w:sz w:val="16"/>
              </w:rPr>
              <w:t>WerkOrder.planningvenster</w:t>
            </w:r>
          </w:p>
        </w:tc>
        <w:tc>
          <w:tcPr>
            <w:tcW w:type="dxa" w:w="1500"/>
          </w:tcPr>
          <w:p>
            <w:pPr>
              <w:spacing w:after="0"/>
            </w:pPr>
            <w:r>
              <w:rPr>
                <w:rFonts w:ascii="Arial" w:hAnsi="Arial"/>
                <w:color w:val="000000"/>
                <w:sz w:val="16"/>
              </w:rPr>
              <w:t>FEIT</w:t>
            </w:r>
          </w:p>
        </w:tc>
        <w:tc>
          <w:tcPr>
            <w:tcW w:type="dxa" w:w="2860"/>
          </w:tcPr>
          <w:p>
            <w:pPr>
              <w:spacing w:after="0"/>
            </w:pPr>
            <w:r>
              <w:rPr>
                <w:rFonts w:ascii="Arial" w:hAnsi="Arial"/>
                <w:color w:val="000000"/>
                <w:sz w:val="16"/>
              </w:rPr>
              <w:t>Plan, afspraak, forecast of verplicht uitvoeringsvenster?</w:t>
            </w:r>
          </w:p>
        </w:tc>
      </w:tr>
      <w:tr>
        <w:trPr>
          <w:cantSplit/>
        </w:trPr>
        <w:tc>
          <w:tcPr>
            <w:tcW w:type="dxa" w:w="2400"/>
          </w:tcPr>
          <w:p>
            <w:pPr>
              <w:spacing w:after="0"/>
            </w:pPr>
            <w:r>
              <w:rPr>
                <w:rFonts w:ascii="Arial" w:hAnsi="Arial"/>
                <w:color w:val="000000"/>
                <w:sz w:val="16"/>
              </w:rPr>
              <w:t>PARENT</w:t>
            </w:r>
          </w:p>
        </w:tc>
        <w:tc>
          <w:tcPr>
            <w:tcW w:type="dxa" w:w="2600"/>
          </w:tcPr>
          <w:p>
            <w:pPr>
              <w:spacing w:after="0"/>
            </w:pPr>
            <w:r>
              <w:rPr>
                <w:rFonts w:ascii="Arial" w:hAnsi="Arial"/>
                <w:color w:val="000000"/>
                <w:sz w:val="16"/>
              </w:rPr>
              <w:t>WerkOrder.hiërarchische relatie</w:t>
            </w:r>
          </w:p>
        </w:tc>
        <w:tc>
          <w:tcPr>
            <w:tcW w:type="dxa" w:w="1500"/>
          </w:tcPr>
          <w:p>
            <w:pPr>
              <w:spacing w:after="0"/>
            </w:pPr>
            <w:r>
              <w:rPr>
                <w:rFonts w:ascii="Arial" w:hAnsi="Arial"/>
                <w:color w:val="000000"/>
                <w:sz w:val="16"/>
              </w:rPr>
              <w:t>FEIT</w:t>
            </w:r>
          </w:p>
        </w:tc>
        <w:tc>
          <w:tcPr>
            <w:tcW w:type="dxa" w:w="2860"/>
          </w:tcPr>
          <w:p>
            <w:pPr>
              <w:spacing w:after="0"/>
            </w:pPr>
            <w:r>
              <w:rPr>
                <w:rFonts w:ascii="Arial" w:hAnsi="Arial"/>
                <w:color w:val="000000"/>
                <w:sz w:val="16"/>
              </w:rPr>
              <w:t>Parent WerkOrder, hoofdwerkorder of ander object?</w:t>
            </w:r>
          </w:p>
        </w:tc>
      </w:tr>
      <w:tr>
        <w:trPr>
          <w:cantSplit/>
        </w:trPr>
        <w:tc>
          <w:tcPr>
            <w:tcW w:type="dxa" w:w="2400"/>
          </w:tcPr>
          <w:p>
            <w:pPr>
              <w:spacing w:after="0"/>
            </w:pPr>
            <w:r>
              <w:rPr>
                <w:rFonts w:ascii="Arial" w:hAnsi="Arial"/>
                <w:color w:val="000000"/>
                <w:sz w:val="16"/>
              </w:rPr>
              <w:t>GLACCOUNT / ProjectNr</w:t>
            </w:r>
          </w:p>
        </w:tc>
        <w:tc>
          <w:tcPr>
            <w:tcW w:type="dxa" w:w="2600"/>
          </w:tcPr>
          <w:p>
            <w:pPr>
              <w:spacing w:after="0"/>
            </w:pPr>
            <w:r>
              <w:rPr>
                <w:rFonts w:ascii="Arial" w:hAnsi="Arial"/>
                <w:color w:val="000000"/>
                <w:sz w:val="16"/>
              </w:rPr>
              <w:t>WerkOrder.project-/financiële relatie</w:t>
            </w:r>
          </w:p>
        </w:tc>
        <w:tc>
          <w:tcPr>
            <w:tcW w:type="dxa" w:w="1500"/>
          </w:tcPr>
          <w:p>
            <w:pPr>
              <w:spacing w:after="0"/>
            </w:pPr>
            <w:r>
              <w:rPr>
                <w:rFonts w:ascii="Arial" w:hAnsi="Arial"/>
                <w:color w:val="000000"/>
                <w:sz w:val="16"/>
              </w:rPr>
              <w:t>INFERENTIE</w:t>
            </w:r>
          </w:p>
        </w:tc>
        <w:tc>
          <w:tcPr>
            <w:tcW w:type="dxa" w:w="2860"/>
          </w:tcPr>
          <w:p>
            <w:pPr>
              <w:spacing w:after="0"/>
            </w:pPr>
            <w:r>
              <w:rPr>
                <w:rFonts w:ascii="Arial" w:hAnsi="Arial"/>
                <w:color w:val="000000"/>
                <w:sz w:val="16"/>
              </w:rPr>
              <w:t>Is dit project, kostenplaats, grootboek of contract?</w:t>
            </w:r>
          </w:p>
        </w:tc>
      </w:tr>
      <w:tr>
        <w:trPr>
          <w:cantSplit/>
        </w:trPr>
        <w:tc>
          <w:tcPr>
            <w:tcW w:type="dxa" w:w="2400"/>
          </w:tcPr>
          <w:p>
            <w:pPr>
              <w:spacing w:after="0"/>
            </w:pPr>
            <w:r>
              <w:rPr>
                <w:rFonts w:ascii="Arial" w:hAnsi="Arial"/>
                <w:color w:val="000000"/>
                <w:sz w:val="16"/>
              </w:rPr>
              <w:t>LOCATION, WOLO5, SITEID</w:t>
            </w:r>
          </w:p>
        </w:tc>
        <w:tc>
          <w:tcPr>
            <w:tcW w:type="dxa" w:w="2600"/>
          </w:tcPr>
          <w:p>
            <w:pPr>
              <w:spacing w:after="0"/>
            </w:pPr>
            <w:r>
              <w:rPr>
                <w:rFonts w:ascii="Arial" w:hAnsi="Arial"/>
                <w:color w:val="000000"/>
                <w:sz w:val="16"/>
              </w:rPr>
              <w:t>WerkOrder.locatie / geografische context</w:t>
            </w:r>
          </w:p>
        </w:tc>
        <w:tc>
          <w:tcPr>
            <w:tcW w:type="dxa" w:w="1500"/>
          </w:tcPr>
          <w:p>
            <w:pPr>
              <w:spacing w:after="0"/>
            </w:pPr>
            <w:r>
              <w:rPr>
                <w:rFonts w:ascii="Arial" w:hAnsi="Arial"/>
                <w:color w:val="000000"/>
                <w:sz w:val="16"/>
              </w:rPr>
              <w:t>FEIT voor bronvelden</w:t>
            </w:r>
          </w:p>
        </w:tc>
        <w:tc>
          <w:tcPr>
            <w:tcW w:type="dxa" w:w="2860"/>
          </w:tcPr>
          <w:p>
            <w:pPr>
              <w:spacing w:after="0"/>
            </w:pPr>
            <w:r>
              <w:rPr>
                <w:rFonts w:ascii="Arial" w:hAnsi="Arial"/>
                <w:color w:val="000000"/>
                <w:sz w:val="16"/>
              </w:rPr>
              <w:t>Welke waarde is de primaire businesslocatie?</w:t>
            </w:r>
          </w:p>
        </w:tc>
      </w:tr>
      <w:tr>
        <w:trPr>
          <w:cantSplit/>
        </w:trPr>
        <w:tc>
          <w:tcPr>
            <w:tcW w:type="dxa" w:w="2400"/>
          </w:tcPr>
          <w:p>
            <w:pPr>
              <w:spacing w:after="0"/>
            </w:pPr>
            <w:r>
              <w:rPr>
                <w:rFonts w:ascii="Arial" w:hAnsi="Arial"/>
                <w:color w:val="000000"/>
                <w:sz w:val="16"/>
              </w:rPr>
              <w:t>WORKTYPE, WO3</w:t>
            </w:r>
          </w:p>
        </w:tc>
        <w:tc>
          <w:tcPr>
            <w:tcW w:type="dxa" w:w="2600"/>
          </w:tcPr>
          <w:p>
            <w:pPr>
              <w:spacing w:after="0"/>
            </w:pPr>
            <w:r>
              <w:rPr>
                <w:rFonts w:ascii="Arial" w:hAnsi="Arial"/>
                <w:color w:val="000000"/>
                <w:sz w:val="16"/>
              </w:rPr>
              <w:t>WerkOrder.type / technisch kenmerk</w:t>
            </w:r>
          </w:p>
        </w:tc>
        <w:tc>
          <w:tcPr>
            <w:tcW w:type="dxa" w:w="1500"/>
          </w:tcPr>
          <w:p>
            <w:pPr>
              <w:spacing w:after="0"/>
            </w:pPr>
            <w:r>
              <w:rPr>
                <w:rFonts w:ascii="Arial" w:hAnsi="Arial"/>
                <w:color w:val="000000"/>
                <w:sz w:val="16"/>
              </w:rPr>
              <w:t>FEIT voor bronvelden</w:t>
            </w:r>
          </w:p>
        </w:tc>
        <w:tc>
          <w:tcPr>
            <w:tcW w:type="dxa" w:w="2860"/>
          </w:tcPr>
          <w:p>
            <w:pPr>
              <w:spacing w:after="0"/>
            </w:pPr>
            <w:r>
              <w:rPr>
                <w:rFonts w:ascii="Arial" w:hAnsi="Arial"/>
                <w:color w:val="000000"/>
                <w:sz w:val="16"/>
              </w:rPr>
              <w:t>Welke codelijst en domeinbetekenis horen hierbij?</w:t>
            </w:r>
          </w:p>
        </w:tc>
      </w:tr>
      <w:tr>
        <w:trPr>
          <w:cantSplit/>
        </w:trPr>
        <w:tc>
          <w:tcPr>
            <w:tcW w:type="dxa" w:w="2400"/>
          </w:tcPr>
          <w:p>
            <w:pPr>
              <w:spacing w:after="0"/>
            </w:pPr>
            <w:r>
              <w:rPr>
                <w:rFonts w:ascii="Arial" w:hAnsi="Arial"/>
                <w:color w:val="000000"/>
                <w:sz w:val="16"/>
              </w:rPr>
              <w:t>LEAD, SUPERVISOR</w:t>
            </w:r>
          </w:p>
        </w:tc>
        <w:tc>
          <w:tcPr>
            <w:tcW w:type="dxa" w:w="2600"/>
          </w:tcPr>
          <w:p>
            <w:pPr>
              <w:spacing w:after="0"/>
            </w:pPr>
            <w:r>
              <w:rPr>
                <w:rFonts w:ascii="Arial" w:hAnsi="Arial"/>
                <w:color w:val="000000"/>
                <w:sz w:val="16"/>
              </w:rPr>
              <w:t>WerkOrder.bemensing / verantwoordelijke</w:t>
            </w:r>
          </w:p>
        </w:tc>
        <w:tc>
          <w:tcPr>
            <w:tcW w:type="dxa" w:w="1500"/>
          </w:tcPr>
          <w:p>
            <w:pPr>
              <w:spacing w:after="0"/>
            </w:pPr>
            <w:r>
              <w:rPr>
                <w:rFonts w:ascii="Arial" w:hAnsi="Arial"/>
                <w:color w:val="000000"/>
                <w:sz w:val="16"/>
              </w:rPr>
              <w:t>FEIT voor bronvelden</w:t>
            </w:r>
          </w:p>
        </w:tc>
        <w:tc>
          <w:tcPr>
            <w:tcW w:type="dxa" w:w="2860"/>
          </w:tcPr>
          <w:p>
            <w:pPr>
              <w:spacing w:after="0"/>
            </w:pPr>
            <w:r>
              <w:rPr>
                <w:rFonts w:ascii="Arial" w:hAnsi="Arial"/>
                <w:color w:val="000000"/>
                <w:sz w:val="16"/>
              </w:rPr>
              <w:t>Persoon, medewerker, rol of leverancier?</w:t>
            </w:r>
          </w:p>
        </w:tc>
      </w:tr>
      <w:tr>
        <w:trPr>
          <w:cantSplit/>
        </w:trPr>
        <w:tc>
          <w:tcPr>
            <w:tcW w:type="dxa" w:w="2400"/>
          </w:tcPr>
          <w:p>
            <w:pPr>
              <w:spacing w:after="0"/>
            </w:pPr>
            <w:r>
              <w:rPr>
                <w:rFonts w:ascii="Arial" w:hAnsi="Arial"/>
                <w:color w:val="000000"/>
                <w:sz w:val="16"/>
              </w:rPr>
              <w:t>WOPM1, WOPM5, WO14</w:t>
            </w:r>
          </w:p>
        </w:tc>
        <w:tc>
          <w:tcPr>
            <w:tcW w:type="dxa" w:w="2600"/>
          </w:tcPr>
          <w:p>
            <w:pPr>
              <w:spacing w:after="0"/>
            </w:pPr>
            <w:r>
              <w:rPr>
                <w:rFonts w:ascii="Arial" w:hAnsi="Arial"/>
                <w:color w:val="000000"/>
                <w:sz w:val="16"/>
              </w:rPr>
              <w:t>WerkOrder.aanvullende planning-/opmerkingskenmerken</w:t>
            </w:r>
          </w:p>
        </w:tc>
        <w:tc>
          <w:tcPr>
            <w:tcW w:type="dxa" w:w="1500"/>
          </w:tcPr>
          <w:p>
            <w:pPr>
              <w:spacing w:after="0"/>
            </w:pPr>
            <w:r>
              <w:rPr>
                <w:rFonts w:ascii="Arial" w:hAnsi="Arial"/>
                <w:color w:val="000000"/>
                <w:sz w:val="16"/>
              </w:rPr>
              <w:t>FEIT voor bronvelden</w:t>
            </w:r>
          </w:p>
        </w:tc>
        <w:tc>
          <w:tcPr>
            <w:tcW w:type="dxa" w:w="2860"/>
          </w:tcPr>
          <w:p>
            <w:pPr>
              <w:spacing w:after="0"/>
            </w:pPr>
            <w:r>
              <w:rPr>
                <w:rFonts w:ascii="Arial" w:hAnsi="Arial"/>
                <w:color w:val="000000"/>
                <w:sz w:val="16"/>
              </w:rPr>
              <w:t>Betekenis en toekomstig nut moeten worden bepaald.</w:t>
            </w:r>
          </w:p>
        </w:tc>
      </w:tr>
      <w:tr>
        <w:trPr>
          <w:cantSplit/>
        </w:trPr>
        <w:tc>
          <w:tcPr>
            <w:tcW w:type="dxa" w:w="2400"/>
          </w:tcPr>
          <w:p>
            <w:pPr>
              <w:spacing w:after="0"/>
            </w:pPr>
            <w:r>
              <w:rPr>
                <w:rFonts w:ascii="Arial" w:hAnsi="Arial"/>
                <w:color w:val="000000"/>
                <w:sz w:val="16"/>
              </w:rPr>
              <w:t>HistoryFlag</w:t>
            </w:r>
          </w:p>
        </w:tc>
        <w:tc>
          <w:tcPr>
            <w:tcW w:type="dxa" w:w="2600"/>
          </w:tcPr>
          <w:p>
            <w:pPr>
              <w:spacing w:after="0"/>
            </w:pPr>
            <w:r>
              <w:rPr>
                <w:rFonts w:ascii="Arial" w:hAnsi="Arial"/>
                <w:color w:val="000000"/>
                <w:sz w:val="16"/>
              </w:rPr>
              <w:t>WerkOrder.historie-/archiefindicatie</w:t>
            </w:r>
          </w:p>
        </w:tc>
        <w:tc>
          <w:tcPr>
            <w:tcW w:type="dxa" w:w="1500"/>
          </w:tcPr>
          <w:p>
            <w:pPr>
              <w:spacing w:after="0"/>
            </w:pPr>
            <w:r>
              <w:rPr>
                <w:rFonts w:ascii="Arial" w:hAnsi="Arial"/>
                <w:color w:val="000000"/>
                <w:sz w:val="16"/>
              </w:rPr>
              <w:t>FEIT voor transformatie</w:t>
            </w:r>
          </w:p>
        </w:tc>
        <w:tc>
          <w:tcPr>
            <w:tcW w:type="dxa" w:w="2860"/>
          </w:tcPr>
          <w:p>
            <w:pPr>
              <w:spacing w:after="0"/>
            </w:pPr>
            <w:r>
              <w:rPr>
                <w:rFonts w:ascii="Arial" w:hAnsi="Arial"/>
                <w:color w:val="000000"/>
                <w:sz w:val="16"/>
              </w:rPr>
              <w:t>Is 0/1 een businessstatus, synchronisatievlag of technisch filter?</w:t>
            </w:r>
          </w:p>
        </w:tc>
      </w:tr>
    </w:tbl>
    <w:p>
      <w:pPr>
        <w:spacing w:after="40"/>
      </w:pPr>
    </w:p>
    <w:p>
      <w:pPr>
        <w:pStyle w:val="Heading1"/>
      </w:pPr>
      <w:r>
        <w:t>5. Businesslogica, technische transformatie en historische workaround</w:t>
      </w:r>
    </w:p>
    <w:tbl>
      <w:tblPr>
        <w:tblStyle w:val="TableGrid"/>
        <w:tblW w:type="dxa" w:w="9360"/>
        <w:tblLayout w:type="fixed"/>
        <w:tblLook w:firstColumn="1" w:firstRow="1" w:lastColumn="0" w:lastRow="0" w:noHBand="0" w:noVBand="1" w:val="04A0"/>
        <w:tblInd w:w="120" w:type="dxa"/>
      </w:tblPr>
      <w:tblGrid>
        <w:gridCol w:w="1800"/>
        <w:gridCol w:w="3000"/>
        <w:gridCol w:w="2500"/>
        <w:gridCol w:w="2060"/>
      </w:tblGrid>
      <w:tr>
        <w:trPr>
          <w:tblHeader w:val="true"/>
        </w:trPr>
        <w:tc>
          <w:tcPr>
            <w:tcW w:type="dxa" w:w="1800"/>
            <w:vAlign w:val="center"/>
            <w:tcMar>
              <w:top w:w="80" w:type="dxa"/>
              <w:start w:w="120" w:type="dxa"/>
              <w:bottom w:w="80" w:type="dxa"/>
              <w:end w:w="120" w:type="dxa"/>
            </w:tcMar>
            <w:shd w:fill="F2F4F7"/>
          </w:tcPr>
          <w:p>
            <w:pPr>
              <w:spacing w:after="0"/>
            </w:pPr>
            <w:r>
              <w:rPr>
                <w:rFonts w:ascii="Arial" w:hAnsi="Arial"/>
                <w:b/>
                <w:color w:val="0B2545"/>
                <w:sz w:val="17"/>
              </w:rPr>
              <w:t>Patroon</w:t>
            </w:r>
          </w:p>
        </w:tc>
        <w:tc>
          <w:tcPr>
            <w:tcW w:type="dxa" w:w="3000"/>
            <w:vAlign w:val="center"/>
            <w:tcMar>
              <w:top w:w="80" w:type="dxa"/>
              <w:start w:w="120" w:type="dxa"/>
              <w:bottom w:w="80" w:type="dxa"/>
              <w:end w:w="120" w:type="dxa"/>
            </w:tcMar>
            <w:shd w:fill="F2F4F7"/>
          </w:tcPr>
          <w:p>
            <w:pPr>
              <w:spacing w:after="0"/>
            </w:pPr>
            <w:r>
              <w:rPr>
                <w:rFonts w:ascii="Arial" w:hAnsi="Arial"/>
                <w:b/>
                <w:color w:val="0B2545"/>
                <w:sz w:val="17"/>
              </w:rPr>
              <w:t>Voorbeeld uit evidence</w:t>
            </w:r>
          </w:p>
        </w:tc>
        <w:tc>
          <w:tcPr>
            <w:tcW w:type="dxa" w:w="2500"/>
            <w:vAlign w:val="center"/>
            <w:tcMar>
              <w:top w:w="80" w:type="dxa"/>
              <w:start w:w="120" w:type="dxa"/>
              <w:bottom w:w="80" w:type="dxa"/>
              <w:end w:w="120" w:type="dxa"/>
            </w:tcMar>
            <w:shd w:fill="F2F4F7"/>
          </w:tcPr>
          <w:p>
            <w:pPr>
              <w:spacing w:after="0"/>
            </w:pPr>
            <w:r>
              <w:rPr>
                <w:rFonts w:ascii="Arial" w:hAnsi="Arial"/>
                <w:b/>
                <w:color w:val="0B2545"/>
                <w:sz w:val="17"/>
              </w:rPr>
              <w:t>Voorlopige duiding</w:t>
            </w:r>
          </w:p>
        </w:tc>
        <w:tc>
          <w:tcPr>
            <w:tcW w:type="dxa" w:w="2060"/>
            <w:vAlign w:val="center"/>
            <w:tcMar>
              <w:top w:w="80" w:type="dxa"/>
              <w:start w:w="120" w:type="dxa"/>
              <w:bottom w:w="80" w:type="dxa"/>
              <w:end w:w="120" w:type="dxa"/>
            </w:tcMar>
            <w:shd w:fill="F2F4F7"/>
          </w:tcPr>
          <w:p>
            <w:pPr>
              <w:spacing w:after="0"/>
            </w:pPr>
            <w:r>
              <w:rPr>
                <w:rFonts w:ascii="Arial" w:hAnsi="Arial"/>
                <w:b/>
                <w:color w:val="0B2545"/>
                <w:sz w:val="17"/>
              </w:rPr>
              <w:t>Actie</w:t>
            </w:r>
          </w:p>
        </w:tc>
      </w:tr>
      <w:tr>
        <w:trPr>
          <w:cantSplit/>
        </w:trPr>
        <w:tc>
          <w:tcPr>
            <w:tcW w:type="dxa" w:w="1800"/>
          </w:tcPr>
          <w:p>
            <w:pPr>
              <w:spacing w:after="0"/>
            </w:pPr>
            <w:r>
              <w:rPr>
                <w:rFonts w:ascii="Arial" w:hAnsi="Arial"/>
                <w:color w:val="000000"/>
                <w:sz w:val="17"/>
              </w:rPr>
              <w:t>Domeinregel</w:t>
            </w:r>
          </w:p>
        </w:tc>
        <w:tc>
          <w:tcPr>
            <w:tcW w:type="dxa" w:w="3000"/>
          </w:tcPr>
          <w:p>
            <w:pPr>
              <w:spacing w:after="0"/>
            </w:pPr>
            <w:r>
              <w:rPr>
                <w:rFonts w:ascii="Arial" w:hAnsi="Arial"/>
                <w:color w:val="000000"/>
                <w:sz w:val="17"/>
              </w:rPr>
              <w:t>Status wordt meegenomen in 4PS-, RHM- en Quintiq-ketens.</w:t>
            </w:r>
          </w:p>
        </w:tc>
        <w:tc>
          <w:tcPr>
            <w:tcW w:type="dxa" w:w="2500"/>
          </w:tcPr>
          <w:p>
            <w:pPr>
              <w:spacing w:after="0"/>
            </w:pPr>
            <w:r>
              <w:rPr>
                <w:rFonts w:ascii="Arial" w:hAnsi="Arial"/>
                <w:color w:val="000000"/>
                <w:sz w:val="17"/>
              </w:rPr>
              <w:t>Waarschijnlijk businessrelevant; de geldige overgangen zijn onbekend.</w:t>
            </w:r>
          </w:p>
        </w:tc>
        <w:tc>
          <w:tcPr>
            <w:tcW w:type="dxa" w:w="2060"/>
          </w:tcPr>
          <w:p>
            <w:pPr>
              <w:spacing w:after="0"/>
            </w:pPr>
            <w:r>
              <w:rPr>
                <w:rFonts w:ascii="Arial" w:hAnsi="Arial"/>
                <w:color w:val="000000"/>
                <w:sz w:val="17"/>
              </w:rPr>
              <w:t>Business bevestigt canonieke statuslevenscyclus.</w:t>
            </w:r>
          </w:p>
        </w:tc>
      </w:tr>
      <w:tr>
        <w:trPr>
          <w:cantSplit/>
        </w:trPr>
        <w:tc>
          <w:tcPr>
            <w:tcW w:type="dxa" w:w="1800"/>
          </w:tcPr>
          <w:p>
            <w:pPr>
              <w:spacing w:after="0"/>
            </w:pPr>
            <w:r>
              <w:rPr>
                <w:rFonts w:ascii="Arial" w:hAnsi="Arial"/>
                <w:color w:val="000000"/>
                <w:sz w:val="17"/>
              </w:rPr>
              <w:t>Domeinregel</w:t>
            </w:r>
          </w:p>
        </w:tc>
        <w:tc>
          <w:tcPr>
            <w:tcW w:type="dxa" w:w="3000"/>
          </w:tcPr>
          <w:p>
            <w:pPr>
              <w:spacing w:after="0"/>
            </w:pPr>
            <w:r>
              <w:rPr>
                <w:rFonts w:ascii="Arial" w:hAnsi="Arial"/>
                <w:color w:val="000000"/>
                <w:sz w:val="17"/>
              </w:rPr>
              <w:t>TARGSTARTDATE/TARGCOMPDATE worden naar DateStart/DateEnd gemapt.</w:t>
            </w:r>
          </w:p>
        </w:tc>
        <w:tc>
          <w:tcPr>
            <w:tcW w:type="dxa" w:w="2500"/>
          </w:tcPr>
          <w:p>
            <w:pPr>
              <w:spacing w:after="0"/>
            </w:pPr>
            <w:r>
              <w:rPr>
                <w:rFonts w:ascii="Arial" w:hAnsi="Arial"/>
                <w:color w:val="000000"/>
                <w:sz w:val="17"/>
              </w:rPr>
              <w:t>Planninginformatie; betekenis van plan versus commitment ontbreekt.</w:t>
            </w:r>
          </w:p>
        </w:tc>
        <w:tc>
          <w:tcPr>
            <w:tcW w:type="dxa" w:w="2060"/>
          </w:tcPr>
          <w:p>
            <w:pPr>
              <w:spacing w:after="0"/>
            </w:pPr>
            <w:r>
              <w:rPr>
                <w:rFonts w:ascii="Arial" w:hAnsi="Arial"/>
                <w:color w:val="000000"/>
                <w:sz w:val="17"/>
              </w:rPr>
              <w:t>Planning-/operatie-eigenaar valideert.</w:t>
            </w:r>
          </w:p>
        </w:tc>
      </w:tr>
      <w:tr>
        <w:trPr>
          <w:cantSplit/>
        </w:trPr>
        <w:tc>
          <w:tcPr>
            <w:tcW w:type="dxa" w:w="1800"/>
          </w:tcPr>
          <w:p>
            <w:pPr>
              <w:spacing w:after="0"/>
            </w:pPr>
            <w:r>
              <w:rPr>
                <w:rFonts w:ascii="Arial" w:hAnsi="Arial"/>
                <w:color w:val="000000"/>
                <w:sz w:val="17"/>
              </w:rPr>
              <w:t>Technische transformatie</w:t>
            </w:r>
          </w:p>
        </w:tc>
        <w:tc>
          <w:tcPr>
            <w:tcW w:type="dxa" w:w="3000"/>
          </w:tcPr>
          <w:p>
            <w:pPr>
              <w:spacing w:after="0"/>
            </w:pPr>
            <w:r>
              <w:rPr>
                <w:rFonts w:ascii="Arial" w:hAnsi="Arial"/>
                <w:color w:val="000000"/>
                <w:sz w:val="17"/>
              </w:rPr>
              <w:t>Datumformatering/parsing in TalendDate.</w:t>
            </w:r>
          </w:p>
        </w:tc>
        <w:tc>
          <w:tcPr>
            <w:tcW w:type="dxa" w:w="2500"/>
          </w:tcPr>
          <w:p>
            <w:pPr>
              <w:spacing w:after="0"/>
            </w:pPr>
            <w:r>
              <w:rPr>
                <w:rFonts w:ascii="Arial" w:hAnsi="Arial"/>
                <w:color w:val="000000"/>
                <w:sz w:val="17"/>
              </w:rPr>
              <w:t>Formattering; hoort in adaptor of contract-serialisatie, niet als businessregel.</w:t>
            </w:r>
          </w:p>
        </w:tc>
        <w:tc>
          <w:tcPr>
            <w:tcW w:type="dxa" w:w="2060"/>
          </w:tcPr>
          <w:p>
            <w:pPr>
              <w:spacing w:after="0"/>
            </w:pPr>
            <w:r>
              <w:rPr>
                <w:rFonts w:ascii="Arial" w:hAnsi="Arial"/>
                <w:color w:val="000000"/>
                <w:sz w:val="17"/>
              </w:rPr>
              <w:t>Standaardiseer datum/tijd en tijdzone.</w:t>
            </w:r>
          </w:p>
        </w:tc>
      </w:tr>
      <w:tr>
        <w:trPr>
          <w:cantSplit/>
        </w:trPr>
        <w:tc>
          <w:tcPr>
            <w:tcW w:type="dxa" w:w="1800"/>
          </w:tcPr>
          <w:p>
            <w:pPr>
              <w:spacing w:after="0"/>
            </w:pPr>
            <w:r>
              <w:rPr>
                <w:rFonts w:ascii="Arial" w:hAnsi="Arial"/>
                <w:color w:val="000000"/>
                <w:sz w:val="17"/>
              </w:rPr>
              <w:t>Technische transformatie</w:t>
            </w:r>
          </w:p>
        </w:tc>
        <w:tc>
          <w:tcPr>
            <w:tcW w:type="dxa" w:w="3000"/>
          </w:tcPr>
          <w:p>
            <w:pPr>
              <w:spacing w:after="0"/>
            </w:pPr>
            <w:r>
              <w:rPr>
                <w:rFonts w:ascii="Arial" w:hAnsi="Arial"/>
                <w:color w:val="000000"/>
                <w:sz w:val="17"/>
              </w:rPr>
              <w:t>LEAD wordt links met nullen aangevuld.</w:t>
            </w:r>
          </w:p>
        </w:tc>
        <w:tc>
          <w:tcPr>
            <w:tcW w:type="dxa" w:w="2500"/>
          </w:tcPr>
          <w:p>
            <w:pPr>
              <w:spacing w:after="0"/>
            </w:pPr>
            <w:r>
              <w:rPr>
                <w:rFonts w:ascii="Arial" w:hAnsi="Arial"/>
                <w:color w:val="000000"/>
                <w:sz w:val="17"/>
              </w:rPr>
              <w:t>Identifier-normalisatie; businessregel alleen als doelcontract vaste lengte vereist.</w:t>
            </w:r>
          </w:p>
        </w:tc>
        <w:tc>
          <w:tcPr>
            <w:tcW w:type="dxa" w:w="2060"/>
          </w:tcPr>
          <w:p>
            <w:pPr>
              <w:spacing w:after="0"/>
            </w:pPr>
            <w:r>
              <w:rPr>
                <w:rFonts w:ascii="Arial" w:hAnsi="Arial"/>
                <w:color w:val="000000"/>
                <w:sz w:val="17"/>
              </w:rPr>
              <w:t>Leg identiteit- en formaatregel vast.</w:t>
            </w:r>
          </w:p>
        </w:tc>
      </w:tr>
      <w:tr>
        <w:trPr>
          <w:cantSplit/>
        </w:trPr>
        <w:tc>
          <w:tcPr>
            <w:tcW w:type="dxa" w:w="1800"/>
          </w:tcPr>
          <w:p>
            <w:pPr>
              <w:spacing w:after="0"/>
            </w:pPr>
            <w:r>
              <w:rPr>
                <w:rFonts w:ascii="Arial" w:hAnsi="Arial"/>
                <w:color w:val="000000"/>
                <w:sz w:val="17"/>
              </w:rPr>
              <w:t>Technische afhandeling</w:t>
            </w:r>
          </w:p>
        </w:tc>
        <w:tc>
          <w:tcPr>
            <w:tcW w:type="dxa" w:w="3000"/>
          </w:tcPr>
          <w:p>
            <w:pPr>
              <w:spacing w:after="0"/>
            </w:pPr>
            <w:r>
              <w:rPr>
                <w:rFonts w:ascii="Arial" w:hAnsi="Arial"/>
                <w:color w:val="000000"/>
                <w:sz w:val="17"/>
              </w:rPr>
              <w:t>File copy/list, buffer output, stat catcher, logging en error descriptions.</w:t>
            </w:r>
          </w:p>
        </w:tc>
        <w:tc>
          <w:tcPr>
            <w:tcW w:type="dxa" w:w="2500"/>
          </w:tcPr>
          <w:p>
            <w:pPr>
              <w:spacing w:after="0"/>
            </w:pPr>
            <w:r>
              <w:rPr>
                <w:rFonts w:ascii="Arial" w:hAnsi="Arial"/>
                <w:color w:val="000000"/>
                <w:sz w:val="17"/>
              </w:rPr>
              <w:t>Transport/operations, geen WerkOrder-semantiek.</w:t>
            </w:r>
          </w:p>
        </w:tc>
        <w:tc>
          <w:tcPr>
            <w:tcW w:type="dxa" w:w="2060"/>
          </w:tcPr>
          <w:p>
            <w:pPr>
              <w:spacing w:after="0"/>
            </w:pPr>
            <w:r>
              <w:rPr>
                <w:rFonts w:ascii="Arial" w:hAnsi="Arial"/>
                <w:color w:val="000000"/>
                <w:sz w:val="17"/>
              </w:rPr>
              <w:t>Vervang door platformcapaciteiten en observability.</w:t>
            </w:r>
          </w:p>
        </w:tc>
      </w:tr>
      <w:tr>
        <w:trPr>
          <w:cantSplit/>
        </w:trPr>
        <w:tc>
          <w:tcPr>
            <w:tcW w:type="dxa" w:w="1800"/>
          </w:tcPr>
          <w:p>
            <w:pPr>
              <w:spacing w:after="0"/>
            </w:pPr>
            <w:r>
              <w:rPr>
                <w:rFonts w:ascii="Arial" w:hAnsi="Arial"/>
                <w:color w:val="000000"/>
                <w:sz w:val="17"/>
              </w:rPr>
              <w:t>Mogelijke workaround</w:t>
            </w:r>
          </w:p>
        </w:tc>
        <w:tc>
          <w:tcPr>
            <w:tcW w:type="dxa" w:w="3000"/>
          </w:tcPr>
          <w:p>
            <w:pPr>
              <w:spacing w:after="0"/>
            </w:pPr>
            <w:r>
              <w:rPr>
                <w:rFonts w:ascii="Arial" w:hAnsi="Arial"/>
                <w:color w:val="000000"/>
                <w:sz w:val="17"/>
              </w:rPr>
              <w:t>Meerdere individuele/meervoudige GetWorkOrder-jobs en aparte update-/send-jobs.</w:t>
            </w:r>
          </w:p>
        </w:tc>
        <w:tc>
          <w:tcPr>
            <w:tcW w:type="dxa" w:w="2500"/>
          </w:tcPr>
          <w:p>
            <w:pPr>
              <w:spacing w:after="0"/>
            </w:pPr>
            <w:r>
              <w:rPr>
                <w:rFonts w:ascii="Arial" w:hAnsi="Arial"/>
                <w:color w:val="000000"/>
                <w:sz w:val="17"/>
              </w:rPr>
              <w:t>Kan historisch batching/fallback-ontwerp zijn; niet uit code alleen beslisbaar.</w:t>
            </w:r>
          </w:p>
        </w:tc>
        <w:tc>
          <w:tcPr>
            <w:tcW w:type="dxa" w:w="2060"/>
          </w:tcPr>
          <w:p>
            <w:pPr>
              <w:spacing w:after="0"/>
            </w:pPr>
            <w:r>
              <w:rPr>
                <w:rFonts w:ascii="Arial" w:hAnsi="Arial"/>
                <w:color w:val="000000"/>
                <w:sz w:val="17"/>
              </w:rPr>
              <w:t>Onderzoek gebruik, volume en functionele noodzaak.</w:t>
            </w:r>
          </w:p>
        </w:tc>
      </w:tr>
      <w:tr>
        <w:trPr>
          <w:cantSplit/>
        </w:trPr>
        <w:tc>
          <w:tcPr>
            <w:tcW w:type="dxa" w:w="1800"/>
          </w:tcPr>
          <w:p>
            <w:pPr>
              <w:spacing w:after="0"/>
            </w:pPr>
            <w:r>
              <w:rPr>
                <w:rFonts w:ascii="Arial" w:hAnsi="Arial"/>
                <w:color w:val="000000"/>
                <w:sz w:val="17"/>
              </w:rPr>
              <w:t>Mogelijke workaround</w:t>
            </w:r>
          </w:p>
        </w:tc>
        <w:tc>
          <w:tcPr>
            <w:tcW w:type="dxa" w:w="3000"/>
          </w:tcPr>
          <w:p>
            <w:pPr>
              <w:spacing w:after="0"/>
            </w:pPr>
            <w:r>
              <w:rPr>
                <w:rFonts w:ascii="Arial" w:hAnsi="Arial"/>
                <w:color w:val="000000"/>
                <w:sz w:val="17"/>
              </w:rPr>
              <w:t>Aparte routes voor geplande directe, geplande indirecte, gewijzigde en geannuleerde WerkOrders.</w:t>
            </w:r>
          </w:p>
        </w:tc>
        <w:tc>
          <w:tcPr>
            <w:tcW w:type="dxa" w:w="2500"/>
          </w:tcPr>
          <w:p>
            <w:pPr>
              <w:spacing w:after="0"/>
            </w:pPr>
            <w:r>
              <w:rPr>
                <w:rFonts w:ascii="Arial" w:hAnsi="Arial"/>
                <w:color w:val="000000"/>
                <w:sz w:val="17"/>
              </w:rPr>
              <w:t>Kan nuttige eventclassificatie óf onnodige point-to-point versnippering zijn.</w:t>
            </w:r>
          </w:p>
        </w:tc>
        <w:tc>
          <w:tcPr>
            <w:tcW w:type="dxa" w:w="2060"/>
          </w:tcPr>
          <w:p>
            <w:pPr>
              <w:spacing w:after="0"/>
            </w:pPr>
            <w:r>
              <w:rPr>
                <w:rFonts w:ascii="Arial" w:hAnsi="Arial"/>
                <w:color w:val="000000"/>
                <w:sz w:val="17"/>
              </w:rPr>
              <w:t>Business definieert eventtaxonomie; architect consolideert contracten.</w:t>
            </w:r>
          </w:p>
        </w:tc>
      </w:tr>
    </w:tbl>
    <w:p>
      <w:pPr>
        <w:spacing w:after="40"/>
      </w:pPr>
    </w:p>
    <w:p>
      <w:pPr>
        <w:pStyle w:val="Heading1"/>
      </w:pPr>
      <w:r>
        <w:t>6. Rationalisatieadvies voor de POC</w:t>
      </w:r>
    </w:p>
    <w:p>
      <w:r>
        <w:rPr>
          <w:rFonts w:ascii="Arial" w:hAnsi="Arial"/>
          <w:i w:val="0"/>
          <w:color w:val="000000"/>
          <w:sz w:val="22"/>
        </w:rPr>
        <w:t>Dit zijn prioriteringsvoorstellen voor validatie, geen automatisch migratiebesluit. De labels beschrijven de vermoedelijke toekomstrol van de businessuitwisseling; zij zeggen niet dat Talend zelf behouden moet blijven.</w:t>
      </w:r>
    </w:p>
    <w:tbl>
      <w:tblPr>
        <w:tblStyle w:val="TableGrid"/>
        <w:tblW w:type="dxa" w:w="9360"/>
        <w:tblLayout w:type="fixed"/>
        <w:tblLook w:firstColumn="1" w:firstRow="1" w:lastColumn="0" w:lastRow="0" w:noHBand="0" w:noVBand="1" w:val="04A0"/>
        <w:tblInd w:w="120" w:type="dxa"/>
      </w:tblPr>
      <w:tblGrid>
        <w:gridCol w:w="2050"/>
        <w:gridCol w:w="1700"/>
        <w:gridCol w:w="3500"/>
        <w:gridCol w:w="2110"/>
      </w:tblGrid>
      <w:tr>
        <w:trPr>
          <w:tblHeader w:val="true"/>
        </w:trPr>
        <w:tc>
          <w:tcPr>
            <w:tcW w:type="dxa" w:w="2050"/>
            <w:vAlign w:val="center"/>
            <w:tcMar>
              <w:top w:w="80" w:type="dxa"/>
              <w:start w:w="120" w:type="dxa"/>
              <w:bottom w:w="80" w:type="dxa"/>
              <w:end w:w="120" w:type="dxa"/>
            </w:tcMar>
            <w:shd w:fill="F2F4F7"/>
          </w:tcPr>
          <w:p>
            <w:pPr>
              <w:spacing w:after="0"/>
            </w:pPr>
            <w:r>
              <w:rPr>
                <w:rFonts w:ascii="Arial" w:hAnsi="Arial"/>
                <w:b/>
                <w:color w:val="0B2545"/>
                <w:sz w:val="17"/>
              </w:rPr>
              <w:t>Keten / capability</w:t>
            </w:r>
          </w:p>
        </w:tc>
        <w:tc>
          <w:tcPr>
            <w:tcW w:type="dxa" w:w="1700"/>
            <w:vAlign w:val="center"/>
            <w:tcMar>
              <w:top w:w="80" w:type="dxa"/>
              <w:start w:w="120" w:type="dxa"/>
              <w:bottom w:w="80" w:type="dxa"/>
              <w:end w:w="120" w:type="dxa"/>
            </w:tcMar>
            <w:shd w:fill="F2F4F7"/>
          </w:tcPr>
          <w:p>
            <w:pPr>
              <w:spacing w:after="0"/>
            </w:pPr>
            <w:r>
              <w:rPr>
                <w:rFonts w:ascii="Arial" w:hAnsi="Arial"/>
                <w:b/>
                <w:color w:val="0B2545"/>
                <w:sz w:val="17"/>
              </w:rPr>
              <w:t>Voorstel</w:t>
            </w:r>
          </w:p>
        </w:tc>
        <w:tc>
          <w:tcPr>
            <w:tcW w:type="dxa" w:w="3500"/>
            <w:vAlign w:val="center"/>
            <w:tcMar>
              <w:top w:w="80" w:type="dxa"/>
              <w:start w:w="120" w:type="dxa"/>
              <w:bottom w:w="80" w:type="dxa"/>
              <w:end w:w="120" w:type="dxa"/>
            </w:tcMar>
            <w:shd w:fill="F2F4F7"/>
          </w:tcPr>
          <w:p>
            <w:pPr>
              <w:spacing w:after="0"/>
            </w:pPr>
            <w:r>
              <w:rPr>
                <w:rFonts w:ascii="Arial" w:hAnsi="Arial"/>
                <w:b/>
                <w:color w:val="0B2545"/>
                <w:sz w:val="17"/>
              </w:rPr>
              <w:t>Waarom</w:t>
            </w:r>
          </w:p>
        </w:tc>
        <w:tc>
          <w:tcPr>
            <w:tcW w:type="dxa" w:w="2110"/>
            <w:vAlign w:val="center"/>
            <w:tcMar>
              <w:top w:w="80" w:type="dxa"/>
              <w:start w:w="120" w:type="dxa"/>
              <w:bottom w:w="80" w:type="dxa"/>
              <w:end w:w="120" w:type="dxa"/>
            </w:tcMar>
            <w:shd w:fill="F2F4F7"/>
          </w:tcPr>
          <w:p>
            <w:pPr>
              <w:spacing w:after="0"/>
            </w:pPr>
            <w:r>
              <w:rPr>
                <w:rFonts w:ascii="Arial" w:hAnsi="Arial"/>
                <w:b/>
                <w:color w:val="0B2545"/>
                <w:sz w:val="17"/>
              </w:rPr>
              <w:t>Besluitvoorwaarde</w:t>
            </w:r>
          </w:p>
        </w:tc>
      </w:tr>
      <w:tr>
        <w:trPr>
          <w:cantSplit/>
        </w:trPr>
        <w:tc>
          <w:tcPr>
            <w:tcW w:type="dxa" w:w="2050"/>
          </w:tcPr>
          <w:p>
            <w:pPr>
              <w:spacing w:after="0"/>
            </w:pPr>
            <w:r>
              <w:rPr>
                <w:rFonts w:ascii="Arial" w:hAnsi="Arial"/>
                <w:color w:val="000000"/>
                <w:sz w:val="17"/>
              </w:rPr>
              <w:t>Maximo↔4PS WerkOrder</w:t>
            </w:r>
          </w:p>
        </w:tc>
        <w:tc>
          <w:tcPr>
            <w:tcW w:type="dxa" w:w="1700"/>
          </w:tcPr>
          <w:p>
            <w:pPr>
              <w:spacing w:after="0"/>
            </w:pPr>
            <w:r>
              <w:rPr>
                <w:rFonts w:ascii="Arial" w:hAnsi="Arial"/>
                <w:color w:val="000000"/>
                <w:sz w:val="17"/>
              </w:rPr>
              <w:t>BEHOUDEN &amp; VERVANGEN</w:t>
            </w:r>
          </w:p>
        </w:tc>
        <w:tc>
          <w:tcPr>
            <w:tcW w:type="dxa" w:w="3500"/>
          </w:tcPr>
          <w:p>
            <w:pPr>
              <w:spacing w:after="0"/>
            </w:pPr>
            <w:r>
              <w:rPr>
                <w:rFonts w:ascii="Arial" w:hAnsi="Arial"/>
                <w:color w:val="000000"/>
                <w:sz w:val="17"/>
              </w:rPr>
              <w:t>Duidelijke object-/eventsignalen en 4PS/Maximo-keten; Talend/JMS/VRI is implementatiedetail.</w:t>
            </w:r>
          </w:p>
        </w:tc>
        <w:tc>
          <w:tcPr>
            <w:tcW w:type="dxa" w:w="2110"/>
          </w:tcPr>
          <w:p>
            <w:pPr>
              <w:spacing w:after="0"/>
            </w:pPr>
            <w:r>
              <w:rPr>
                <w:rFonts w:ascii="Arial" w:hAnsi="Arial"/>
                <w:color w:val="000000"/>
                <w:sz w:val="17"/>
              </w:rPr>
              <w:t>Objecteigenaar, terugmutaties en statuscontract gevalideerd.</w:t>
            </w:r>
          </w:p>
        </w:tc>
      </w:tr>
      <w:tr>
        <w:trPr>
          <w:cantSplit/>
        </w:trPr>
        <w:tc>
          <w:tcPr>
            <w:tcW w:type="dxa" w:w="2050"/>
          </w:tcPr>
          <w:p>
            <w:pPr>
              <w:spacing w:after="0"/>
            </w:pPr>
            <w:r>
              <w:rPr>
                <w:rFonts w:ascii="Arial" w:hAnsi="Arial"/>
                <w:color w:val="000000"/>
                <w:sz w:val="17"/>
              </w:rPr>
              <w:t>Maximo→RHM Werkorders</w:t>
            </w:r>
          </w:p>
        </w:tc>
        <w:tc>
          <w:tcPr>
            <w:tcW w:type="dxa" w:w="1700"/>
          </w:tcPr>
          <w:p>
            <w:pPr>
              <w:spacing w:after="0"/>
            </w:pPr>
            <w:r>
              <w:rPr>
                <w:rFonts w:ascii="Arial" w:hAnsi="Arial"/>
                <w:color w:val="000000"/>
                <w:sz w:val="17"/>
              </w:rPr>
              <w:t>BEHOUDEN &amp; STANDAARDISEREN</w:t>
            </w:r>
          </w:p>
        </w:tc>
        <w:tc>
          <w:tcPr>
            <w:tcW w:type="dxa" w:w="3500"/>
          </w:tcPr>
          <w:p>
            <w:pPr>
              <w:spacing w:after="0"/>
            </w:pPr>
            <w:r>
              <w:rPr>
                <w:rFonts w:ascii="Arial" w:hAnsi="Arial"/>
                <w:color w:val="000000"/>
                <w:sz w:val="17"/>
              </w:rPr>
              <w:t>Expliciete veldmapping voor status, planning, locatie en hiërarchie.</w:t>
            </w:r>
          </w:p>
        </w:tc>
        <w:tc>
          <w:tcPr>
            <w:tcW w:type="dxa" w:w="2110"/>
          </w:tcPr>
          <w:p>
            <w:pPr>
              <w:spacing w:after="0"/>
            </w:pPr>
            <w:r>
              <w:rPr>
                <w:rFonts w:ascii="Arial" w:hAnsi="Arial"/>
                <w:color w:val="000000"/>
                <w:sz w:val="17"/>
              </w:rPr>
              <w:t>RHM-rol en autoriteit per attribuut vastgesteld.</w:t>
            </w:r>
          </w:p>
        </w:tc>
      </w:tr>
      <w:tr>
        <w:trPr>
          <w:cantSplit/>
        </w:trPr>
        <w:tc>
          <w:tcPr>
            <w:tcW w:type="dxa" w:w="2050"/>
          </w:tcPr>
          <w:p>
            <w:pPr>
              <w:spacing w:after="0"/>
            </w:pPr>
            <w:r>
              <w:rPr>
                <w:rFonts w:ascii="Arial" w:hAnsi="Arial"/>
                <w:color w:val="000000"/>
                <w:sz w:val="17"/>
              </w:rPr>
              <w:t>Maximo↔Quintiq planning</w:t>
            </w:r>
          </w:p>
        </w:tc>
        <w:tc>
          <w:tcPr>
            <w:tcW w:type="dxa" w:w="1700"/>
          </w:tcPr>
          <w:p>
            <w:pPr>
              <w:spacing w:after="0"/>
            </w:pPr>
            <w:r>
              <w:rPr>
                <w:rFonts w:ascii="Arial" w:hAnsi="Arial"/>
                <w:color w:val="000000"/>
                <w:sz w:val="17"/>
              </w:rPr>
              <w:t>BEHOUDEN &amp; HERONTWERPEN</w:t>
            </w:r>
          </w:p>
        </w:tc>
        <w:tc>
          <w:tcPr>
            <w:tcW w:type="dxa" w:w="3500"/>
          </w:tcPr>
          <w:p>
            <w:pPr>
              <w:spacing w:after="0"/>
            </w:pPr>
            <w:r>
              <w:rPr>
                <w:rFonts w:ascii="Arial" w:hAnsi="Arial"/>
                <w:color w:val="000000"/>
                <w:sz w:val="17"/>
              </w:rPr>
              <w:t>Planningvelden en PlannedWorkOrder-terugstroom zijn zichtbaar.</w:t>
            </w:r>
          </w:p>
        </w:tc>
        <w:tc>
          <w:tcPr>
            <w:tcW w:type="dxa" w:w="2110"/>
          </w:tcPr>
          <w:p>
            <w:pPr>
              <w:spacing w:after="0"/>
            </w:pPr>
            <w:r>
              <w:rPr>
                <w:rFonts w:ascii="Arial" w:hAnsi="Arial"/>
                <w:color w:val="000000"/>
                <w:sz w:val="17"/>
              </w:rPr>
              <w:t>Planning lifecycle, assignment en conflictregels vastgesteld.</w:t>
            </w:r>
          </w:p>
        </w:tc>
      </w:tr>
      <w:tr>
        <w:trPr>
          <w:cantSplit/>
        </w:trPr>
        <w:tc>
          <w:tcPr>
            <w:tcW w:type="dxa" w:w="2050"/>
          </w:tcPr>
          <w:p>
            <w:pPr>
              <w:spacing w:after="0"/>
            </w:pPr>
            <w:r>
              <w:rPr>
                <w:rFonts w:ascii="Arial" w:hAnsi="Arial"/>
                <w:color w:val="000000"/>
                <w:sz w:val="17"/>
              </w:rPr>
              <w:t>AssetCheck/VISE WerkOrder</w:t>
            </w:r>
          </w:p>
        </w:tc>
        <w:tc>
          <w:tcPr>
            <w:tcW w:type="dxa" w:w="1700"/>
          </w:tcPr>
          <w:p>
            <w:pPr>
              <w:spacing w:after="0"/>
            </w:pPr>
            <w:r>
              <w:rPr>
                <w:rFonts w:ascii="Arial" w:hAnsi="Arial"/>
                <w:color w:val="000000"/>
                <w:sz w:val="17"/>
              </w:rPr>
              <w:t>NADER ONDERZOEKEN</w:t>
            </w:r>
          </w:p>
        </w:tc>
        <w:tc>
          <w:tcPr>
            <w:tcW w:type="dxa" w:w="3500"/>
          </w:tcPr>
          <w:p>
            <w:pPr>
              <w:spacing w:after="0"/>
            </w:pPr>
            <w:r>
              <w:rPr>
                <w:rFonts w:ascii="Arial" w:hAnsi="Arial"/>
                <w:color w:val="000000"/>
                <w:sz w:val="17"/>
              </w:rPr>
              <w:t>Get/send/update-keten is zichtbaar, payloadsemantiek niet voldoende.</w:t>
            </w:r>
          </w:p>
        </w:tc>
        <w:tc>
          <w:tcPr>
            <w:tcW w:type="dxa" w:w="2110"/>
          </w:tcPr>
          <w:p>
            <w:pPr>
              <w:spacing w:after="0"/>
            </w:pPr>
            <w:r>
              <w:rPr>
                <w:rFonts w:ascii="Arial" w:hAnsi="Arial"/>
                <w:color w:val="000000"/>
                <w:sz w:val="17"/>
              </w:rPr>
              <w:t>WerkOrder-updatevelden, procesdoel en eigenaarschap bekend.</w:t>
            </w:r>
          </w:p>
        </w:tc>
      </w:tr>
      <w:tr>
        <w:trPr>
          <w:cantSplit/>
        </w:trPr>
        <w:tc>
          <w:tcPr>
            <w:tcW w:type="dxa" w:w="2050"/>
          </w:tcPr>
          <w:p>
            <w:pPr>
              <w:spacing w:after="0"/>
            </w:pPr>
            <w:r>
              <w:rPr>
                <w:rFonts w:ascii="Arial" w:hAnsi="Arial"/>
                <w:color w:val="000000"/>
                <w:sz w:val="17"/>
              </w:rPr>
              <w:t>Ortec field-operation events</w:t>
            </w:r>
          </w:p>
        </w:tc>
        <w:tc>
          <w:tcPr>
            <w:tcW w:type="dxa" w:w="1700"/>
          </w:tcPr>
          <w:p>
            <w:pPr>
              <w:spacing w:after="0"/>
            </w:pPr>
            <w:r>
              <w:rPr>
                <w:rFonts w:ascii="Arial" w:hAnsi="Arial"/>
                <w:color w:val="000000"/>
                <w:sz w:val="17"/>
              </w:rPr>
              <w:t>SAMENVOEGEN</w:t>
            </w:r>
          </w:p>
        </w:tc>
        <w:tc>
          <w:tcPr>
            <w:tcW w:type="dxa" w:w="3500"/>
          </w:tcPr>
          <w:p>
            <w:pPr>
              <w:spacing w:after="0"/>
            </w:pPr>
            <w:r>
              <w:rPr>
                <w:rFonts w:ascii="Arial" w:hAnsi="Arial"/>
                <w:color w:val="000000"/>
                <w:sz w:val="17"/>
              </w:rPr>
              <w:t>Gepland/gewijzigd/geannuleerd suggereert lifecycle-events verdeeld over routes.</w:t>
            </w:r>
          </w:p>
        </w:tc>
        <w:tc>
          <w:tcPr>
            <w:tcW w:type="dxa" w:w="2110"/>
          </w:tcPr>
          <w:p>
            <w:pPr>
              <w:spacing w:after="0"/>
            </w:pPr>
            <w:r>
              <w:rPr>
                <w:rFonts w:ascii="Arial" w:hAnsi="Arial"/>
                <w:color w:val="000000"/>
                <w:sz w:val="17"/>
              </w:rPr>
              <w:t>Eventtaxonomie en consumenten gevalideerd.</w:t>
            </w:r>
          </w:p>
        </w:tc>
      </w:tr>
      <w:tr>
        <w:trPr>
          <w:cantSplit/>
        </w:trPr>
        <w:tc>
          <w:tcPr>
            <w:tcW w:type="dxa" w:w="2050"/>
          </w:tcPr>
          <w:p>
            <w:pPr>
              <w:spacing w:after="0"/>
            </w:pPr>
            <w:r>
              <w:rPr>
                <w:rFonts w:ascii="Arial" w:hAnsi="Arial"/>
                <w:color w:val="000000"/>
                <w:sz w:val="17"/>
              </w:rPr>
              <w:t>Talend file/JMS/logging/retry</w:t>
            </w:r>
          </w:p>
        </w:tc>
        <w:tc>
          <w:tcPr>
            <w:tcW w:type="dxa" w:w="1700"/>
          </w:tcPr>
          <w:p>
            <w:pPr>
              <w:spacing w:after="0"/>
            </w:pPr>
            <w:r>
              <w:rPr>
                <w:rFonts w:ascii="Arial" w:hAnsi="Arial"/>
                <w:color w:val="000000"/>
                <w:sz w:val="17"/>
              </w:rPr>
              <w:t>VERVANGEN</w:t>
            </w:r>
          </w:p>
        </w:tc>
        <w:tc>
          <w:tcPr>
            <w:tcW w:type="dxa" w:w="3500"/>
          </w:tcPr>
          <w:p>
            <w:pPr>
              <w:spacing w:after="0"/>
            </w:pPr>
            <w:r>
              <w:rPr>
                <w:rFonts w:ascii="Arial" w:hAnsi="Arial"/>
                <w:color w:val="000000"/>
                <w:sz w:val="17"/>
              </w:rPr>
              <w:t>Technische infrastructuur en foutafhandeling, geen businessobjectcontract.</w:t>
            </w:r>
          </w:p>
        </w:tc>
        <w:tc>
          <w:tcPr>
            <w:tcW w:type="dxa" w:w="2110"/>
          </w:tcPr>
          <w:p>
            <w:pPr>
              <w:spacing w:after="0"/>
            </w:pPr>
            <w:r>
              <w:rPr>
                <w:rFonts w:ascii="Arial" w:hAnsi="Arial"/>
                <w:color w:val="000000"/>
                <w:sz w:val="17"/>
              </w:rPr>
              <w:t>Nieuw platform levert transport, retry, audit en observability.</w:t>
            </w:r>
          </w:p>
        </w:tc>
      </w:tr>
      <w:tr>
        <w:trPr>
          <w:cantSplit/>
        </w:trPr>
        <w:tc>
          <w:tcPr>
            <w:tcW w:type="dxa" w:w="2050"/>
          </w:tcPr>
          <w:p>
            <w:pPr>
              <w:spacing w:after="0"/>
            </w:pPr>
            <w:r>
              <w:rPr>
                <w:rFonts w:ascii="Arial" w:hAnsi="Arial"/>
                <w:color w:val="000000"/>
                <w:sz w:val="17"/>
              </w:rPr>
              <w:t>Test-, copy- en 0.x-artefacten</w:t>
            </w:r>
          </w:p>
        </w:tc>
        <w:tc>
          <w:tcPr>
            <w:tcW w:type="dxa" w:w="1700"/>
          </w:tcPr>
          <w:p>
            <w:pPr>
              <w:spacing w:after="0"/>
            </w:pPr>
            <w:r>
              <w:rPr>
                <w:rFonts w:ascii="Arial" w:hAnsi="Arial"/>
                <w:color w:val="000000"/>
                <w:sz w:val="17"/>
              </w:rPr>
              <w:t>UITFASEREN of ARCHIVEREN</w:t>
            </w:r>
          </w:p>
        </w:tc>
        <w:tc>
          <w:tcPr>
            <w:tcW w:type="dxa" w:w="3500"/>
          </w:tcPr>
          <w:p>
            <w:pPr>
              <w:spacing w:after="0"/>
            </w:pPr>
            <w:r>
              <w:rPr>
                <w:rFonts w:ascii="Arial" w:hAnsi="Arial"/>
                <w:color w:val="000000"/>
                <w:sz w:val="17"/>
              </w:rPr>
              <w:t>Meerdere test/copy/voorbeeldnamen en oudere versies vragen om gebruiksvalidatie.</w:t>
            </w:r>
          </w:p>
        </w:tc>
        <w:tc>
          <w:tcPr>
            <w:tcW w:type="dxa" w:w="2110"/>
          </w:tcPr>
          <w:p>
            <w:pPr>
              <w:spacing w:after="0"/>
            </w:pPr>
            <w:r>
              <w:rPr>
                <w:rFonts w:ascii="Arial" w:hAnsi="Arial"/>
                <w:color w:val="000000"/>
                <w:sz w:val="17"/>
              </w:rPr>
              <w:t>Runtime-gebruik en release-eigenaarschap vastgesteld.</w:t>
            </w:r>
          </w:p>
        </w:tc>
      </w:tr>
    </w:tbl>
    <w:p>
      <w:pPr>
        <w:spacing w:after="40"/>
      </w:pPr>
    </w:p>
    <w:p>
      <w:pPr>
        <w:pStyle w:val="Heading1"/>
      </w:pPr>
      <w:r>
        <w:t>7. Wat nog door mensen moet worden vastgesteld</w:t>
      </w:r>
    </w:p>
    <w:p>
      <w:r>
        <w:rPr>
          <w:rFonts w:ascii="Arial" w:hAnsi="Arial"/>
          <w:i w:val="0"/>
          <w:color w:val="000000"/>
          <w:sz w:val="22"/>
        </w:rPr>
        <w:t>De resterende onzekerheid is bewust klein gehouden. Zij betreft geen algemene beheerinformatie, maar uitsluitend beslissingen die nodig zijn om een toekomstig WerkOrder-contract te ontwerpen.</w:t>
      </w:r>
    </w:p>
    <w:p>
      <w:pPr>
        <w:pStyle w:val="Heading2"/>
      </w:pPr>
      <w:r>
        <w:t>Eigenaarschap en levenscyclus</w:t>
      </w:r>
    </w:p>
    <w:p>
      <w:r>
        <w:rPr>
          <w:rFonts w:ascii="Arial" w:hAnsi="Arial"/>
          <w:i w:val="0"/>
          <w:color w:val="000000"/>
          <w:sz w:val="22"/>
        </w:rPr>
        <w:t>Business en applicatie-eigenaren moeten vaststellen welk systeem per attribuut formeel auteur is: identificatie, status, planning, locatie, werksoort, contract/project en uitvoering. Hetzelfde geldt voor de canonieke statuslevenscyclus, waaronder gepland direct/indirect, gewijzigd, geannuleerd en gerealiseerd. Alleen dan kan worden bepaald welke terugmeldingen uit Quintiq, RHM, 4PS, AssetCheck en Ortec een WerkOrder werkelijk mogen wijzigen en welke slechts informatief zijn.</w:t>
      </w:r>
    </w:p>
    <w:p>
      <w:pPr>
        <w:pStyle w:val="Heading2"/>
      </w:pPr>
      <w:r>
        <w:t>VWI-semantiek</w:t>
      </w:r>
    </w:p>
    <w:p>
      <w:r>
        <w:rPr>
          <w:rFonts w:ascii="Arial" w:hAnsi="Arial"/>
          <w:i w:val="0"/>
          <w:color w:val="000000"/>
          <w:sz w:val="22"/>
        </w:rPr>
        <w:t>VW moet het WerkOrder-deel van het VWI Informatie Model beschikbaar stellen: objectdefinitie, attributen, cardinaliteiten, relaties, codelijsten, ownership en versiebeleid. Met name WO3, WO14, WOLO4, WOLO5, WOPM1, WOPM5, BC en HistoryFlag vragen om een betekenisbesluit. Zonder dit contract kunnen technische bronvelden worden geïnventariseerd, maar niet officieel worden gemapt.</w:t>
      </w:r>
    </w:p>
    <w:p>
      <w:pPr>
        <w:pStyle w:val="Heading2"/>
      </w:pPr>
      <w:r>
        <w:t>Rationalisatie en platform</w:t>
      </w:r>
    </w:p>
    <w:p>
      <w:r>
        <w:rPr>
          <w:rFonts w:ascii="Arial" w:hAnsi="Arial"/>
          <w:i w:val="0"/>
          <w:color w:val="000000"/>
          <w:sz w:val="22"/>
        </w:rPr>
        <w:t>Architectuur en beheer moeten bepalen welke huidige file-/JMS-routes echte businessvereisten vertegenwoordigen en welke slechts historische transportkeuzen of workarounds zijn. Ook moet worden vastgesteld welke consumers lifecycle-events werkelijk nodig hebben, welke test/copy-artefacten nog productieverkeer kennen, en welke audit-, retry- en traceability-eisen platformbreed moeten bestaan zonder deel te worden van het WerkOrder-object.</w:t>
      </w:r>
    </w:p>
    <w:p>
      <w:pPr>
        <w:pStyle w:val="Heading1"/>
      </w:pPr>
      <w:r>
        <w:t>8. Voorgesteld vervolg en POC-output</w:t>
      </w:r>
    </w:p>
    <w:p>
      <w:r>
        <w:rPr>
          <w:rFonts w:ascii="Arial" w:hAnsi="Arial"/>
          <w:i w:val="0"/>
          <w:color w:val="000000"/>
          <w:sz w:val="22"/>
        </w:rPr>
        <w:t>De volgende iteratie zou niet opnieuw een generiek Talend-documentatiepakket moeten leveren. Zij moet per gevalideerde interfacegroep een compacte WerkOrder exchange card produceren met: technisch mechanisme, objectsegment, veldmapping, evidence, feiten/hypothesen, VWI-kandidaten, onzekerheden en rationalisatievoorstel.</w:t>
      </w:r>
    </w:p>
    <w:tbl>
      <w:tblPr>
        <w:tblStyle w:val="TableGrid"/>
        <w:tblW w:type="dxa" w:w="9360"/>
        <w:tblLayout w:type="fixed"/>
        <w:tblLook w:firstColumn="1" w:firstRow="1" w:lastColumn="0" w:lastRow="0" w:noHBand="0" w:noVBand="1" w:val="04A0"/>
        <w:tblInd w:w="120" w:type="dxa"/>
      </w:tblPr>
      <w:tblGrid>
        <w:gridCol w:w="1200"/>
        <w:gridCol w:w="2650"/>
        <w:gridCol w:w="3400"/>
        <w:gridCol w:w="2110"/>
      </w:tblGrid>
      <w:tr>
        <w:trPr>
          <w:tblHeader w:val="true"/>
        </w:trPr>
        <w:tc>
          <w:tcPr>
            <w:tcW w:type="dxa" w:w="1200"/>
            <w:vAlign w:val="center"/>
            <w:tcMar>
              <w:top w:w="80" w:type="dxa"/>
              <w:start w:w="120" w:type="dxa"/>
              <w:bottom w:w="80" w:type="dxa"/>
              <w:end w:w="120" w:type="dxa"/>
            </w:tcMar>
            <w:shd w:fill="F2F4F7"/>
          </w:tcPr>
          <w:p>
            <w:pPr>
              <w:spacing w:after="0"/>
            </w:pPr>
            <w:r>
              <w:rPr>
                <w:rFonts w:ascii="Arial" w:hAnsi="Arial"/>
                <w:b/>
                <w:color w:val="0B2545"/>
                <w:sz w:val="17"/>
              </w:rPr>
              <w:t>Stap</w:t>
            </w:r>
          </w:p>
        </w:tc>
        <w:tc>
          <w:tcPr>
            <w:tcW w:type="dxa" w:w="2650"/>
            <w:vAlign w:val="center"/>
            <w:tcMar>
              <w:top w:w="80" w:type="dxa"/>
              <w:start w:w="120" w:type="dxa"/>
              <w:bottom w:w="80" w:type="dxa"/>
              <w:end w:w="120" w:type="dxa"/>
            </w:tcMar>
            <w:shd w:fill="F2F4F7"/>
          </w:tcPr>
          <w:p>
            <w:pPr>
              <w:spacing w:after="0"/>
            </w:pPr>
            <w:r>
              <w:rPr>
                <w:rFonts w:ascii="Arial" w:hAnsi="Arial"/>
                <w:b/>
                <w:color w:val="0B2545"/>
                <w:sz w:val="17"/>
              </w:rPr>
              <w:t>Input</w:t>
            </w:r>
          </w:p>
        </w:tc>
        <w:tc>
          <w:tcPr>
            <w:tcW w:type="dxa" w:w="3400"/>
            <w:vAlign w:val="center"/>
            <w:tcMar>
              <w:top w:w="80" w:type="dxa"/>
              <w:start w:w="120" w:type="dxa"/>
              <w:bottom w:w="80" w:type="dxa"/>
              <w:end w:w="120" w:type="dxa"/>
            </w:tcMar>
            <w:shd w:fill="F2F4F7"/>
          </w:tcPr>
          <w:p>
            <w:pPr>
              <w:spacing w:after="0"/>
            </w:pPr>
            <w:r>
              <w:rPr>
                <w:rFonts w:ascii="Arial" w:hAnsi="Arial"/>
                <w:b/>
                <w:color w:val="0B2545"/>
                <w:sz w:val="17"/>
              </w:rPr>
              <w:t>Output</w:t>
            </w:r>
          </w:p>
        </w:tc>
        <w:tc>
          <w:tcPr>
            <w:tcW w:type="dxa" w:w="2110"/>
            <w:vAlign w:val="center"/>
            <w:tcMar>
              <w:top w:w="80" w:type="dxa"/>
              <w:start w:w="120" w:type="dxa"/>
              <w:bottom w:w="80" w:type="dxa"/>
              <w:end w:w="120" w:type="dxa"/>
            </w:tcMar>
            <w:shd w:fill="F2F4F7"/>
          </w:tcPr>
          <w:p>
            <w:pPr>
              <w:spacing w:after="0"/>
            </w:pPr>
            <w:r>
              <w:rPr>
                <w:rFonts w:ascii="Arial" w:hAnsi="Arial"/>
                <w:b/>
                <w:color w:val="0B2545"/>
                <w:sz w:val="17"/>
              </w:rPr>
              <w:t>Eigenaar</w:t>
            </w:r>
          </w:p>
        </w:tc>
      </w:tr>
      <w:tr>
        <w:trPr>
          <w:cantSplit/>
        </w:trPr>
        <w:tc>
          <w:tcPr>
            <w:tcW w:type="dxa" w:w="1200"/>
          </w:tcPr>
          <w:p>
            <w:pPr>
              <w:spacing w:after="0"/>
            </w:pPr>
            <w:r>
              <w:rPr>
                <w:rFonts w:ascii="Arial" w:hAnsi="Arial"/>
                <w:color w:val="000000"/>
                <w:sz w:val="17"/>
              </w:rPr>
              <w:t>1. VWI-baseline</w:t>
            </w:r>
          </w:p>
        </w:tc>
        <w:tc>
          <w:tcPr>
            <w:tcW w:type="dxa" w:w="2650"/>
          </w:tcPr>
          <w:p>
            <w:pPr>
              <w:spacing w:after="0"/>
            </w:pPr>
            <w:r>
              <w:rPr>
                <w:rFonts w:ascii="Arial" w:hAnsi="Arial"/>
                <w:color w:val="000000"/>
                <w:sz w:val="17"/>
              </w:rPr>
              <w:t>WerkOrder objectmodel, velddefinities, codelijsten en ownership.</w:t>
            </w:r>
          </w:p>
        </w:tc>
        <w:tc>
          <w:tcPr>
            <w:tcW w:type="dxa" w:w="3400"/>
          </w:tcPr>
          <w:p>
            <w:pPr>
              <w:spacing w:after="0"/>
            </w:pPr>
            <w:r>
              <w:rPr>
                <w:rFonts w:ascii="Arial" w:hAnsi="Arial"/>
                <w:color w:val="000000"/>
                <w:sz w:val="17"/>
              </w:rPr>
              <w:t>Formele mappingdoelen en semantische gap-lijst.</w:t>
            </w:r>
          </w:p>
        </w:tc>
        <w:tc>
          <w:tcPr>
            <w:tcW w:type="dxa" w:w="2110"/>
          </w:tcPr>
          <w:p>
            <w:pPr>
              <w:spacing w:after="0"/>
            </w:pPr>
            <w:r>
              <w:rPr>
                <w:rFonts w:ascii="Arial" w:hAnsi="Arial"/>
                <w:color w:val="000000"/>
                <w:sz w:val="17"/>
              </w:rPr>
              <w:t>VW business/architectuur</w:t>
            </w:r>
          </w:p>
        </w:tc>
      </w:tr>
      <w:tr>
        <w:trPr>
          <w:cantSplit/>
        </w:trPr>
        <w:tc>
          <w:tcPr>
            <w:tcW w:type="dxa" w:w="1200"/>
          </w:tcPr>
          <w:p>
            <w:pPr>
              <w:spacing w:after="0"/>
            </w:pPr>
            <w:r>
              <w:rPr>
                <w:rFonts w:ascii="Arial" w:hAnsi="Arial"/>
                <w:color w:val="000000"/>
                <w:sz w:val="17"/>
              </w:rPr>
              <w:t>2. Evidence normaliseren</w:t>
            </w:r>
          </w:p>
        </w:tc>
        <w:tc>
          <w:tcPr>
            <w:tcW w:type="dxa" w:w="2650"/>
          </w:tcPr>
          <w:p>
            <w:pPr>
              <w:spacing w:after="0"/>
            </w:pPr>
            <w:r>
              <w:rPr>
                <w:rFonts w:ascii="Arial" w:hAnsi="Arial"/>
                <w:color w:val="000000"/>
                <w:sz w:val="17"/>
              </w:rPr>
              <w:t>Scannerfacts, exacte tMap/tXMLMap/SQL, voorbeeldpayloads waar veilig beschikbaar.</w:t>
            </w:r>
          </w:p>
        </w:tc>
        <w:tc>
          <w:tcPr>
            <w:tcW w:type="dxa" w:w="3400"/>
          </w:tcPr>
          <w:p>
            <w:pPr>
              <w:spacing w:after="0"/>
            </w:pPr>
            <w:r>
              <w:rPr>
                <w:rFonts w:ascii="Arial" w:hAnsi="Arial"/>
                <w:color w:val="000000"/>
                <w:sz w:val="17"/>
              </w:rPr>
              <w:t>Per keten traceerbare evidence pack; geen generieke vragenlijst.</w:t>
            </w:r>
          </w:p>
        </w:tc>
        <w:tc>
          <w:tcPr>
            <w:tcW w:type="dxa" w:w="2110"/>
          </w:tcPr>
          <w:p>
            <w:pPr>
              <w:spacing w:after="0"/>
            </w:pPr>
            <w:r>
              <w:rPr>
                <w:rFonts w:ascii="Arial" w:hAnsi="Arial"/>
                <w:color w:val="000000"/>
                <w:sz w:val="17"/>
              </w:rPr>
              <w:t>Nexus</w:t>
            </w:r>
          </w:p>
        </w:tc>
      </w:tr>
      <w:tr>
        <w:trPr>
          <w:cantSplit/>
        </w:trPr>
        <w:tc>
          <w:tcPr>
            <w:tcW w:type="dxa" w:w="1200"/>
          </w:tcPr>
          <w:p>
            <w:pPr>
              <w:spacing w:after="0"/>
            </w:pPr>
            <w:r>
              <w:rPr>
                <w:rFonts w:ascii="Arial" w:hAnsi="Arial"/>
                <w:color w:val="000000"/>
                <w:sz w:val="17"/>
              </w:rPr>
              <w:t>3. Businessvalidatie</w:t>
            </w:r>
          </w:p>
        </w:tc>
        <w:tc>
          <w:tcPr>
            <w:tcW w:type="dxa" w:w="2650"/>
          </w:tcPr>
          <w:p>
            <w:pPr>
              <w:spacing w:after="0"/>
            </w:pPr>
            <w:r>
              <w:rPr>
                <w:rFonts w:ascii="Arial" w:hAnsi="Arial"/>
                <w:color w:val="000000"/>
                <w:sz w:val="17"/>
              </w:rPr>
              <w:t>Deze ketenkaarten en de minimale vragen uit hoofdstuk 7.</w:t>
            </w:r>
          </w:p>
        </w:tc>
        <w:tc>
          <w:tcPr>
            <w:tcW w:type="dxa" w:w="3400"/>
          </w:tcPr>
          <w:p>
            <w:pPr>
              <w:spacing w:after="0"/>
            </w:pPr>
            <w:r>
              <w:rPr>
                <w:rFonts w:ascii="Arial" w:hAnsi="Arial"/>
                <w:color w:val="000000"/>
                <w:sz w:val="17"/>
              </w:rPr>
              <w:t>Bevestigde objectsegmenten, auteurschap en regels.</w:t>
            </w:r>
          </w:p>
        </w:tc>
        <w:tc>
          <w:tcPr>
            <w:tcW w:type="dxa" w:w="2110"/>
          </w:tcPr>
          <w:p>
            <w:pPr>
              <w:spacing w:after="0"/>
            </w:pPr>
            <w:r>
              <w:rPr>
                <w:rFonts w:ascii="Arial" w:hAnsi="Arial"/>
                <w:color w:val="000000"/>
                <w:sz w:val="17"/>
              </w:rPr>
              <w:t>Business + applicatiebeheer</w:t>
            </w:r>
          </w:p>
        </w:tc>
      </w:tr>
      <w:tr>
        <w:trPr>
          <w:cantSplit/>
        </w:trPr>
        <w:tc>
          <w:tcPr>
            <w:tcW w:type="dxa" w:w="1200"/>
          </w:tcPr>
          <w:p>
            <w:pPr>
              <w:spacing w:after="0"/>
            </w:pPr>
            <w:r>
              <w:rPr>
                <w:rFonts w:ascii="Arial" w:hAnsi="Arial"/>
                <w:color w:val="000000"/>
                <w:sz w:val="17"/>
              </w:rPr>
              <w:t>4. Rationalisatie</w:t>
            </w:r>
          </w:p>
        </w:tc>
        <w:tc>
          <w:tcPr>
            <w:tcW w:type="dxa" w:w="2650"/>
          </w:tcPr>
          <w:p>
            <w:pPr>
              <w:spacing w:after="0"/>
            </w:pPr>
            <w:r>
              <w:rPr>
                <w:rFonts w:ascii="Arial" w:hAnsi="Arial"/>
                <w:color w:val="000000"/>
                <w:sz w:val="17"/>
              </w:rPr>
              <w:t>Bevestigde capability-/contractinventaris.</w:t>
            </w:r>
          </w:p>
        </w:tc>
        <w:tc>
          <w:tcPr>
            <w:tcW w:type="dxa" w:w="3400"/>
          </w:tcPr>
          <w:p>
            <w:pPr>
              <w:spacing w:after="0"/>
            </w:pPr>
            <w:r>
              <w:rPr>
                <w:rFonts w:ascii="Arial" w:hAnsi="Arial"/>
                <w:color w:val="000000"/>
                <w:sz w:val="17"/>
              </w:rPr>
              <w:t>Behouden/vervangen/samenvoegen/uitfaseren-besluiten per keten.</w:t>
            </w:r>
          </w:p>
        </w:tc>
        <w:tc>
          <w:tcPr>
            <w:tcW w:type="dxa" w:w="2110"/>
          </w:tcPr>
          <w:p>
            <w:pPr>
              <w:spacing w:after="0"/>
            </w:pPr>
            <w:r>
              <w:rPr>
                <w:rFonts w:ascii="Arial" w:hAnsi="Arial"/>
                <w:color w:val="000000"/>
                <w:sz w:val="17"/>
              </w:rPr>
              <w:t>Architectuur + product owners</w:t>
            </w:r>
          </w:p>
        </w:tc>
      </w:tr>
      <w:tr>
        <w:trPr>
          <w:cantSplit/>
        </w:trPr>
        <w:tc>
          <w:tcPr>
            <w:tcW w:type="dxa" w:w="1200"/>
          </w:tcPr>
          <w:p>
            <w:pPr>
              <w:spacing w:after="0"/>
            </w:pPr>
            <w:r>
              <w:rPr>
                <w:rFonts w:ascii="Arial" w:hAnsi="Arial"/>
                <w:color w:val="000000"/>
                <w:sz w:val="17"/>
              </w:rPr>
              <w:t>5. Target design</w:t>
            </w:r>
          </w:p>
        </w:tc>
        <w:tc>
          <w:tcPr>
            <w:tcW w:type="dxa" w:w="2650"/>
          </w:tcPr>
          <w:p>
            <w:pPr>
              <w:spacing w:after="0"/>
            </w:pPr>
            <w:r>
              <w:rPr>
                <w:rFonts w:ascii="Arial" w:hAnsi="Arial"/>
                <w:color w:val="000000"/>
                <w:sz w:val="17"/>
              </w:rPr>
              <w:t>VWI-mapping, event/API-keuzes, non-functionals.</w:t>
            </w:r>
          </w:p>
        </w:tc>
        <w:tc>
          <w:tcPr>
            <w:tcW w:type="dxa" w:w="3400"/>
          </w:tcPr>
          <w:p>
            <w:pPr>
              <w:spacing w:after="0"/>
            </w:pPr>
            <w:r>
              <w:rPr>
                <w:rFonts w:ascii="Arial" w:hAnsi="Arial"/>
                <w:color w:val="000000"/>
                <w:sz w:val="17"/>
              </w:rPr>
              <w:t>3-tier interfaceontwerp en migratiebacklog, los van Talend.</w:t>
            </w:r>
          </w:p>
        </w:tc>
        <w:tc>
          <w:tcPr>
            <w:tcW w:type="dxa" w:w="2110"/>
          </w:tcPr>
          <w:p>
            <w:pPr>
              <w:spacing w:after="0"/>
            </w:pPr>
            <w:r>
              <w:rPr>
                <w:rFonts w:ascii="Arial" w:hAnsi="Arial"/>
                <w:color w:val="000000"/>
                <w:sz w:val="17"/>
              </w:rPr>
              <w:t>Architectuur + delivery</w:t>
            </w:r>
          </w:p>
        </w:tc>
      </w:tr>
    </w:tbl>
    <w:p>
      <w:pPr>
        <w:spacing w:after="40"/>
      </w:pP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Arial" w:hAnsi="Arial"/>
                <w:b/>
                <w:color w:val="0B2545"/>
                <w:sz w:val="21"/>
              </w:rPr>
              <w:t xml:space="preserve">Aanbevolen POC-besluit: </w:t>
            </w:r>
            <w:r>
              <w:rPr>
                <w:rFonts w:ascii="Arial" w:hAnsi="Arial"/>
                <w:color w:val="0B2545"/>
                <w:sz w:val="21"/>
              </w:rPr>
              <w:t>Gebruik deze technische inventory als startpunt voor vijf ketens: Maximo↔4PS, Maximo→RHM, Maximo↔Quintiq, Maximo↔AssetCheck/VISE en Ortec lifecycle-events. Lever eerst het VWI WerkOrder-model aan; valideer vervolgens alleen de open semantische en ownership-vragen. Daarmee wordt de POC gericht op rationalisatie en toekomstig ontwerp, niet op het vollediger beheren van Talend.</w:t>
            </w:r>
          </w:p>
        </w:tc>
      </w:tr>
    </w:tbl>
    <w:p>
      <w:pPr>
        <w:spacing w:after="40"/>
      </w:pPr>
    </w:p>
    <w:p>
      <w:pPr>
        <w:pStyle w:val="Heading1"/>
      </w:pPr>
      <w:r>
        <w:t>Bijlage A. Traceerbare bronset</w:t>
      </w:r>
    </w:p>
    <w:p>
      <w:r>
        <w:rPr>
          <w:rFonts w:ascii="Arial" w:hAnsi="Arial"/>
          <w:i w:val="0"/>
          <w:color w:val="000000"/>
          <w:sz w:val="22"/>
        </w:rPr>
        <w:t>Primaire technische evidence is de gescande bronset. Gegenereerde documentatie is ondersteunend: zij kan uitleg en navigatie bieden, maar is niet doorslaggevend wanneer zij afwijkt van scannerfacts of mappingexpressies.</w:t>
      </w:r>
    </w:p>
    <w:tbl>
      <w:tblPr>
        <w:tblStyle w:val="TableGrid"/>
        <w:tblW w:type="dxa" w:w="9360"/>
        <w:tblLayout w:type="fixed"/>
        <w:tblLook w:firstColumn="1" w:firstRow="1" w:lastColumn="0" w:lastRow="0" w:noHBand="0" w:noVBand="1" w:val="04A0"/>
        <w:tblInd w:w="120" w:type="dxa"/>
      </w:tblPr>
      <w:tblGrid>
        <w:gridCol w:w="2900"/>
        <w:gridCol w:w="4500"/>
        <w:gridCol w:w="1960"/>
      </w:tblGrid>
      <w:tr>
        <w:trPr>
          <w:tblHeader w:val="true"/>
        </w:trPr>
        <w:tc>
          <w:tcPr>
            <w:tcW w:type="dxa" w:w="2900"/>
            <w:vAlign w:val="center"/>
            <w:tcMar>
              <w:top w:w="80" w:type="dxa"/>
              <w:start w:w="120" w:type="dxa"/>
              <w:bottom w:w="80" w:type="dxa"/>
              <w:end w:w="120" w:type="dxa"/>
            </w:tcMar>
            <w:shd w:fill="F2F4F7"/>
          </w:tcPr>
          <w:p>
            <w:pPr>
              <w:spacing w:after="0"/>
            </w:pPr>
            <w:r>
              <w:rPr>
                <w:rFonts w:ascii="Arial" w:hAnsi="Arial"/>
                <w:b/>
                <w:color w:val="0B2545"/>
                <w:sz w:val="17"/>
              </w:rPr>
              <w:t>Bron</w:t>
            </w:r>
          </w:p>
        </w:tc>
        <w:tc>
          <w:tcPr>
            <w:tcW w:type="dxa" w:w="4500"/>
            <w:vAlign w:val="center"/>
            <w:tcMar>
              <w:top w:w="80" w:type="dxa"/>
              <w:start w:w="120" w:type="dxa"/>
              <w:bottom w:w="80" w:type="dxa"/>
              <w:end w:w="120" w:type="dxa"/>
            </w:tcMar>
            <w:shd w:fill="F2F4F7"/>
          </w:tcPr>
          <w:p>
            <w:pPr>
              <w:spacing w:after="0"/>
            </w:pPr>
            <w:r>
              <w:rPr>
                <w:rFonts w:ascii="Arial" w:hAnsi="Arial"/>
                <w:b/>
                <w:color w:val="0B2545"/>
                <w:sz w:val="17"/>
              </w:rPr>
              <w:t>Gebruik in dit dossier</w:t>
            </w:r>
          </w:p>
        </w:tc>
        <w:tc>
          <w:tcPr>
            <w:tcW w:type="dxa" w:w="1960"/>
            <w:vAlign w:val="center"/>
            <w:tcMar>
              <w:top w:w="80" w:type="dxa"/>
              <w:start w:w="120" w:type="dxa"/>
              <w:bottom w:w="80" w:type="dxa"/>
              <w:end w:w="120" w:type="dxa"/>
            </w:tcMar>
            <w:shd w:fill="F2F4F7"/>
          </w:tcPr>
          <w:p>
            <w:pPr>
              <w:spacing w:after="0"/>
            </w:pPr>
            <w:r>
              <w:rPr>
                <w:rFonts w:ascii="Arial" w:hAnsi="Arial"/>
                <w:b/>
                <w:color w:val="0B2545"/>
                <w:sz w:val="17"/>
              </w:rPr>
              <w:t>Status</w:t>
            </w:r>
          </w:p>
        </w:tc>
      </w:tr>
      <w:tr>
        <w:trPr>
          <w:cantSplit/>
        </w:trPr>
        <w:tc>
          <w:tcPr>
            <w:tcW w:type="dxa" w:w="2900"/>
          </w:tcPr>
          <w:p>
            <w:pPr>
              <w:spacing w:after="0"/>
            </w:pPr>
            <w:r>
              <w:rPr>
                <w:rFonts w:ascii="Arial" w:hAnsi="Arial"/>
                <w:color w:val="000000"/>
                <w:sz w:val="17"/>
              </w:rPr>
              <w:t>intodoc-output/werkorder/scan_result.json</w:t>
            </w:r>
          </w:p>
        </w:tc>
        <w:tc>
          <w:tcPr>
            <w:tcW w:type="dxa" w:w="4500"/>
          </w:tcPr>
          <w:p>
            <w:pPr>
              <w:spacing w:after="0"/>
            </w:pPr>
            <w:r>
              <w:rPr>
                <w:rFonts w:ascii="Arial" w:hAnsi="Arial"/>
                <w:color w:val="000000"/>
                <w:sz w:val="17"/>
              </w:rPr>
              <w:t>Job-/route-inventaris, componenten, tMap/tXMLMap-expressies, context- en connectionmetadata.</w:t>
            </w:r>
          </w:p>
        </w:tc>
        <w:tc>
          <w:tcPr>
            <w:tcW w:type="dxa" w:w="1960"/>
          </w:tcPr>
          <w:p>
            <w:pPr>
              <w:spacing w:after="0"/>
            </w:pPr>
            <w:r>
              <w:rPr>
                <w:rFonts w:ascii="Arial" w:hAnsi="Arial"/>
                <w:color w:val="000000"/>
                <w:sz w:val="17"/>
              </w:rPr>
              <w:t>Primair</w:t>
            </w:r>
          </w:p>
        </w:tc>
      </w:tr>
      <w:tr>
        <w:trPr>
          <w:cantSplit/>
        </w:trPr>
        <w:tc>
          <w:tcPr>
            <w:tcW w:type="dxa" w:w="2900"/>
          </w:tcPr>
          <w:p>
            <w:pPr>
              <w:spacing w:after="0"/>
            </w:pPr>
            <w:r>
              <w:rPr>
                <w:rFonts w:ascii="Arial" w:hAnsi="Arial"/>
                <w:color w:val="000000"/>
                <w:sz w:val="17"/>
              </w:rPr>
              <w:t>intodoc-output/werkorder/scan/meta.json</w:t>
            </w:r>
          </w:p>
        </w:tc>
        <w:tc>
          <w:tcPr>
            <w:tcW w:type="dxa" w:w="4500"/>
          </w:tcPr>
          <w:p>
            <w:pPr>
              <w:spacing w:after="0"/>
            </w:pPr>
            <w:r>
              <w:rPr>
                <w:rFonts w:ascii="Arial" w:hAnsi="Arial"/>
                <w:color w:val="000000"/>
                <w:sz w:val="17"/>
              </w:rPr>
              <w:t>Scope: 429 artefacten, 14 roots, versie-deduplicatie, scanstatistieken.</w:t>
            </w:r>
          </w:p>
        </w:tc>
        <w:tc>
          <w:tcPr>
            <w:tcW w:type="dxa" w:w="1960"/>
          </w:tcPr>
          <w:p>
            <w:pPr>
              <w:spacing w:after="0"/>
            </w:pPr>
            <w:r>
              <w:rPr>
                <w:rFonts w:ascii="Arial" w:hAnsi="Arial"/>
                <w:color w:val="000000"/>
                <w:sz w:val="17"/>
              </w:rPr>
              <w:t>Primair</w:t>
            </w:r>
          </w:p>
        </w:tc>
      </w:tr>
      <w:tr>
        <w:trPr>
          <w:cantSplit/>
        </w:trPr>
        <w:tc>
          <w:tcPr>
            <w:tcW w:type="dxa" w:w="2900"/>
          </w:tcPr>
          <w:p>
            <w:pPr>
              <w:spacing w:after="0"/>
            </w:pPr>
            <w:r>
              <w:rPr>
                <w:rFonts w:ascii="Arial" w:hAnsi="Arial"/>
                <w:color w:val="000000"/>
                <w:sz w:val="17"/>
              </w:rPr>
              <w:t>intodoc-output/werkorder/scan/lineage.json</w:t>
            </w:r>
          </w:p>
        </w:tc>
        <w:tc>
          <w:tcPr>
            <w:tcW w:type="dxa" w:w="4500"/>
          </w:tcPr>
          <w:p>
            <w:pPr>
              <w:spacing w:after="0"/>
            </w:pPr>
            <w:r>
              <w:rPr>
                <w:rFonts w:ascii="Arial" w:hAnsi="Arial"/>
                <w:color w:val="000000"/>
                <w:sz w:val="17"/>
              </w:rPr>
              <w:t>Lineage-overzicht en confidence; 2.222 entries, waaronder cross-job relaties.</w:t>
            </w:r>
          </w:p>
        </w:tc>
        <w:tc>
          <w:tcPr>
            <w:tcW w:type="dxa" w:w="1960"/>
          </w:tcPr>
          <w:p>
            <w:pPr>
              <w:spacing w:after="0"/>
            </w:pPr>
            <w:r>
              <w:rPr>
                <w:rFonts w:ascii="Arial" w:hAnsi="Arial"/>
                <w:color w:val="000000"/>
                <w:sz w:val="17"/>
              </w:rPr>
              <w:t>Primair</w:t>
            </w:r>
          </w:p>
        </w:tc>
      </w:tr>
      <w:tr>
        <w:trPr>
          <w:cantSplit/>
        </w:trPr>
        <w:tc>
          <w:tcPr>
            <w:tcW w:type="dxa" w:w="2900"/>
          </w:tcPr>
          <w:p>
            <w:pPr>
              <w:spacing w:after="0"/>
            </w:pPr>
            <w:r>
              <w:rPr>
                <w:rFonts w:ascii="Arial" w:hAnsi="Arial"/>
                <w:color w:val="000000"/>
                <w:sz w:val="17"/>
              </w:rPr>
              <w:t>output/werkorder/ETTM_part1/docs/_model_slices/phase3/01_ARCHITECTURE_MAP_slice_2.md</w:t>
            </w:r>
          </w:p>
        </w:tc>
        <w:tc>
          <w:tcPr>
            <w:tcW w:type="dxa" w:w="4500"/>
          </w:tcPr>
          <w:p>
            <w:pPr>
              <w:spacing w:after="0"/>
            </w:pPr>
            <w:r>
              <w:rPr>
                <w:rFonts w:ascii="Arial" w:hAnsi="Arial"/>
                <w:color w:val="000000"/>
                <w:sz w:val="17"/>
              </w:rPr>
              <w:t>JMS dependency map en ETTM/Maximo/4PS-architectuurcontext.</w:t>
            </w:r>
          </w:p>
        </w:tc>
        <w:tc>
          <w:tcPr>
            <w:tcW w:type="dxa" w:w="1960"/>
          </w:tcPr>
          <w:p>
            <w:pPr>
              <w:spacing w:after="0"/>
            </w:pPr>
            <w:r>
              <w:rPr>
                <w:rFonts w:ascii="Arial" w:hAnsi="Arial"/>
                <w:color w:val="000000"/>
                <w:sz w:val="17"/>
              </w:rPr>
              <w:t>Ondersteunend; gegenereerd</w:t>
            </w:r>
          </w:p>
        </w:tc>
      </w:tr>
      <w:tr>
        <w:trPr>
          <w:cantSplit/>
        </w:trPr>
        <w:tc>
          <w:tcPr>
            <w:tcW w:type="dxa" w:w="2900"/>
          </w:tcPr>
          <w:p>
            <w:pPr>
              <w:spacing w:after="0"/>
            </w:pPr>
            <w:r>
              <w:rPr>
                <w:rFonts w:ascii="Arial" w:hAnsi="Arial"/>
                <w:color w:val="000000"/>
                <w:sz w:val="17"/>
              </w:rPr>
              <w:t>output/werkorder/ETTM_part2/docs_staging/04_BUSINESS_RULES_AND_TRANSFORMATIONS.md</w:t>
            </w:r>
          </w:p>
        </w:tc>
        <w:tc>
          <w:tcPr>
            <w:tcW w:type="dxa" w:w="4500"/>
          </w:tcPr>
          <w:p>
            <w:pPr>
              <w:spacing w:after="0"/>
            </w:pPr>
            <w:r>
              <w:rPr>
                <w:rFonts w:ascii="Arial" w:hAnsi="Arial"/>
                <w:color w:val="000000"/>
                <w:sz w:val="17"/>
              </w:rPr>
              <w:t>Voorbeelden van status-/workordertransformaties en expliciete onbekenden.</w:t>
            </w:r>
          </w:p>
        </w:tc>
        <w:tc>
          <w:tcPr>
            <w:tcW w:type="dxa" w:w="1960"/>
          </w:tcPr>
          <w:p>
            <w:pPr>
              <w:spacing w:after="0"/>
            </w:pPr>
            <w:r>
              <w:rPr>
                <w:rFonts w:ascii="Arial" w:hAnsi="Arial"/>
                <w:color w:val="000000"/>
                <w:sz w:val="17"/>
              </w:rPr>
              <w:t>Ondersteunend; gegenereerd</w:t>
            </w:r>
          </w:p>
        </w:tc>
      </w:tr>
      <w:tr>
        <w:trPr>
          <w:cantSplit/>
        </w:trPr>
        <w:tc>
          <w:tcPr>
            <w:tcW w:type="dxa" w:w="2900"/>
          </w:tcPr>
          <w:p>
            <w:pPr>
              <w:spacing w:after="0"/>
            </w:pPr>
            <w:r>
              <w:rPr>
                <w:rFonts w:ascii="Arial" w:hAnsi="Arial"/>
                <w:color w:val="000000"/>
                <w:sz w:val="17"/>
              </w:rPr>
              <w:t>output/werkorder/Assetcheck/docs/03_DATA_FLOWS_AND_LINEAGE.md</w:t>
            </w:r>
          </w:p>
        </w:tc>
        <w:tc>
          <w:tcPr>
            <w:tcW w:type="dxa" w:w="4500"/>
          </w:tcPr>
          <w:p>
            <w:pPr>
              <w:spacing w:after="0"/>
            </w:pPr>
            <w:r>
              <w:rPr>
                <w:rFonts w:ascii="Arial" w:hAnsi="Arial"/>
                <w:color w:val="000000"/>
                <w:sz w:val="17"/>
              </w:rPr>
              <w:t>AssetCheck/Maximo/VISE-flowcontext.</w:t>
            </w:r>
          </w:p>
        </w:tc>
        <w:tc>
          <w:tcPr>
            <w:tcW w:type="dxa" w:w="1960"/>
          </w:tcPr>
          <w:p>
            <w:pPr>
              <w:spacing w:after="0"/>
            </w:pPr>
            <w:r>
              <w:rPr>
                <w:rFonts w:ascii="Arial" w:hAnsi="Arial"/>
                <w:color w:val="000000"/>
                <w:sz w:val="17"/>
              </w:rPr>
              <w:t>Ondersteunend; gegenereerd</w:t>
            </w:r>
          </w:p>
        </w:tc>
      </w:tr>
      <w:tr>
        <w:trPr>
          <w:cantSplit/>
        </w:trPr>
        <w:tc>
          <w:tcPr>
            <w:tcW w:type="dxa" w:w="2900"/>
          </w:tcPr>
          <w:p>
            <w:pPr>
              <w:spacing w:after="0"/>
            </w:pPr>
            <w:r>
              <w:rPr>
                <w:rFonts w:ascii="Arial" w:hAnsi="Arial"/>
                <w:color w:val="000000"/>
                <w:sz w:val="17"/>
              </w:rPr>
              <w:t>output/werkorder/ETTM_part2/docs_staging/cross_project_refs.md</w:t>
            </w:r>
          </w:p>
        </w:tc>
        <w:tc>
          <w:tcPr>
            <w:tcW w:type="dxa" w:w="4500"/>
          </w:tcPr>
          <w:p>
            <w:pPr>
              <w:spacing w:after="0"/>
            </w:pPr>
            <w:r>
              <w:rPr>
                <w:rFonts w:ascii="Arial" w:hAnsi="Arial"/>
                <w:color w:val="000000"/>
                <w:sz w:val="17"/>
              </w:rPr>
              <w:t>Deterministische ETTM→EnterpriseServiceBus-edge en gedeelde systemen.</w:t>
            </w:r>
          </w:p>
        </w:tc>
        <w:tc>
          <w:tcPr>
            <w:tcW w:type="dxa" w:w="1960"/>
          </w:tcPr>
          <w:p>
            <w:pPr>
              <w:spacing w:after="0"/>
            </w:pPr>
            <w:r>
              <w:rPr>
                <w:rFonts w:ascii="Arial" w:hAnsi="Arial"/>
                <w:color w:val="000000"/>
                <w:sz w:val="17"/>
              </w:rPr>
              <w:t>Ondersteunend; te cureren</w:t>
            </w:r>
          </w:p>
        </w:tc>
      </w:tr>
    </w:tbl>
    <w:p>
      <w:pPr>
        <w:spacing w:after="40"/>
      </w:pP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Arial" w:hAnsi="Arial"/>
                <w:b/>
                <w:color w:val="9B1C1C"/>
                <w:sz w:val="21"/>
              </w:rPr>
              <w:t xml:space="preserve">Publicatiebeperking: </w:t>
            </w:r>
            <w:r>
              <w:rPr>
                <w:rFonts w:ascii="Arial" w:hAnsi="Arial"/>
                <w:color w:val="9B1C1C"/>
                <w:sz w:val="21"/>
              </w:rPr>
              <w:t>Eerdere gegenereerde Werkorder-documenten waren niet client-ready omdat redaction- en provenance-gates nog bevindingen hadden. Dit dossier gebruikt uitsluitend veilige, geabstraheerde technische feiten en markeert afleidingen expliciet; het vervangt geen formele security- of businessvalidatie.</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573"/>
        <w:sz w:val="17"/>
      </w:rPr>
      <w:t xml:space="preserve">Vertrouwelijk — werkdocument | Pagina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color w:val="5B6573"/>
        <w:sz w:val="17"/>
      </w:rPr>
      <w:t>NEXUS | WerkOrder POC — Herontwerpinput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