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w:t>
      </w:r>
    </w:p>
    <w:p>
      <w:pPr>
        <w:pStyle w:val="Heading2"/>
      </w:pPr>
      <w:r>
        <w:t>1. Payment Terms</w:t>
      </w:r>
    </w:p>
    <w:p>
      <w:r>
        <w:t>The Client shall pay all undisputed invoices within thirty (30) days of receipt. Late payments accrue interest at one percent (1%) per month. Either party may dispute an invoice in good faith.</w:t>
      </w:r>
    </w:p>
    <w:p>
      <w:pPr>
        <w:pStyle w:val="Heading2"/>
      </w:pPr>
      <w:r>
        <w:t>2. Limitation of Liability</w:t>
      </w:r>
    </w:p>
    <w:p>
      <w:r>
        <w:t>In no event shall the Provider be subject to any limitation of liability, and the Provider expressly disclaims all caps; the Client shall bear unlimited liability for any and all damages arising under this Agreement.</w:t>
      </w:r>
    </w:p>
    <w:p>
      <w:pPr>
        <w:pStyle w:val="Heading2"/>
      </w:pPr>
      <w:r>
        <w:t>3. Confidentiality</w:t>
      </w:r>
    </w:p>
    <w:p>
      <w:r>
        <w:t>Each party shall protect the other party Confidential Information using reasonable care, and such obligations shall continue for a period of three (3) years following disclosure.</w:t>
      </w:r>
    </w:p>
    <w:p>
      <w:pPr>
        <w:pStyle w:val="Heading2"/>
      </w:pPr>
      <w:r>
        <w:t>4. Indemnification</w:t>
      </w:r>
    </w:p>
    <w:p>
      <w:r>
        <w:t>The Client shall indemnify, defend, and hold harmless the Provider from and against any and all claims, losses, and liabilities arising from this Agreement, regardless of fault or negligence of the Provider.</w:t>
      </w:r>
    </w:p>
    <w:p>
      <w:pPr>
        <w:pStyle w:val="Heading2"/>
      </w:pPr>
      <w:r>
        <w:t>5. Governing Law</w:t>
      </w:r>
    </w:p>
    <w:p>
      <w:r>
        <w:t>This Agreement shall be governed by and construed in accordance with the laws of the State of Delaware, without regard to its conflict-of-laws principles.</w:t>
      </w:r>
    </w:p>
    <w:p>
      <w:pPr>
        <w:pStyle w:val="Heading2"/>
      </w:pPr>
      <w:r>
        <w:t>6. Termination for Convenience</w:t>
      </w:r>
    </w:p>
    <w:p>
      <w:r>
        <w:t>The Provider may terminate this Agreement at any time, for any reason or no reason, effective immediately upon notice, and without any liability whatsoever to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