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B1F" w:rsidRPr="00A268F7" w:rsidRDefault="006F44FB" w:rsidP="00534B1F">
      <w:pPr>
        <w:jc w:val="center"/>
        <w:rPr>
          <w:b/>
          <w:sz w:val="28"/>
          <w:szCs w:val="28"/>
        </w:rPr>
      </w:pPr>
      <w:r>
        <w:rPr>
          <w:b/>
          <w:sz w:val="28"/>
          <w:szCs w:val="28"/>
        </w:rPr>
        <w:t>MGT</w:t>
      </w:r>
      <w:r w:rsidR="00534B1F" w:rsidRPr="00A268F7">
        <w:rPr>
          <w:b/>
          <w:sz w:val="28"/>
          <w:szCs w:val="28"/>
        </w:rPr>
        <w:t xml:space="preserve">4394 </w:t>
      </w:r>
      <w:r w:rsidR="00FF25A4">
        <w:rPr>
          <w:b/>
          <w:sz w:val="28"/>
          <w:szCs w:val="28"/>
        </w:rPr>
        <w:t>Final</w:t>
      </w:r>
      <w:r w:rsidR="00D525FC" w:rsidRPr="00A268F7">
        <w:rPr>
          <w:b/>
          <w:sz w:val="28"/>
          <w:szCs w:val="28"/>
        </w:rPr>
        <w:t xml:space="preserve"> Exam Instructions and Guidelines</w:t>
      </w:r>
      <w:r w:rsidR="00403501" w:rsidRPr="00A268F7">
        <w:rPr>
          <w:b/>
          <w:sz w:val="28"/>
          <w:szCs w:val="28"/>
        </w:rPr>
        <w:t xml:space="preserve"> for Students</w:t>
      </w:r>
    </w:p>
    <w:p w:rsidR="00176953" w:rsidRPr="00A268F7" w:rsidRDefault="008B51D1" w:rsidP="00534B1F">
      <w:pPr>
        <w:jc w:val="center"/>
        <w:rPr>
          <w:b/>
          <w:sz w:val="28"/>
          <w:szCs w:val="28"/>
        </w:rPr>
      </w:pPr>
      <w:r>
        <w:rPr>
          <w:b/>
          <w:sz w:val="28"/>
          <w:szCs w:val="28"/>
        </w:rPr>
        <w:t>Spring 2016</w:t>
      </w:r>
    </w:p>
    <w:p w:rsidR="008F045B" w:rsidRDefault="008F045B" w:rsidP="008F045B">
      <w:pPr>
        <w:jc w:val="center"/>
        <w:rPr>
          <w:sz w:val="20"/>
          <w:szCs w:val="20"/>
        </w:rPr>
      </w:pPr>
    </w:p>
    <w:p w:rsidR="007B5687" w:rsidRPr="00BC53D2" w:rsidRDefault="008D1388" w:rsidP="00BC53D2">
      <w:pPr>
        <w:jc w:val="center"/>
        <w:rPr>
          <w:b/>
        </w:rPr>
      </w:pPr>
      <w:r>
        <w:rPr>
          <w:b/>
        </w:rPr>
        <w:t xml:space="preserve">Sign-up </w:t>
      </w:r>
      <w:r w:rsidR="003E4788">
        <w:rPr>
          <w:b/>
        </w:rPr>
        <w:t xml:space="preserve">by </w:t>
      </w:r>
      <w:r w:rsidR="00825E79">
        <w:rPr>
          <w:b/>
        </w:rPr>
        <w:t>going to the Management Department Office (Pamplin 2007) and choosing a date and time.</w:t>
      </w:r>
    </w:p>
    <w:p w:rsidR="008F045B" w:rsidRPr="00A268F7" w:rsidRDefault="008F045B" w:rsidP="008F045B"/>
    <w:p w:rsidR="00260D71" w:rsidRPr="00260D71" w:rsidRDefault="00260D71" w:rsidP="00260D71">
      <w:pPr>
        <w:pStyle w:val="ListParagraph"/>
        <w:numPr>
          <w:ilvl w:val="0"/>
          <w:numId w:val="9"/>
        </w:numPr>
        <w:rPr>
          <w:color w:val="000000"/>
        </w:rPr>
      </w:pPr>
      <w:r w:rsidRPr="00260D71">
        <w:rPr>
          <w:color w:val="000000"/>
        </w:rPr>
        <w:t xml:space="preserve">The final exam is optional unless you missed one of the first 2 exams. You may also elect to take the final exam to replace another exam score. The final exam will consist of multiple choice questions and short answer MiniCase questions.  The highest two scores will count from among:  Exam1, Exam 2 and the Final Exam. </w:t>
      </w:r>
    </w:p>
    <w:p w:rsidR="00414FEB" w:rsidRPr="00A268F7" w:rsidRDefault="00260D71" w:rsidP="00260D71">
      <w:pPr>
        <w:tabs>
          <w:tab w:val="left" w:pos="7185"/>
        </w:tabs>
        <w:ind w:left="360"/>
      </w:pPr>
      <w:r>
        <w:tab/>
      </w:r>
    </w:p>
    <w:p w:rsidR="008F045B" w:rsidRPr="00A268F7" w:rsidRDefault="008F045B" w:rsidP="00E06BB2">
      <w:pPr>
        <w:numPr>
          <w:ilvl w:val="0"/>
          <w:numId w:val="9"/>
        </w:numPr>
      </w:pPr>
      <w:r w:rsidRPr="00A268F7">
        <w:t xml:space="preserve">Instructors are </w:t>
      </w:r>
      <w:r w:rsidRPr="00A268F7">
        <w:rPr>
          <w:b/>
        </w:rPr>
        <w:t>not</w:t>
      </w:r>
      <w:r w:rsidRPr="00A268F7">
        <w:t xml:space="preserve"> allowed to discuss the </w:t>
      </w:r>
      <w:r w:rsidR="008B51D1">
        <w:t xml:space="preserve">mini </w:t>
      </w:r>
      <w:r w:rsidRPr="00A268F7">
        <w:t>case</w:t>
      </w:r>
      <w:r w:rsidR="008B51D1">
        <w:t>s</w:t>
      </w:r>
      <w:r w:rsidRPr="00A268F7">
        <w:t xml:space="preserve"> </w:t>
      </w:r>
      <w:r w:rsidR="006C2FCD" w:rsidRPr="00A268F7">
        <w:t xml:space="preserve">or exam questions </w:t>
      </w:r>
      <w:r w:rsidRPr="00A268F7">
        <w:t>prior to the exam</w:t>
      </w:r>
      <w:r w:rsidR="00490404">
        <w:t>.</w:t>
      </w:r>
    </w:p>
    <w:p w:rsidR="00414FEB" w:rsidRPr="00A268F7" w:rsidRDefault="00414FEB" w:rsidP="003C1D3A">
      <w:pPr>
        <w:pStyle w:val="ListParagraph"/>
        <w:ind w:left="0"/>
      </w:pPr>
    </w:p>
    <w:p w:rsidR="002B09CE" w:rsidRDefault="00414FEB" w:rsidP="00E06BB2">
      <w:pPr>
        <w:numPr>
          <w:ilvl w:val="0"/>
          <w:numId w:val="9"/>
        </w:numPr>
      </w:pPr>
      <w:r w:rsidRPr="00A268F7">
        <w:t xml:space="preserve">No electronic communication devices are allowed, including laptops, cell phones and calculators. </w:t>
      </w:r>
    </w:p>
    <w:p w:rsidR="002B09CE" w:rsidRDefault="002B09CE" w:rsidP="003C1D3A">
      <w:pPr>
        <w:pStyle w:val="ListParagraph"/>
      </w:pPr>
    </w:p>
    <w:p w:rsidR="003E4788" w:rsidRDefault="00414FEB" w:rsidP="00E06BB2">
      <w:pPr>
        <w:numPr>
          <w:ilvl w:val="0"/>
          <w:numId w:val="9"/>
        </w:numPr>
      </w:pPr>
      <w:r w:rsidRPr="00A268F7">
        <w:t xml:space="preserve">This exam is closed book/closed notes.  To answer the </w:t>
      </w:r>
      <w:r w:rsidR="00AE0D8F">
        <w:t xml:space="preserve">short answer and essay </w:t>
      </w:r>
      <w:r w:rsidRPr="00A268F7">
        <w:t xml:space="preserve">questions, you </w:t>
      </w:r>
      <w:r w:rsidRPr="00AE0D8F">
        <w:t>must</w:t>
      </w:r>
      <w:r w:rsidRPr="00A268F7">
        <w:t xml:space="preserve"> analyze the </w:t>
      </w:r>
      <w:r w:rsidR="00453406">
        <w:t>3 minicases</w:t>
      </w:r>
      <w:r w:rsidRPr="00A268F7">
        <w:t xml:space="preserve"> </w:t>
      </w:r>
      <w:r w:rsidRPr="003E4788">
        <w:t>before</w:t>
      </w:r>
      <w:r w:rsidRPr="00A268F7">
        <w:t xml:space="preserve"> coming to take the exam. </w:t>
      </w:r>
      <w:r w:rsidR="00AE0D8F">
        <w:t>You will not be allowed to refer to the case, text or your notes during the exam.</w:t>
      </w:r>
      <w:r w:rsidR="00E06BB2">
        <w:t xml:space="preserve"> You are encouraged to work with your classmates (or any other strategy students) to study for the exam.</w:t>
      </w:r>
      <w:r w:rsidR="00453406">
        <w:t xml:space="preserve"> See the information below regarding the focus of each minicase.</w:t>
      </w:r>
    </w:p>
    <w:p w:rsidR="003E4788" w:rsidRPr="003E4788" w:rsidRDefault="003E4788" w:rsidP="003E4788">
      <w:pPr>
        <w:ind w:left="360"/>
      </w:pPr>
    </w:p>
    <w:p w:rsidR="00510D11" w:rsidRDefault="000613FB" w:rsidP="00E06BB2">
      <w:pPr>
        <w:numPr>
          <w:ilvl w:val="0"/>
          <w:numId w:val="9"/>
        </w:numPr>
      </w:pPr>
      <w:r w:rsidRPr="00E06BB2">
        <w:rPr>
          <w:b/>
          <w:i/>
        </w:rPr>
        <w:t xml:space="preserve">In order to </w:t>
      </w:r>
      <w:r w:rsidR="006F44FB" w:rsidRPr="00E06BB2">
        <w:rPr>
          <w:b/>
          <w:i/>
        </w:rPr>
        <w:t xml:space="preserve">take the final exam, </w:t>
      </w:r>
      <w:r w:rsidR="00AE0D8F" w:rsidRPr="00E06BB2">
        <w:rPr>
          <w:b/>
          <w:i/>
        </w:rPr>
        <w:t>you</w:t>
      </w:r>
      <w:r w:rsidRPr="00E06BB2">
        <w:rPr>
          <w:b/>
          <w:i/>
        </w:rPr>
        <w:t xml:space="preserve"> </w:t>
      </w:r>
      <w:r w:rsidRPr="009C4688">
        <w:rPr>
          <w:b/>
          <w:i/>
          <w:highlight w:val="yellow"/>
        </w:rPr>
        <w:t>must</w:t>
      </w:r>
      <w:r w:rsidRPr="00E06BB2">
        <w:rPr>
          <w:b/>
          <w:i/>
        </w:rPr>
        <w:t xml:space="preserve"> </w:t>
      </w:r>
      <w:r w:rsidR="006F44FB" w:rsidRPr="00E06BB2">
        <w:rPr>
          <w:b/>
          <w:i/>
        </w:rPr>
        <w:t xml:space="preserve">sign up </w:t>
      </w:r>
      <w:r w:rsidR="003E4788" w:rsidRPr="00E06BB2">
        <w:rPr>
          <w:b/>
          <w:i/>
        </w:rPr>
        <w:t>to tell me that you will be taking it</w:t>
      </w:r>
      <w:r w:rsidR="006F44FB">
        <w:t xml:space="preserve">. </w:t>
      </w:r>
      <w:r w:rsidR="008B51D1">
        <w:t xml:space="preserve">Go to the Management Department office (Pamplin 2007) to sign up for a specific date and time. </w:t>
      </w:r>
      <w:r w:rsidR="009C4688" w:rsidRPr="009C4688">
        <w:rPr>
          <w:b/>
          <w:i/>
        </w:rPr>
        <w:t xml:space="preserve">The deadline to sign up for a final exam time is 5pm Thursday </w:t>
      </w:r>
      <w:r w:rsidR="008B51D1">
        <w:rPr>
          <w:b/>
          <w:i/>
        </w:rPr>
        <w:t xml:space="preserve">May </w:t>
      </w:r>
      <w:r w:rsidR="007F49AA">
        <w:rPr>
          <w:b/>
          <w:i/>
        </w:rPr>
        <w:t>5th</w:t>
      </w:r>
      <w:r w:rsidR="009C4688" w:rsidRPr="009C4688">
        <w:rPr>
          <w:b/>
          <w:i/>
        </w:rPr>
        <w:t xml:space="preserve"> (reading day)</w:t>
      </w:r>
      <w:r w:rsidR="009C4688">
        <w:t>. If you change your mind about taking the exam (decide not to take it after signing up), please email to say you won’t be attending the final.</w:t>
      </w:r>
    </w:p>
    <w:p w:rsidR="003E4788" w:rsidRDefault="003E4788" w:rsidP="003E4788">
      <w:pPr>
        <w:pStyle w:val="ListParagraph"/>
      </w:pPr>
    </w:p>
    <w:p w:rsidR="003E4788" w:rsidRPr="00755306" w:rsidRDefault="00755306" w:rsidP="00E06BB2">
      <w:pPr>
        <w:numPr>
          <w:ilvl w:val="0"/>
          <w:numId w:val="9"/>
        </w:numPr>
        <w:rPr>
          <w:b/>
        </w:rPr>
      </w:pPr>
      <w:r>
        <w:t xml:space="preserve">The final exam schedule is below. </w:t>
      </w:r>
      <w:r w:rsidRPr="009C4688">
        <w:t>You may take your exam at any of the following times</w:t>
      </w:r>
      <w:r>
        <w:t>, but you need to</w:t>
      </w:r>
      <w:r w:rsidR="008B51D1">
        <w:t xml:space="preserve"> sign up for</w:t>
      </w:r>
      <w:r>
        <w:t xml:space="preserve"> what day/time you plan to take it. </w:t>
      </w:r>
      <w:r w:rsidR="009C4688">
        <w:t>Please note that some exams are being held in different rooms than where your class normally meets.</w:t>
      </w:r>
    </w:p>
    <w:p w:rsidR="00755306" w:rsidRDefault="00755306" w:rsidP="00755306"/>
    <w:tbl>
      <w:tblPr>
        <w:tblW w:w="6716" w:type="dxa"/>
        <w:tblInd w:w="2047" w:type="dxa"/>
        <w:tblLook w:val="04A0" w:firstRow="1" w:lastRow="0" w:firstColumn="1" w:lastColumn="0" w:noHBand="0" w:noVBand="1"/>
      </w:tblPr>
      <w:tblGrid>
        <w:gridCol w:w="1120"/>
        <w:gridCol w:w="1300"/>
        <w:gridCol w:w="1220"/>
        <w:gridCol w:w="1360"/>
        <w:gridCol w:w="1716"/>
      </w:tblGrid>
      <w:tr w:rsidR="008B51D1" w:rsidRPr="00F70A23" w:rsidTr="008F1DD1">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Exam Date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Exam start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Exam end</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Room</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Proctors</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color w:val="000000"/>
              </w:rPr>
            </w:pPr>
            <w:r w:rsidRPr="00F70A23">
              <w:rPr>
                <w:rFonts w:ascii="Calibri" w:hAnsi="Calibri"/>
                <w:color w:val="000000"/>
              </w:rPr>
              <w:t>6-May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7 45 AM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9 45 AM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PAM 2003</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Tegarden</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color w:val="000000"/>
              </w:rPr>
            </w:pPr>
            <w:r w:rsidRPr="00F70A23">
              <w:rPr>
                <w:rFonts w:ascii="Calibri" w:hAnsi="Calibri"/>
                <w:color w:val="000000"/>
              </w:rPr>
              <w:t>6-May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7 00 PM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9 00 PM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DURHM 261</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Lescop</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color w:val="000000"/>
              </w:rPr>
            </w:pPr>
            <w:r w:rsidRPr="00F70A23">
              <w:rPr>
                <w:rFonts w:ascii="Calibri" w:hAnsi="Calibri"/>
                <w:color w:val="000000"/>
              </w:rPr>
              <w:t>7-May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7 45 AM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9 45 AM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PAM 2001</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Tuggle</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color w:val="000000"/>
              </w:rPr>
            </w:pPr>
            <w:r w:rsidRPr="00F70A23">
              <w:rPr>
                <w:rFonts w:ascii="Calibri" w:hAnsi="Calibri"/>
                <w:color w:val="000000"/>
              </w:rPr>
              <w:t>7-May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3 25 PM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5 25 PM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GBJ 102</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Cortes</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color w:val="000000"/>
              </w:rPr>
            </w:pPr>
            <w:r w:rsidRPr="00F70A23">
              <w:rPr>
                <w:rFonts w:ascii="Calibri" w:hAnsi="Calibri"/>
                <w:color w:val="000000"/>
              </w:rPr>
              <w:t>7-May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7 00 PM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9 00 PM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PAM 2003</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Kennedy</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rPr>
            </w:pPr>
            <w:r w:rsidRPr="00F70A23">
              <w:rPr>
                <w:rFonts w:ascii="Calibri" w:hAnsi="Calibri"/>
              </w:rPr>
              <w:t>9-May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2 05 PM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4 05 PM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PAM 31</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Lescop/Samant</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rPr>
            </w:pPr>
            <w:r w:rsidRPr="00F70A23">
              <w:rPr>
                <w:rFonts w:ascii="Calibri" w:hAnsi="Calibri"/>
              </w:rPr>
              <w:t>9-May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4 25 PM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6 25 PM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DER 1090</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Cortes/Tuggle</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color w:val="000000"/>
              </w:rPr>
            </w:pPr>
            <w:r w:rsidRPr="00F70A23">
              <w:rPr>
                <w:rFonts w:ascii="Calibri" w:hAnsi="Calibri"/>
                <w:color w:val="000000"/>
              </w:rPr>
              <w:t>10-May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7 45 AM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9 45 AM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ROB 101</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Kennedy</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rPr>
            </w:pPr>
            <w:r w:rsidRPr="00F70A23">
              <w:rPr>
                <w:rFonts w:ascii="Calibri" w:hAnsi="Calibri"/>
              </w:rPr>
              <w:t>10-May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3 25 PM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5 25 PM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PAM 3010</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rPr>
            </w:pPr>
            <w:r w:rsidRPr="00F70A23">
              <w:rPr>
                <w:rFonts w:ascii="Calibri" w:hAnsi="Calibri"/>
              </w:rPr>
              <w:t>Lescop/Flynn</w:t>
            </w:r>
          </w:p>
        </w:tc>
      </w:tr>
      <w:tr w:rsidR="008B51D1" w:rsidRPr="00F70A23" w:rsidTr="008F1DD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51D1" w:rsidRPr="00F70A23" w:rsidRDefault="008B51D1" w:rsidP="008B1718">
            <w:pPr>
              <w:jc w:val="right"/>
              <w:rPr>
                <w:rFonts w:ascii="Calibri" w:hAnsi="Calibri"/>
                <w:color w:val="000000"/>
              </w:rPr>
            </w:pPr>
            <w:r w:rsidRPr="00F70A23">
              <w:rPr>
                <w:rFonts w:ascii="Calibri" w:hAnsi="Calibri"/>
                <w:color w:val="000000"/>
              </w:rPr>
              <w:t>11-May</w:t>
            </w:r>
          </w:p>
        </w:tc>
        <w:tc>
          <w:tcPr>
            <w:tcW w:w="130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1 05 PM</w:t>
            </w:r>
          </w:p>
        </w:tc>
        <w:tc>
          <w:tcPr>
            <w:tcW w:w="122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3 05 PM</w:t>
            </w:r>
          </w:p>
        </w:tc>
        <w:tc>
          <w:tcPr>
            <w:tcW w:w="1360"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ROB 101</w:t>
            </w:r>
          </w:p>
        </w:tc>
        <w:tc>
          <w:tcPr>
            <w:tcW w:w="1716" w:type="dxa"/>
            <w:tcBorders>
              <w:top w:val="nil"/>
              <w:left w:val="nil"/>
              <w:bottom w:val="single" w:sz="4" w:space="0" w:color="auto"/>
              <w:right w:val="single" w:sz="4" w:space="0" w:color="auto"/>
            </w:tcBorders>
            <w:shd w:val="clear" w:color="auto" w:fill="auto"/>
            <w:noWrap/>
            <w:vAlign w:val="bottom"/>
            <w:hideMark/>
          </w:tcPr>
          <w:p w:rsidR="008B51D1" w:rsidRPr="00F70A23" w:rsidRDefault="008B51D1" w:rsidP="008B1718">
            <w:pPr>
              <w:rPr>
                <w:rFonts w:ascii="Calibri" w:hAnsi="Calibri"/>
                <w:color w:val="000000"/>
              </w:rPr>
            </w:pPr>
            <w:r w:rsidRPr="00F70A23">
              <w:rPr>
                <w:rFonts w:ascii="Calibri" w:hAnsi="Calibri"/>
                <w:color w:val="000000"/>
              </w:rPr>
              <w:t>Cortes</w:t>
            </w:r>
          </w:p>
        </w:tc>
      </w:tr>
    </w:tbl>
    <w:p w:rsidR="00755306" w:rsidRPr="003E4788" w:rsidRDefault="00755306" w:rsidP="00755306">
      <w:pPr>
        <w:rPr>
          <w:b/>
        </w:rPr>
      </w:pPr>
    </w:p>
    <w:p w:rsidR="003E4788" w:rsidRPr="00E06BB2" w:rsidRDefault="00755306" w:rsidP="00E06BB2">
      <w:pPr>
        <w:ind w:left="720"/>
        <w:rPr>
          <w:b/>
        </w:rPr>
      </w:pPr>
      <w:r w:rsidRPr="00E06BB2">
        <w:rPr>
          <w:b/>
        </w:rPr>
        <w:t>Please NOTE: If nobody signs up for a particular time, the instructor will NOT go hang out to see if anyone shows up anyway—you MUST sign up in order to take the exam.</w:t>
      </w:r>
    </w:p>
    <w:p w:rsidR="002F2F13" w:rsidRDefault="006F44FB" w:rsidP="003E4788">
      <w:pPr>
        <w:ind w:left="3240" w:firstLine="360"/>
        <w:rPr>
          <w:b/>
        </w:rPr>
      </w:pPr>
      <w:r w:rsidRPr="003E4788">
        <w:rPr>
          <w:b/>
        </w:rPr>
        <w:lastRenderedPageBreak/>
        <w:t>Final</w:t>
      </w:r>
      <w:r w:rsidR="00BC53D2" w:rsidRPr="003E4788">
        <w:rPr>
          <w:b/>
        </w:rPr>
        <w:t xml:space="preserve"> Exam </w:t>
      </w:r>
      <w:r w:rsidR="008F045B" w:rsidRPr="003E4788">
        <w:rPr>
          <w:b/>
        </w:rPr>
        <w:t>Learning Objectives</w:t>
      </w:r>
    </w:p>
    <w:p w:rsidR="003E4788" w:rsidRPr="003E4788" w:rsidRDefault="003E4788" w:rsidP="003E4788">
      <w:pPr>
        <w:ind w:left="3240" w:firstLine="360"/>
        <w:rPr>
          <w:b/>
        </w:rPr>
      </w:pPr>
    </w:p>
    <w:p w:rsidR="00E86A11" w:rsidRDefault="00E06BB2" w:rsidP="00E06BB2">
      <w:pPr>
        <w:ind w:left="720"/>
      </w:pPr>
      <w:r>
        <w:t xml:space="preserve">1. </w:t>
      </w:r>
      <w:r w:rsidR="006C2FCD" w:rsidRPr="00A268F7">
        <w:t>Student</w:t>
      </w:r>
      <w:r w:rsidR="00725EC8">
        <w:t xml:space="preserve">s are expected to know the </w:t>
      </w:r>
      <w:r w:rsidR="000B0475" w:rsidRPr="00A268F7">
        <w:t xml:space="preserve">tools and frameworks </w:t>
      </w:r>
      <w:r>
        <w:t>the Rothaermel text, including terminology, from all of the chapters assigned during the semester.</w:t>
      </w:r>
      <w:r w:rsidR="004C7C80" w:rsidRPr="00A268F7">
        <w:t xml:space="preserve"> </w:t>
      </w:r>
    </w:p>
    <w:p w:rsidR="00250880" w:rsidRDefault="00250880" w:rsidP="00E06BB2"/>
    <w:p w:rsidR="002F2F13" w:rsidRPr="00A268F7" w:rsidRDefault="00103D35" w:rsidP="003C1D3A">
      <w:pPr>
        <w:pStyle w:val="ListParagraph"/>
      </w:pPr>
      <w:r w:rsidRPr="00A268F7">
        <w:t>This includes a</w:t>
      </w:r>
      <w:r w:rsidR="008F045B" w:rsidRPr="00A268F7">
        <w:t>pplication of strategy analysis tools</w:t>
      </w:r>
      <w:r w:rsidR="002F2F13" w:rsidRPr="00A268F7">
        <w:t>:</w:t>
      </w:r>
    </w:p>
    <w:p w:rsidR="002F2F13" w:rsidRPr="00A268F7" w:rsidRDefault="002F2F13" w:rsidP="003C1D3A">
      <w:pPr>
        <w:pStyle w:val="ListParagraph"/>
        <w:numPr>
          <w:ilvl w:val="0"/>
          <w:numId w:val="5"/>
        </w:numPr>
      </w:pPr>
      <w:r w:rsidRPr="00A268F7">
        <w:t>Setting and measuring strategic</w:t>
      </w:r>
      <w:r w:rsidR="00C151ED" w:rsidRPr="00A268F7">
        <w:t xml:space="preserve"> direction and goals</w:t>
      </w:r>
    </w:p>
    <w:p w:rsidR="002F2F13" w:rsidRPr="00A268F7" w:rsidRDefault="002F2F13" w:rsidP="003C1D3A">
      <w:pPr>
        <w:pStyle w:val="ListParagraph"/>
        <w:numPr>
          <w:ilvl w:val="0"/>
          <w:numId w:val="5"/>
        </w:numPr>
      </w:pPr>
      <w:r w:rsidRPr="00A268F7">
        <w:t>E</w:t>
      </w:r>
      <w:r w:rsidR="008F045B" w:rsidRPr="00A268F7">
        <w:t>xternal analysis</w:t>
      </w:r>
      <w:r w:rsidR="008A7B73" w:rsidRPr="00A268F7">
        <w:t>--general environment</w:t>
      </w:r>
      <w:r w:rsidR="00E06BB2">
        <w:t xml:space="preserve"> (PESTEL)</w:t>
      </w:r>
      <w:r w:rsidR="008A7B73" w:rsidRPr="00A268F7">
        <w:t>, Porter’s Five Forces;</w:t>
      </w:r>
      <w:r w:rsidRPr="00A268F7">
        <w:t xml:space="preserve"> strategic groups</w:t>
      </w:r>
    </w:p>
    <w:p w:rsidR="002F2F13" w:rsidRPr="00A268F7" w:rsidRDefault="002F2F13" w:rsidP="003C1D3A">
      <w:pPr>
        <w:pStyle w:val="ListParagraph"/>
        <w:numPr>
          <w:ilvl w:val="0"/>
          <w:numId w:val="5"/>
        </w:numPr>
      </w:pPr>
      <w:r w:rsidRPr="00A268F7">
        <w:t>I</w:t>
      </w:r>
      <w:r w:rsidR="000B0475" w:rsidRPr="00A268F7">
        <w:t>nternal analysis—</w:t>
      </w:r>
      <w:r w:rsidRPr="00A268F7">
        <w:t>value chain, r</w:t>
      </w:r>
      <w:r w:rsidR="000B0475" w:rsidRPr="00A268F7">
        <w:t>esource-based view</w:t>
      </w:r>
      <w:r w:rsidRPr="00A268F7">
        <w:t>, evaluating firm performance</w:t>
      </w:r>
      <w:r w:rsidR="00414FEB" w:rsidRPr="00A268F7">
        <w:t>, ratio analysis</w:t>
      </w:r>
      <w:r w:rsidR="00E06BB2">
        <w:t>, VRIO</w:t>
      </w:r>
      <w:r w:rsidRPr="00A268F7">
        <w:t xml:space="preserve"> </w:t>
      </w:r>
    </w:p>
    <w:p w:rsidR="002F2F13" w:rsidRDefault="00BC53D2" w:rsidP="003C1D3A">
      <w:pPr>
        <w:pStyle w:val="ListParagraph"/>
        <w:numPr>
          <w:ilvl w:val="0"/>
          <w:numId w:val="5"/>
        </w:numPr>
      </w:pPr>
      <w:r>
        <w:t>Generic Competitive Strategy (Business-Level Strategy)</w:t>
      </w:r>
      <w:r w:rsidR="002F2F13" w:rsidRPr="00A268F7">
        <w:t>—types of competitive advantage and sustainability, strategic implica</w:t>
      </w:r>
      <w:r w:rsidR="00860D4E" w:rsidRPr="00A268F7">
        <w:t>tions, willingness to pay</w:t>
      </w:r>
    </w:p>
    <w:p w:rsidR="001A09FF" w:rsidRDefault="001A09FF" w:rsidP="003C1D3A">
      <w:pPr>
        <w:pStyle w:val="ListParagraph"/>
        <w:numPr>
          <w:ilvl w:val="0"/>
          <w:numId w:val="5"/>
        </w:numPr>
      </w:pPr>
      <w:r>
        <w:t>Innovation and technology strategy – Innovation and the Industry Life cycle stages, crossing the chasm, Types of innovation including disruption</w:t>
      </w:r>
      <w:bookmarkStart w:id="0" w:name="_GoBack"/>
      <w:bookmarkEnd w:id="0"/>
    </w:p>
    <w:p w:rsidR="003524D3" w:rsidRDefault="003524D3" w:rsidP="003C1D3A">
      <w:pPr>
        <w:pStyle w:val="ListParagraph"/>
        <w:numPr>
          <w:ilvl w:val="0"/>
          <w:numId w:val="5"/>
        </w:numPr>
      </w:pPr>
      <w:r>
        <w:t>Corporate-Level Strategy</w:t>
      </w:r>
      <w:r w:rsidRPr="00A268F7">
        <w:t xml:space="preserve">—types of </w:t>
      </w:r>
      <w:r>
        <w:t>diversification</w:t>
      </w:r>
      <w:r w:rsidRPr="00A268F7">
        <w:t>,</w:t>
      </w:r>
      <w:r>
        <w:t xml:space="preserve"> </w:t>
      </w:r>
      <w:r w:rsidR="00AE0D8F">
        <w:t xml:space="preserve">types of vertical integration, </w:t>
      </w:r>
      <w:r>
        <w:t>BCG Matrix</w:t>
      </w:r>
      <w:r w:rsidR="0064774F">
        <w:t>, M</w:t>
      </w:r>
      <w:r w:rsidR="00AE0D8F">
        <w:t xml:space="preserve">ergers </w:t>
      </w:r>
      <w:r w:rsidR="0064774F">
        <w:t>&amp;</w:t>
      </w:r>
      <w:r w:rsidR="00AE0D8F">
        <w:t xml:space="preserve"> </w:t>
      </w:r>
      <w:r w:rsidR="0064774F">
        <w:t>A</w:t>
      </w:r>
      <w:r w:rsidR="00AE0D8F">
        <w:t>cquisitions</w:t>
      </w:r>
    </w:p>
    <w:p w:rsidR="0064774F" w:rsidRDefault="0064774F" w:rsidP="003C1D3A">
      <w:pPr>
        <w:pStyle w:val="ListParagraph"/>
        <w:numPr>
          <w:ilvl w:val="0"/>
          <w:numId w:val="5"/>
        </w:numPr>
      </w:pPr>
      <w:r>
        <w:t>International Strategy</w:t>
      </w:r>
      <w:r w:rsidR="00725EC8" w:rsidRPr="00A268F7">
        <w:t>—</w:t>
      </w:r>
      <w:r w:rsidR="00E06BB2">
        <w:t>Entry modes, CAGE framework, Porter’s Diamond, International strategies</w:t>
      </w:r>
    </w:p>
    <w:p w:rsidR="0064774F" w:rsidRPr="00A268F7" w:rsidRDefault="0064774F" w:rsidP="003C1D3A">
      <w:pPr>
        <w:pStyle w:val="ListParagraph"/>
        <w:numPr>
          <w:ilvl w:val="0"/>
          <w:numId w:val="5"/>
        </w:numPr>
      </w:pPr>
      <w:r>
        <w:t>Strategy Implementation</w:t>
      </w:r>
      <w:r w:rsidR="00725EC8" w:rsidRPr="00A268F7">
        <w:t>—</w:t>
      </w:r>
      <w:r w:rsidR="00E33C40">
        <w:t xml:space="preserve">structure, </w:t>
      </w:r>
      <w:r w:rsidR="00725EC8">
        <w:t>strategic control</w:t>
      </w:r>
    </w:p>
    <w:p w:rsidR="00860D4E" w:rsidRPr="00A268F7" w:rsidRDefault="00860D4E" w:rsidP="003C1D3A">
      <w:pPr>
        <w:ind w:left="1080" w:hanging="720"/>
      </w:pPr>
    </w:p>
    <w:p w:rsidR="000B0475" w:rsidRPr="00A268F7" w:rsidRDefault="002F2F13" w:rsidP="00E06BB2">
      <w:pPr>
        <w:ind w:firstLine="720"/>
      </w:pPr>
      <w:r w:rsidRPr="00A268F7">
        <w:t>2</w:t>
      </w:r>
      <w:r w:rsidR="000025A7" w:rsidRPr="00A268F7">
        <w:t>.</w:t>
      </w:r>
      <w:r w:rsidR="00E06BB2">
        <w:t xml:space="preserve"> </w:t>
      </w:r>
      <w:r w:rsidRPr="00A268F7">
        <w:t xml:space="preserve">Students are expected to know and apply a strategic problem solving process: </w:t>
      </w:r>
    </w:p>
    <w:p w:rsidR="000B0475" w:rsidRPr="00A268F7" w:rsidRDefault="002F2F13" w:rsidP="003C1D3A">
      <w:pPr>
        <w:pStyle w:val="ListParagraph"/>
        <w:numPr>
          <w:ilvl w:val="0"/>
          <w:numId w:val="7"/>
        </w:numPr>
      </w:pPr>
      <w:r w:rsidRPr="00A268F7">
        <w:t>A</w:t>
      </w:r>
      <w:r w:rsidR="000B0475" w:rsidRPr="00A268F7">
        <w:t>nalyze</w:t>
      </w:r>
      <w:r w:rsidR="00485757" w:rsidRPr="00A268F7">
        <w:t xml:space="preserve"> a situation using th</w:t>
      </w:r>
      <w:r w:rsidR="000025A7" w:rsidRPr="00A268F7">
        <w:t>e tools and frameworks</w:t>
      </w:r>
    </w:p>
    <w:p w:rsidR="000B0475" w:rsidRPr="00A268F7" w:rsidRDefault="002F2F13" w:rsidP="003C1D3A">
      <w:pPr>
        <w:pStyle w:val="ListParagraph"/>
        <w:numPr>
          <w:ilvl w:val="0"/>
          <w:numId w:val="7"/>
        </w:numPr>
      </w:pPr>
      <w:r w:rsidRPr="00A268F7">
        <w:t>R</w:t>
      </w:r>
      <w:r w:rsidR="00485757" w:rsidRPr="00A268F7">
        <w:t xml:space="preserve">each the </w:t>
      </w:r>
      <w:r w:rsidR="004C7C80" w:rsidRPr="00A268F7">
        <w:t>approp</w:t>
      </w:r>
      <w:r w:rsidR="006C2FCD" w:rsidRPr="00A268F7">
        <w:t>r</w:t>
      </w:r>
      <w:r w:rsidR="004C7C80" w:rsidRPr="00A268F7">
        <w:t>i</w:t>
      </w:r>
      <w:r w:rsidR="006C2FCD" w:rsidRPr="00A268F7">
        <w:t>ate</w:t>
      </w:r>
      <w:r w:rsidR="00485757" w:rsidRPr="00A268F7">
        <w:t xml:space="preserve"> conclusions using the tools/frameworks</w:t>
      </w:r>
    </w:p>
    <w:p w:rsidR="00103D35" w:rsidRPr="00A268F7" w:rsidRDefault="002F2F13" w:rsidP="003C1D3A">
      <w:pPr>
        <w:pStyle w:val="ListParagraph"/>
        <w:numPr>
          <w:ilvl w:val="0"/>
          <w:numId w:val="7"/>
        </w:numPr>
      </w:pPr>
      <w:r w:rsidRPr="00A268F7">
        <w:t>D</w:t>
      </w:r>
      <w:r w:rsidR="00861751" w:rsidRPr="00A268F7">
        <w:t>raw out implications for the firm from their analysis</w:t>
      </w:r>
      <w:r w:rsidR="00E06BB2">
        <w:t xml:space="preserve"> (e.g.,</w:t>
      </w:r>
      <w:r w:rsidR="00453406">
        <w:t>w</w:t>
      </w:r>
      <w:r w:rsidR="000B0475" w:rsidRPr="00A268F7">
        <w:t>hat does the analysis mean regarding the future direction of the firm?</w:t>
      </w:r>
      <w:r w:rsidR="00103D35" w:rsidRPr="00A268F7">
        <w:t>)</w:t>
      </w:r>
      <w:r w:rsidR="000B0475" w:rsidRPr="00A268F7">
        <w:t xml:space="preserve"> </w:t>
      </w:r>
    </w:p>
    <w:p w:rsidR="000B0475" w:rsidRPr="00A268F7" w:rsidRDefault="002F2F13" w:rsidP="003C1D3A">
      <w:pPr>
        <w:pStyle w:val="ListParagraph"/>
        <w:numPr>
          <w:ilvl w:val="0"/>
          <w:numId w:val="7"/>
        </w:numPr>
      </w:pPr>
      <w:r w:rsidRPr="00A268F7">
        <w:t>I</w:t>
      </w:r>
      <w:r w:rsidR="00103D35" w:rsidRPr="00A268F7">
        <w:t>ntegrate the analysis and conclusions into a cohesive set of issues/problems that the firm is facing</w:t>
      </w:r>
      <w:r w:rsidR="000B0475" w:rsidRPr="00A268F7">
        <w:t>.</w:t>
      </w:r>
    </w:p>
    <w:p w:rsidR="00103D35" w:rsidRPr="003C1D3A" w:rsidRDefault="000025A7" w:rsidP="003C1D3A">
      <w:pPr>
        <w:pStyle w:val="ListParagraph"/>
        <w:numPr>
          <w:ilvl w:val="0"/>
          <w:numId w:val="7"/>
        </w:numPr>
        <w:rPr>
          <w:b/>
        </w:rPr>
      </w:pPr>
      <w:r w:rsidRPr="00A268F7">
        <w:t>I</w:t>
      </w:r>
      <w:r w:rsidR="00103D35" w:rsidRPr="00A268F7">
        <w:t>dentify and evaluate alternatives to address the implications (issues) from their analysis</w:t>
      </w:r>
      <w:r w:rsidRPr="00A268F7">
        <w:t xml:space="preserve"> using appropriate criteria drawn from g</w:t>
      </w:r>
      <w:r w:rsidR="002C341A" w:rsidRPr="00A268F7">
        <w:t>oals, return on investments,</w:t>
      </w:r>
      <w:r w:rsidRPr="00A268F7">
        <w:t xml:space="preserve"> competitive advantage (industry position, resources/capabilities,</w:t>
      </w:r>
      <w:r w:rsidR="00242447">
        <w:t xml:space="preserve"> </w:t>
      </w:r>
      <w:r w:rsidRPr="00A268F7">
        <w:t>and generic competitive strategy)</w:t>
      </w:r>
      <w:r w:rsidR="002C341A" w:rsidRPr="00A268F7">
        <w:t>, and implementation issues</w:t>
      </w:r>
      <w:r w:rsidR="00490404">
        <w:t>.</w:t>
      </w:r>
    </w:p>
    <w:p w:rsidR="00490404" w:rsidRDefault="00490404" w:rsidP="0064774F">
      <w:pPr>
        <w:ind w:left="720" w:hanging="720"/>
      </w:pPr>
    </w:p>
    <w:p w:rsidR="00490404" w:rsidRDefault="00B035CE" w:rsidP="0064774F">
      <w:pPr>
        <w:ind w:left="720" w:hanging="720"/>
        <w:jc w:val="center"/>
        <w:rPr>
          <w:b/>
        </w:rPr>
      </w:pPr>
      <w:r>
        <w:rPr>
          <w:b/>
        </w:rPr>
        <w:t xml:space="preserve">Exam </w:t>
      </w:r>
      <w:r w:rsidR="00490404" w:rsidRPr="00490404">
        <w:rPr>
          <w:b/>
        </w:rPr>
        <w:t>Format</w:t>
      </w:r>
    </w:p>
    <w:p w:rsidR="00672C35" w:rsidRPr="00490404" w:rsidRDefault="00672C35" w:rsidP="0064774F">
      <w:pPr>
        <w:ind w:left="720" w:hanging="720"/>
        <w:jc w:val="center"/>
        <w:rPr>
          <w:b/>
        </w:rPr>
      </w:pPr>
    </w:p>
    <w:tbl>
      <w:tblPr>
        <w:tblStyle w:val="TableGrid"/>
        <w:tblW w:w="9875" w:type="dxa"/>
        <w:tblLayout w:type="fixed"/>
        <w:tblCellMar>
          <w:left w:w="29" w:type="dxa"/>
          <w:right w:w="29" w:type="dxa"/>
        </w:tblCellMar>
        <w:tblLook w:val="04A0" w:firstRow="1" w:lastRow="0" w:firstColumn="1" w:lastColumn="0" w:noHBand="0" w:noVBand="1"/>
      </w:tblPr>
      <w:tblGrid>
        <w:gridCol w:w="5643"/>
        <w:gridCol w:w="4232"/>
      </w:tblGrid>
      <w:tr w:rsidR="008B51D1" w:rsidRPr="00F8118D" w:rsidTr="008B1718">
        <w:trPr>
          <w:cantSplit/>
        </w:trPr>
        <w:tc>
          <w:tcPr>
            <w:tcW w:w="2880" w:type="dxa"/>
            <w:tcBorders>
              <w:top w:val="single" w:sz="4" w:space="0" w:color="auto"/>
              <w:left w:val="single" w:sz="4" w:space="0" w:color="auto"/>
              <w:bottom w:val="single" w:sz="4" w:space="0" w:color="auto"/>
              <w:right w:val="single" w:sz="4" w:space="0" w:color="auto"/>
            </w:tcBorders>
            <w:vAlign w:val="center"/>
            <w:hideMark/>
          </w:tcPr>
          <w:p w:rsidR="008B51D1" w:rsidRPr="00217F61" w:rsidRDefault="008B51D1" w:rsidP="008B1718">
            <w:pPr>
              <w:tabs>
                <w:tab w:val="right" w:pos="7200"/>
                <w:tab w:val="left" w:pos="8640"/>
              </w:tabs>
              <w:ind w:left="288" w:hanging="144"/>
              <w:jc w:val="center"/>
              <w:rPr>
                <w:b/>
                <w:bCs/>
                <w:iCs/>
                <w:color w:val="000000"/>
                <w:sz w:val="20"/>
                <w:szCs w:val="20"/>
              </w:rPr>
            </w:pPr>
            <w:r w:rsidRPr="00217F61">
              <w:rPr>
                <w:b/>
                <w:bCs/>
                <w:iCs/>
                <w:color w:val="000000"/>
                <w:sz w:val="20"/>
                <w:szCs w:val="20"/>
              </w:rPr>
              <w:t xml:space="preserve">MiniCases:  </w:t>
            </w:r>
          </w:p>
          <w:p w:rsidR="008B51D1" w:rsidRPr="00217F61" w:rsidRDefault="008B51D1" w:rsidP="008B1718">
            <w:pPr>
              <w:tabs>
                <w:tab w:val="right" w:pos="7200"/>
                <w:tab w:val="left" w:pos="8640"/>
              </w:tabs>
              <w:ind w:left="288" w:hanging="144"/>
              <w:jc w:val="center"/>
              <w:rPr>
                <w:b/>
                <w:bCs/>
                <w:iCs/>
                <w:color w:val="000000"/>
                <w:sz w:val="20"/>
                <w:szCs w:val="20"/>
              </w:rPr>
            </w:pPr>
            <w:r w:rsidRPr="00217F61">
              <w:rPr>
                <w:b/>
                <w:bCs/>
                <w:iCs/>
                <w:color w:val="000000"/>
                <w:sz w:val="20"/>
                <w:szCs w:val="20"/>
              </w:rPr>
              <w:t>7 LVMH in China, 14 Rise of Samsung, 19 Sony</w:t>
            </w:r>
          </w:p>
          <w:p w:rsidR="008B51D1" w:rsidRPr="00AD0411" w:rsidRDefault="008B51D1" w:rsidP="008B1718">
            <w:pPr>
              <w:tabs>
                <w:tab w:val="right" w:pos="7200"/>
                <w:tab w:val="left" w:pos="8640"/>
              </w:tabs>
              <w:ind w:left="288" w:hanging="144"/>
              <w:jc w:val="center"/>
              <w:rPr>
                <w:bCs/>
                <w:iCs/>
                <w:color w:val="000000"/>
                <w:sz w:val="20"/>
                <w:szCs w:val="20"/>
              </w:rPr>
            </w:pPr>
            <w:r>
              <w:rPr>
                <w:bCs/>
                <w:i/>
                <w:iCs/>
                <w:color w:val="000000"/>
                <w:sz w:val="20"/>
                <w:szCs w:val="20"/>
              </w:rPr>
              <w:t xml:space="preserve">30% - </w:t>
            </w:r>
            <w:r w:rsidRPr="00D136F4">
              <w:rPr>
                <w:bCs/>
                <w:i/>
                <w:iCs/>
                <w:color w:val="000000"/>
                <w:sz w:val="20"/>
                <w:szCs w:val="20"/>
              </w:rPr>
              <w:t xml:space="preserve">3 short answer questions, one per </w:t>
            </w:r>
            <w:r>
              <w:rPr>
                <w:bCs/>
                <w:i/>
                <w:iCs/>
                <w:color w:val="000000"/>
                <w:sz w:val="20"/>
                <w:szCs w:val="20"/>
              </w:rPr>
              <w:t>MiniC</w:t>
            </w:r>
            <w:r w:rsidRPr="00D136F4">
              <w:rPr>
                <w:bCs/>
                <w:i/>
                <w:iCs/>
                <w:color w:val="000000"/>
                <w:sz w:val="20"/>
                <w:szCs w:val="20"/>
              </w:rPr>
              <w:t>ase derived from the MiniCase discussion questions</w:t>
            </w:r>
          </w:p>
        </w:tc>
        <w:tc>
          <w:tcPr>
            <w:tcW w:w="2160" w:type="dxa"/>
            <w:tcBorders>
              <w:top w:val="single" w:sz="4" w:space="0" w:color="auto"/>
              <w:left w:val="single" w:sz="4" w:space="0" w:color="auto"/>
              <w:bottom w:val="single" w:sz="4" w:space="0" w:color="auto"/>
              <w:right w:val="single" w:sz="4" w:space="0" w:color="auto"/>
            </w:tcBorders>
            <w:vAlign w:val="center"/>
          </w:tcPr>
          <w:p w:rsidR="008B51D1" w:rsidRDefault="008B51D1" w:rsidP="008B1718">
            <w:pPr>
              <w:keepLines/>
              <w:tabs>
                <w:tab w:val="right" w:pos="7200"/>
                <w:tab w:val="left" w:pos="8640"/>
              </w:tabs>
              <w:ind w:left="288" w:hanging="144"/>
              <w:jc w:val="center"/>
              <w:rPr>
                <w:bCs/>
                <w:iCs/>
                <w:color w:val="000000"/>
                <w:sz w:val="20"/>
                <w:szCs w:val="20"/>
              </w:rPr>
            </w:pPr>
            <w:r>
              <w:rPr>
                <w:bCs/>
                <w:iCs/>
                <w:color w:val="000000"/>
                <w:sz w:val="20"/>
                <w:szCs w:val="20"/>
              </w:rPr>
              <w:t>Chapters 1 – 11</w:t>
            </w:r>
          </w:p>
          <w:p w:rsidR="008B51D1" w:rsidRPr="00F8118D" w:rsidRDefault="008B51D1" w:rsidP="008B1718">
            <w:pPr>
              <w:keepLines/>
              <w:tabs>
                <w:tab w:val="right" w:pos="7200"/>
                <w:tab w:val="left" w:pos="8640"/>
              </w:tabs>
              <w:ind w:left="288" w:hanging="144"/>
              <w:jc w:val="center"/>
              <w:rPr>
                <w:bCs/>
                <w:i/>
                <w:iCs/>
                <w:color w:val="000000"/>
                <w:sz w:val="20"/>
                <w:szCs w:val="20"/>
              </w:rPr>
            </w:pPr>
            <w:r>
              <w:rPr>
                <w:bCs/>
                <w:i/>
                <w:iCs/>
                <w:color w:val="000000"/>
                <w:sz w:val="20"/>
                <w:szCs w:val="20"/>
              </w:rPr>
              <w:t xml:space="preserve">70% - </w:t>
            </w:r>
            <w:r w:rsidRPr="00F8118D">
              <w:rPr>
                <w:bCs/>
                <w:i/>
                <w:iCs/>
                <w:color w:val="000000"/>
                <w:sz w:val="20"/>
                <w:szCs w:val="20"/>
              </w:rPr>
              <w:t>55 Multiple Choice Questions, 5 per chapter</w:t>
            </w:r>
          </w:p>
        </w:tc>
      </w:tr>
    </w:tbl>
    <w:p w:rsidR="00510D11" w:rsidRDefault="00510D11" w:rsidP="008B51D1">
      <w:pPr>
        <w:ind w:firstLine="720"/>
      </w:pPr>
    </w:p>
    <w:p w:rsidR="008E10C2" w:rsidRPr="00FE29E1" w:rsidRDefault="008E10C2" w:rsidP="008E10C2">
      <w:pPr>
        <w:rPr>
          <w:b/>
          <w:bCs/>
          <w:iCs/>
          <w:color w:val="000000"/>
        </w:rPr>
      </w:pPr>
      <w:r w:rsidRPr="00FE29E1">
        <w:rPr>
          <w:b/>
          <w:bCs/>
          <w:iCs/>
          <w:color w:val="000000"/>
        </w:rPr>
        <w:t>7 LVMH in China</w:t>
      </w:r>
      <w:r w:rsidRPr="00FE29E1">
        <w:rPr>
          <w:b/>
          <w:bCs/>
          <w:iCs/>
          <w:color w:val="000000"/>
        </w:rPr>
        <w:t xml:space="preserve">. </w:t>
      </w:r>
    </w:p>
    <w:p w:rsidR="008E10C2" w:rsidRPr="00FE29E1" w:rsidRDefault="008E10C2" w:rsidP="008E10C2">
      <w:pPr>
        <w:rPr>
          <w:b/>
          <w:bCs/>
          <w:iCs/>
          <w:color w:val="000000"/>
        </w:rPr>
      </w:pPr>
    </w:p>
    <w:p w:rsidR="008E10C2" w:rsidRPr="00FE29E1" w:rsidRDefault="008E10C2" w:rsidP="008E10C2">
      <w:pPr>
        <w:ind w:left="720"/>
        <w:rPr>
          <w:b/>
          <w:bCs/>
          <w:iCs/>
          <w:color w:val="000000"/>
        </w:rPr>
      </w:pPr>
      <w:r w:rsidRPr="00FE29E1">
        <w:rPr>
          <w:b/>
          <w:bCs/>
          <w:iCs/>
          <w:color w:val="000000"/>
        </w:rPr>
        <w:t>The discussion questions center on the luxury goods market and competitive advantage. You should be able to answer business-level strategy questions linked external and internal analysis, and their generic competitive strategy including sources of competitive advantage. Be sure to analyze this case using tools and concepts from Chapters 3 through 6.</w:t>
      </w:r>
    </w:p>
    <w:p w:rsidR="008E10C2" w:rsidRPr="00FE29E1" w:rsidRDefault="008E10C2" w:rsidP="008E10C2">
      <w:pPr>
        <w:ind w:left="720"/>
        <w:rPr>
          <w:b/>
          <w:bCs/>
          <w:iCs/>
          <w:color w:val="000000"/>
        </w:rPr>
      </w:pPr>
    </w:p>
    <w:p w:rsidR="008E10C2" w:rsidRPr="00FE29E1" w:rsidRDefault="00782E1A" w:rsidP="008E10C2">
      <w:pPr>
        <w:rPr>
          <w:b/>
          <w:bCs/>
          <w:iCs/>
          <w:color w:val="000000"/>
        </w:rPr>
      </w:pPr>
      <w:r w:rsidRPr="00FE29E1">
        <w:rPr>
          <w:b/>
          <w:bCs/>
          <w:iCs/>
          <w:color w:val="000000"/>
        </w:rPr>
        <w:t>14 The Rise of Samsung Electronics</w:t>
      </w:r>
    </w:p>
    <w:p w:rsidR="00782E1A" w:rsidRPr="00FE29E1" w:rsidRDefault="00782E1A" w:rsidP="008E10C2">
      <w:pPr>
        <w:rPr>
          <w:b/>
          <w:bCs/>
          <w:iCs/>
          <w:color w:val="000000"/>
        </w:rPr>
      </w:pPr>
    </w:p>
    <w:p w:rsidR="00782E1A" w:rsidRDefault="00782E1A" w:rsidP="00782E1A">
      <w:pPr>
        <w:ind w:left="720"/>
        <w:rPr>
          <w:b/>
          <w:bCs/>
          <w:iCs/>
          <w:color w:val="000000"/>
        </w:rPr>
      </w:pPr>
      <w:r w:rsidRPr="00FE29E1">
        <w:rPr>
          <w:b/>
          <w:bCs/>
          <w:iCs/>
          <w:color w:val="000000"/>
        </w:rPr>
        <w:t>The discussion questions center on Corporate</w:t>
      </w:r>
      <w:r w:rsidR="00FE29E1">
        <w:rPr>
          <w:b/>
          <w:bCs/>
          <w:iCs/>
          <w:color w:val="000000"/>
        </w:rPr>
        <w:t xml:space="preserve"> and International</w:t>
      </w:r>
      <w:r w:rsidRPr="00FE29E1">
        <w:rPr>
          <w:b/>
          <w:bCs/>
          <w:iCs/>
          <w:color w:val="000000"/>
        </w:rPr>
        <w:t xml:space="preserve"> Strategy:  </w:t>
      </w:r>
      <w:r w:rsidR="00FE29E1">
        <w:rPr>
          <w:b/>
          <w:bCs/>
          <w:iCs/>
          <w:color w:val="000000"/>
        </w:rPr>
        <w:t xml:space="preserve">Vertical Integration, </w:t>
      </w:r>
      <w:r w:rsidR="008F1DD1">
        <w:rPr>
          <w:b/>
          <w:bCs/>
          <w:iCs/>
          <w:color w:val="000000"/>
        </w:rPr>
        <w:t xml:space="preserve">Diversification, </w:t>
      </w:r>
      <w:r w:rsidRPr="00FE29E1">
        <w:rPr>
          <w:b/>
          <w:bCs/>
          <w:iCs/>
          <w:color w:val="000000"/>
        </w:rPr>
        <w:t>International Strategy</w:t>
      </w:r>
      <w:r w:rsidR="008F1DD1">
        <w:rPr>
          <w:b/>
          <w:bCs/>
          <w:iCs/>
          <w:color w:val="000000"/>
        </w:rPr>
        <w:t xml:space="preserve"> and Technology Strategy</w:t>
      </w:r>
      <w:r w:rsidRPr="00FE29E1">
        <w:rPr>
          <w:b/>
          <w:bCs/>
          <w:iCs/>
          <w:color w:val="000000"/>
        </w:rPr>
        <w:t>.  You should be able to answer Diversification</w:t>
      </w:r>
      <w:r w:rsidR="00FE29E1" w:rsidRPr="00FE29E1">
        <w:rPr>
          <w:b/>
          <w:bCs/>
          <w:iCs/>
          <w:color w:val="000000"/>
        </w:rPr>
        <w:t>/Vertical Integration</w:t>
      </w:r>
      <w:r w:rsidRPr="00FE29E1">
        <w:rPr>
          <w:b/>
          <w:bCs/>
          <w:iCs/>
          <w:color w:val="000000"/>
        </w:rPr>
        <w:t xml:space="preserve"> strategy questions (related vs. unrelated diversification; core </w:t>
      </w:r>
      <w:r w:rsidRPr="00FE29E1">
        <w:rPr>
          <w:b/>
          <w:bCs/>
          <w:iCs/>
          <w:color w:val="000000"/>
        </w:rPr>
        <w:lastRenderedPageBreak/>
        <w:t>competencies that linked or are transferred among businesses</w:t>
      </w:r>
      <w:r w:rsidR="00FE29E1" w:rsidRPr="00FE29E1">
        <w:rPr>
          <w:b/>
          <w:bCs/>
          <w:iCs/>
          <w:color w:val="000000"/>
        </w:rPr>
        <w:t>; BCG portfolio analysis</w:t>
      </w:r>
      <w:r w:rsidRPr="00FE29E1">
        <w:rPr>
          <w:b/>
          <w:bCs/>
          <w:iCs/>
          <w:color w:val="000000"/>
        </w:rPr>
        <w:t xml:space="preserve">), </w:t>
      </w:r>
      <w:r w:rsidR="00FE29E1" w:rsidRPr="00FE29E1">
        <w:rPr>
          <w:b/>
          <w:bCs/>
          <w:iCs/>
          <w:color w:val="000000"/>
        </w:rPr>
        <w:t xml:space="preserve">Being a key component supplier to other leading technology companies; </w:t>
      </w:r>
      <w:r w:rsidRPr="00FE29E1">
        <w:rPr>
          <w:b/>
          <w:bCs/>
          <w:iCs/>
          <w:color w:val="000000"/>
        </w:rPr>
        <w:t xml:space="preserve">International strategy questions (Integration-Responsiveness Framework, competitive advantage with their international strategy) and Technology Strategy:  </w:t>
      </w:r>
      <w:r w:rsidR="00FE29E1" w:rsidRPr="00FE29E1">
        <w:rPr>
          <w:b/>
          <w:bCs/>
          <w:iCs/>
          <w:color w:val="000000"/>
        </w:rPr>
        <w:t>Innovation and Life Cycle Implications from pursuing “follow first, innovate second” rule. Be sure to analyze this case using tools and concepts from Chapters 7, 8, 9 and 10.</w:t>
      </w:r>
    </w:p>
    <w:p w:rsidR="00FE29E1" w:rsidRDefault="00FE29E1" w:rsidP="00782E1A">
      <w:pPr>
        <w:ind w:left="720"/>
        <w:rPr>
          <w:b/>
          <w:bCs/>
          <w:iCs/>
          <w:color w:val="000000"/>
        </w:rPr>
      </w:pPr>
    </w:p>
    <w:p w:rsidR="00FE29E1" w:rsidRDefault="00FE29E1" w:rsidP="00FE29E1">
      <w:pPr>
        <w:rPr>
          <w:b/>
          <w:bCs/>
          <w:iCs/>
          <w:color w:val="000000"/>
        </w:rPr>
      </w:pPr>
      <w:r>
        <w:rPr>
          <w:b/>
          <w:bCs/>
          <w:iCs/>
          <w:color w:val="000000"/>
        </w:rPr>
        <w:t>19 Sony’s Structure and Competitive Disadvantage</w:t>
      </w:r>
    </w:p>
    <w:p w:rsidR="00FE29E1" w:rsidRDefault="00FE29E1" w:rsidP="00FE29E1">
      <w:pPr>
        <w:rPr>
          <w:b/>
          <w:bCs/>
          <w:iCs/>
          <w:color w:val="000000"/>
        </w:rPr>
      </w:pPr>
    </w:p>
    <w:p w:rsidR="00FE29E1" w:rsidRPr="00FE29E1" w:rsidRDefault="00FE29E1" w:rsidP="00FE29E1">
      <w:pPr>
        <w:ind w:left="720"/>
      </w:pPr>
      <w:r>
        <w:rPr>
          <w:b/>
          <w:bCs/>
          <w:iCs/>
          <w:color w:val="000000"/>
        </w:rPr>
        <w:t xml:space="preserve">The discussion questions center on Corporate Strategy (Chapters 8 &amp;9) and Organizational Design (Chapter 11). </w:t>
      </w:r>
      <w:r w:rsidR="00910C86">
        <w:rPr>
          <w:b/>
          <w:bCs/>
          <w:iCs/>
          <w:color w:val="000000"/>
        </w:rPr>
        <w:t>Specifically the case discusses how Sony started out as a hardware business but has integrated forward into content businesses by acquiring Music and Pictures companies</w:t>
      </w:r>
      <w:r w:rsidR="002A4B37">
        <w:rPr>
          <w:b/>
          <w:bCs/>
          <w:iCs/>
          <w:color w:val="000000"/>
        </w:rPr>
        <w:t xml:space="preserve"> (Chapter 8)</w:t>
      </w:r>
      <w:r w:rsidR="00910C86">
        <w:rPr>
          <w:b/>
          <w:bCs/>
          <w:iCs/>
          <w:color w:val="000000"/>
        </w:rPr>
        <w:t>.</w:t>
      </w:r>
      <w:r w:rsidR="002A4B37">
        <w:rPr>
          <w:b/>
          <w:bCs/>
          <w:iCs/>
          <w:color w:val="000000"/>
        </w:rPr>
        <w:t xml:space="preserve"> Sony has used acquisition to diversify which Mr. Idei calls hard alliances (Chapter 9).</w:t>
      </w:r>
      <w:r w:rsidR="00910C86">
        <w:rPr>
          <w:b/>
          <w:bCs/>
          <w:iCs/>
          <w:color w:val="000000"/>
        </w:rPr>
        <w:t xml:space="preserve"> </w:t>
      </w:r>
      <w:r w:rsidR="002A4B37">
        <w:rPr>
          <w:b/>
          <w:bCs/>
          <w:iCs/>
          <w:color w:val="000000"/>
        </w:rPr>
        <w:t>It also discusses Apples product development approach of using cross-functional teams across businesses. The two organizations have dramatically different organizational designs (Chapter 11).</w:t>
      </w:r>
    </w:p>
    <w:sectPr w:rsidR="00FE29E1" w:rsidRPr="00FE29E1" w:rsidSect="00C842FE">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372" w:rsidRDefault="00141372" w:rsidP="00061A84">
      <w:r>
        <w:separator/>
      </w:r>
    </w:p>
  </w:endnote>
  <w:endnote w:type="continuationSeparator" w:id="0">
    <w:p w:rsidR="00141372" w:rsidRDefault="00141372" w:rsidP="00061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13079"/>
      <w:docPartObj>
        <w:docPartGallery w:val="Page Numbers (Bottom of Page)"/>
        <w:docPartUnique/>
      </w:docPartObj>
    </w:sdtPr>
    <w:sdtEndPr>
      <w:rPr>
        <w:sz w:val="20"/>
        <w:szCs w:val="20"/>
      </w:rPr>
    </w:sdtEndPr>
    <w:sdtContent>
      <w:p w:rsidR="006C2087" w:rsidRDefault="00B5381F">
        <w:pPr>
          <w:pStyle w:val="Footer"/>
          <w:jc w:val="right"/>
        </w:pPr>
        <w:r w:rsidRPr="00061A84">
          <w:rPr>
            <w:sz w:val="20"/>
            <w:szCs w:val="20"/>
          </w:rPr>
          <w:fldChar w:fldCharType="begin"/>
        </w:r>
        <w:r w:rsidR="006C2087" w:rsidRPr="00061A84">
          <w:rPr>
            <w:sz w:val="20"/>
            <w:szCs w:val="20"/>
          </w:rPr>
          <w:instrText xml:space="preserve"> PAGE   \* MERGEFORMAT </w:instrText>
        </w:r>
        <w:r w:rsidRPr="00061A84">
          <w:rPr>
            <w:sz w:val="20"/>
            <w:szCs w:val="20"/>
          </w:rPr>
          <w:fldChar w:fldCharType="separate"/>
        </w:r>
        <w:r w:rsidR="001A09FF">
          <w:rPr>
            <w:noProof/>
            <w:sz w:val="20"/>
            <w:szCs w:val="20"/>
          </w:rPr>
          <w:t>2</w:t>
        </w:r>
        <w:r w:rsidRPr="00061A84">
          <w:rPr>
            <w:sz w:val="20"/>
            <w:szCs w:val="20"/>
          </w:rPr>
          <w:fldChar w:fldCharType="end"/>
        </w:r>
      </w:p>
    </w:sdtContent>
  </w:sdt>
  <w:p w:rsidR="006C2087" w:rsidRDefault="006C2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372" w:rsidRDefault="00141372" w:rsidP="00061A84">
      <w:r>
        <w:separator/>
      </w:r>
    </w:p>
  </w:footnote>
  <w:footnote w:type="continuationSeparator" w:id="0">
    <w:p w:rsidR="00141372" w:rsidRDefault="00141372" w:rsidP="00061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552860"/>
      <w:docPartObj>
        <w:docPartGallery w:val="Page Numbers (Top of Page)"/>
        <w:docPartUnique/>
      </w:docPartObj>
    </w:sdtPr>
    <w:sdtEndPr>
      <w:rPr>
        <w:noProof/>
      </w:rPr>
    </w:sdtEndPr>
    <w:sdtContent>
      <w:p w:rsidR="00A90CCD" w:rsidRDefault="00A90CCD">
        <w:pPr>
          <w:pStyle w:val="Header"/>
          <w:jc w:val="right"/>
        </w:pPr>
        <w:r>
          <w:fldChar w:fldCharType="begin"/>
        </w:r>
        <w:r>
          <w:instrText xml:space="preserve"> PAGE   \* MERGEFORMAT </w:instrText>
        </w:r>
        <w:r>
          <w:fldChar w:fldCharType="separate"/>
        </w:r>
        <w:r w:rsidR="001A09FF">
          <w:rPr>
            <w:noProof/>
          </w:rPr>
          <w:t>2</w:t>
        </w:r>
        <w:r>
          <w:rPr>
            <w:noProof/>
          </w:rPr>
          <w:fldChar w:fldCharType="end"/>
        </w:r>
      </w:p>
    </w:sdtContent>
  </w:sdt>
  <w:p w:rsidR="00A90CCD" w:rsidRDefault="00A90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CA6"/>
    <w:multiLevelType w:val="hybridMultilevel"/>
    <w:tmpl w:val="A528793A"/>
    <w:lvl w:ilvl="0" w:tplc="EB64DE38">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356A77"/>
    <w:multiLevelType w:val="hybridMultilevel"/>
    <w:tmpl w:val="A31255B4"/>
    <w:lvl w:ilvl="0" w:tplc="719CF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401AA7"/>
    <w:multiLevelType w:val="hybridMultilevel"/>
    <w:tmpl w:val="1DCED260"/>
    <w:lvl w:ilvl="0" w:tplc="AC886F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5C32"/>
    <w:multiLevelType w:val="hybridMultilevel"/>
    <w:tmpl w:val="0EA64BCE"/>
    <w:lvl w:ilvl="0" w:tplc="7A3AA64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40925B86"/>
    <w:multiLevelType w:val="hybridMultilevel"/>
    <w:tmpl w:val="E732ED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847218"/>
    <w:multiLevelType w:val="hybridMultilevel"/>
    <w:tmpl w:val="A82AD7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7A35A6"/>
    <w:multiLevelType w:val="hybridMultilevel"/>
    <w:tmpl w:val="A70C1194"/>
    <w:lvl w:ilvl="0" w:tplc="470AB4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07081"/>
    <w:multiLevelType w:val="hybridMultilevel"/>
    <w:tmpl w:val="370E97DC"/>
    <w:lvl w:ilvl="0" w:tplc="BA1C6C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C1706"/>
    <w:multiLevelType w:val="hybridMultilevel"/>
    <w:tmpl w:val="A31255B4"/>
    <w:lvl w:ilvl="0" w:tplc="719CF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8"/>
  </w:num>
  <w:num w:numId="4">
    <w:abstractNumId w:val="2"/>
  </w:num>
  <w:num w:numId="5">
    <w:abstractNumId w:val="4"/>
  </w:num>
  <w:num w:numId="6">
    <w:abstractNumId w:val="6"/>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1F"/>
    <w:rsid w:val="000025A7"/>
    <w:rsid w:val="0000634C"/>
    <w:rsid w:val="0004097C"/>
    <w:rsid w:val="000422AD"/>
    <w:rsid w:val="000450F4"/>
    <w:rsid w:val="0004519A"/>
    <w:rsid w:val="00052F9A"/>
    <w:rsid w:val="000613FB"/>
    <w:rsid w:val="00061A84"/>
    <w:rsid w:val="00083188"/>
    <w:rsid w:val="000A06C1"/>
    <w:rsid w:val="000A1E01"/>
    <w:rsid w:val="000A44CF"/>
    <w:rsid w:val="000B0475"/>
    <w:rsid w:val="000E57F3"/>
    <w:rsid w:val="0010139C"/>
    <w:rsid w:val="00103D35"/>
    <w:rsid w:val="00123986"/>
    <w:rsid w:val="00134728"/>
    <w:rsid w:val="00141372"/>
    <w:rsid w:val="00142FF6"/>
    <w:rsid w:val="0014341E"/>
    <w:rsid w:val="00153718"/>
    <w:rsid w:val="001541F1"/>
    <w:rsid w:val="00176953"/>
    <w:rsid w:val="00190B03"/>
    <w:rsid w:val="00191946"/>
    <w:rsid w:val="001A09FF"/>
    <w:rsid w:val="001A0FA7"/>
    <w:rsid w:val="001A712D"/>
    <w:rsid w:val="001C2CBD"/>
    <w:rsid w:val="001C5BEC"/>
    <w:rsid w:val="001C6709"/>
    <w:rsid w:val="001E7F31"/>
    <w:rsid w:val="00217C6C"/>
    <w:rsid w:val="00234864"/>
    <w:rsid w:val="00242447"/>
    <w:rsid w:val="00246C55"/>
    <w:rsid w:val="00250880"/>
    <w:rsid w:val="00254440"/>
    <w:rsid w:val="00256770"/>
    <w:rsid w:val="00260D71"/>
    <w:rsid w:val="00271B39"/>
    <w:rsid w:val="00273725"/>
    <w:rsid w:val="0027472A"/>
    <w:rsid w:val="00291A13"/>
    <w:rsid w:val="002A4B37"/>
    <w:rsid w:val="002A7681"/>
    <w:rsid w:val="002B09CE"/>
    <w:rsid w:val="002C341A"/>
    <w:rsid w:val="002D5D63"/>
    <w:rsid w:val="002E4CA2"/>
    <w:rsid w:val="002F1B6C"/>
    <w:rsid w:val="002F2F13"/>
    <w:rsid w:val="002F5E2D"/>
    <w:rsid w:val="002F6BD0"/>
    <w:rsid w:val="003204EA"/>
    <w:rsid w:val="00321C3A"/>
    <w:rsid w:val="003257AC"/>
    <w:rsid w:val="003358C1"/>
    <w:rsid w:val="00335996"/>
    <w:rsid w:val="00344651"/>
    <w:rsid w:val="003524D3"/>
    <w:rsid w:val="00365457"/>
    <w:rsid w:val="00372DFE"/>
    <w:rsid w:val="003856CC"/>
    <w:rsid w:val="003B0B92"/>
    <w:rsid w:val="003B0F3A"/>
    <w:rsid w:val="003B3B57"/>
    <w:rsid w:val="003B6436"/>
    <w:rsid w:val="003B77D9"/>
    <w:rsid w:val="003C1D3A"/>
    <w:rsid w:val="003C6C51"/>
    <w:rsid w:val="003D75C1"/>
    <w:rsid w:val="003E0939"/>
    <w:rsid w:val="003E4788"/>
    <w:rsid w:val="00403501"/>
    <w:rsid w:val="00414FEB"/>
    <w:rsid w:val="00417C81"/>
    <w:rsid w:val="004241FB"/>
    <w:rsid w:val="00431F5E"/>
    <w:rsid w:val="004351CF"/>
    <w:rsid w:val="00453406"/>
    <w:rsid w:val="00457030"/>
    <w:rsid w:val="00485757"/>
    <w:rsid w:val="00490404"/>
    <w:rsid w:val="004B4793"/>
    <w:rsid w:val="004B4D78"/>
    <w:rsid w:val="004C7C80"/>
    <w:rsid w:val="004E32CE"/>
    <w:rsid w:val="004E3367"/>
    <w:rsid w:val="00502313"/>
    <w:rsid w:val="005105AD"/>
    <w:rsid w:val="00510D11"/>
    <w:rsid w:val="00534B1F"/>
    <w:rsid w:val="005610B9"/>
    <w:rsid w:val="00585E84"/>
    <w:rsid w:val="005D0B97"/>
    <w:rsid w:val="005D23ED"/>
    <w:rsid w:val="005F567F"/>
    <w:rsid w:val="006179AC"/>
    <w:rsid w:val="00626EA5"/>
    <w:rsid w:val="00631EA6"/>
    <w:rsid w:val="0064774F"/>
    <w:rsid w:val="0066537F"/>
    <w:rsid w:val="00672C35"/>
    <w:rsid w:val="00691169"/>
    <w:rsid w:val="00695E07"/>
    <w:rsid w:val="006B51DD"/>
    <w:rsid w:val="006C2087"/>
    <w:rsid w:val="006C2FCD"/>
    <w:rsid w:val="006C4900"/>
    <w:rsid w:val="006D0BAF"/>
    <w:rsid w:val="006F3B41"/>
    <w:rsid w:val="006F44FB"/>
    <w:rsid w:val="00700221"/>
    <w:rsid w:val="00710A5D"/>
    <w:rsid w:val="00725EC8"/>
    <w:rsid w:val="00732182"/>
    <w:rsid w:val="00741EE1"/>
    <w:rsid w:val="00755306"/>
    <w:rsid w:val="00782729"/>
    <w:rsid w:val="007829A3"/>
    <w:rsid w:val="00782E1A"/>
    <w:rsid w:val="00786F5D"/>
    <w:rsid w:val="007A4AF6"/>
    <w:rsid w:val="007B5687"/>
    <w:rsid w:val="007C2D7D"/>
    <w:rsid w:val="007C39DC"/>
    <w:rsid w:val="007D6419"/>
    <w:rsid w:val="007E2B90"/>
    <w:rsid w:val="007F49AA"/>
    <w:rsid w:val="008106D9"/>
    <w:rsid w:val="00825E79"/>
    <w:rsid w:val="00826B1F"/>
    <w:rsid w:val="00833E99"/>
    <w:rsid w:val="00844527"/>
    <w:rsid w:val="00845BA0"/>
    <w:rsid w:val="00860D4E"/>
    <w:rsid w:val="00861751"/>
    <w:rsid w:val="008715BD"/>
    <w:rsid w:val="00883712"/>
    <w:rsid w:val="008850FC"/>
    <w:rsid w:val="008A2B9E"/>
    <w:rsid w:val="008A73DF"/>
    <w:rsid w:val="008A7B73"/>
    <w:rsid w:val="008B01CC"/>
    <w:rsid w:val="008B51D1"/>
    <w:rsid w:val="008D1388"/>
    <w:rsid w:val="008E0125"/>
    <w:rsid w:val="008E10C2"/>
    <w:rsid w:val="008E3AF1"/>
    <w:rsid w:val="008F01F9"/>
    <w:rsid w:val="008F045B"/>
    <w:rsid w:val="008F1DD1"/>
    <w:rsid w:val="008F765E"/>
    <w:rsid w:val="00910C86"/>
    <w:rsid w:val="00931366"/>
    <w:rsid w:val="00956D8A"/>
    <w:rsid w:val="009C4688"/>
    <w:rsid w:val="00A067D0"/>
    <w:rsid w:val="00A23635"/>
    <w:rsid w:val="00A268F7"/>
    <w:rsid w:val="00A3696C"/>
    <w:rsid w:val="00A45C2A"/>
    <w:rsid w:val="00A52598"/>
    <w:rsid w:val="00A6600B"/>
    <w:rsid w:val="00A74EC2"/>
    <w:rsid w:val="00A9003B"/>
    <w:rsid w:val="00A90CCD"/>
    <w:rsid w:val="00AB08A8"/>
    <w:rsid w:val="00AB1527"/>
    <w:rsid w:val="00AB2D59"/>
    <w:rsid w:val="00AC0978"/>
    <w:rsid w:val="00AC0DC6"/>
    <w:rsid w:val="00AC4DAB"/>
    <w:rsid w:val="00AD15E3"/>
    <w:rsid w:val="00AE0D8F"/>
    <w:rsid w:val="00AE6EC8"/>
    <w:rsid w:val="00AF5221"/>
    <w:rsid w:val="00B035CE"/>
    <w:rsid w:val="00B20488"/>
    <w:rsid w:val="00B22258"/>
    <w:rsid w:val="00B339EB"/>
    <w:rsid w:val="00B40CDB"/>
    <w:rsid w:val="00B5381F"/>
    <w:rsid w:val="00B85829"/>
    <w:rsid w:val="00B95290"/>
    <w:rsid w:val="00BC1AA6"/>
    <w:rsid w:val="00BC3FFF"/>
    <w:rsid w:val="00BC53D2"/>
    <w:rsid w:val="00C151ED"/>
    <w:rsid w:val="00C21F85"/>
    <w:rsid w:val="00C238B5"/>
    <w:rsid w:val="00C42469"/>
    <w:rsid w:val="00C45BD4"/>
    <w:rsid w:val="00C50AE1"/>
    <w:rsid w:val="00C753DD"/>
    <w:rsid w:val="00C76040"/>
    <w:rsid w:val="00C81445"/>
    <w:rsid w:val="00C83D6A"/>
    <w:rsid w:val="00C842FE"/>
    <w:rsid w:val="00CC6423"/>
    <w:rsid w:val="00CD4DA3"/>
    <w:rsid w:val="00CE36A1"/>
    <w:rsid w:val="00CE442C"/>
    <w:rsid w:val="00CF010E"/>
    <w:rsid w:val="00D00634"/>
    <w:rsid w:val="00D3690E"/>
    <w:rsid w:val="00D525FC"/>
    <w:rsid w:val="00D61C77"/>
    <w:rsid w:val="00D8471C"/>
    <w:rsid w:val="00D848EF"/>
    <w:rsid w:val="00D949B0"/>
    <w:rsid w:val="00DC553E"/>
    <w:rsid w:val="00DE3B2D"/>
    <w:rsid w:val="00DF2689"/>
    <w:rsid w:val="00E06BB2"/>
    <w:rsid w:val="00E10DDA"/>
    <w:rsid w:val="00E24638"/>
    <w:rsid w:val="00E25F8B"/>
    <w:rsid w:val="00E33C40"/>
    <w:rsid w:val="00E53A02"/>
    <w:rsid w:val="00E64FAE"/>
    <w:rsid w:val="00E7749B"/>
    <w:rsid w:val="00E775DF"/>
    <w:rsid w:val="00E86A11"/>
    <w:rsid w:val="00E92666"/>
    <w:rsid w:val="00E92B01"/>
    <w:rsid w:val="00EA18CC"/>
    <w:rsid w:val="00EA3791"/>
    <w:rsid w:val="00EA49AA"/>
    <w:rsid w:val="00EA547E"/>
    <w:rsid w:val="00EA55DE"/>
    <w:rsid w:val="00EC468C"/>
    <w:rsid w:val="00EC5C61"/>
    <w:rsid w:val="00EE2AD6"/>
    <w:rsid w:val="00F107BF"/>
    <w:rsid w:val="00F1429D"/>
    <w:rsid w:val="00F15684"/>
    <w:rsid w:val="00F3062D"/>
    <w:rsid w:val="00F4739B"/>
    <w:rsid w:val="00F74607"/>
    <w:rsid w:val="00F97CB1"/>
    <w:rsid w:val="00FB4671"/>
    <w:rsid w:val="00FD06B9"/>
    <w:rsid w:val="00FD106B"/>
    <w:rsid w:val="00FD1FC7"/>
    <w:rsid w:val="00FE29E1"/>
    <w:rsid w:val="00FF25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81F2F0-8172-4B09-AEDB-61E0BFA0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419"/>
    <w:rPr>
      <w:sz w:val="24"/>
      <w:szCs w:val="24"/>
    </w:rPr>
  </w:style>
  <w:style w:type="paragraph" w:styleId="Heading1">
    <w:name w:val="heading 1"/>
    <w:basedOn w:val="Normal"/>
    <w:next w:val="Normal"/>
    <w:link w:val="Heading1Char"/>
    <w:qFormat/>
    <w:rsid w:val="007C2D7D"/>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FEB"/>
    <w:pPr>
      <w:ind w:left="720"/>
    </w:pPr>
  </w:style>
  <w:style w:type="paragraph" w:styleId="BalloonText">
    <w:name w:val="Balloon Text"/>
    <w:basedOn w:val="Normal"/>
    <w:link w:val="BalloonTextChar"/>
    <w:rsid w:val="00490404"/>
    <w:rPr>
      <w:rFonts w:ascii="Tahoma" w:hAnsi="Tahoma" w:cs="Tahoma"/>
      <w:sz w:val="16"/>
      <w:szCs w:val="16"/>
    </w:rPr>
  </w:style>
  <w:style w:type="character" w:customStyle="1" w:styleId="BalloonTextChar">
    <w:name w:val="Balloon Text Char"/>
    <w:basedOn w:val="DefaultParagraphFont"/>
    <w:link w:val="BalloonText"/>
    <w:rsid w:val="00490404"/>
    <w:rPr>
      <w:rFonts w:ascii="Tahoma" w:hAnsi="Tahoma" w:cs="Tahoma"/>
      <w:sz w:val="16"/>
      <w:szCs w:val="16"/>
    </w:rPr>
  </w:style>
  <w:style w:type="character" w:customStyle="1" w:styleId="Heading1Char">
    <w:name w:val="Heading 1 Char"/>
    <w:basedOn w:val="DefaultParagraphFont"/>
    <w:link w:val="Heading1"/>
    <w:rsid w:val="007C2D7D"/>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061A84"/>
    <w:pPr>
      <w:tabs>
        <w:tab w:val="center" w:pos="4680"/>
        <w:tab w:val="right" w:pos="9360"/>
      </w:tabs>
    </w:pPr>
  </w:style>
  <w:style w:type="character" w:customStyle="1" w:styleId="HeaderChar">
    <w:name w:val="Header Char"/>
    <w:basedOn w:val="DefaultParagraphFont"/>
    <w:link w:val="Header"/>
    <w:uiPriority w:val="99"/>
    <w:rsid w:val="00061A84"/>
    <w:rPr>
      <w:sz w:val="24"/>
      <w:szCs w:val="24"/>
    </w:rPr>
  </w:style>
  <w:style w:type="paragraph" w:styleId="Footer">
    <w:name w:val="footer"/>
    <w:basedOn w:val="Normal"/>
    <w:link w:val="FooterChar"/>
    <w:uiPriority w:val="99"/>
    <w:rsid w:val="00061A84"/>
    <w:pPr>
      <w:tabs>
        <w:tab w:val="center" w:pos="4680"/>
        <w:tab w:val="right" w:pos="9360"/>
      </w:tabs>
    </w:pPr>
  </w:style>
  <w:style w:type="character" w:customStyle="1" w:styleId="FooterChar">
    <w:name w:val="Footer Char"/>
    <w:basedOn w:val="DefaultParagraphFont"/>
    <w:link w:val="Footer"/>
    <w:uiPriority w:val="99"/>
    <w:rsid w:val="00061A84"/>
    <w:rPr>
      <w:sz w:val="24"/>
      <w:szCs w:val="24"/>
    </w:rPr>
  </w:style>
  <w:style w:type="character" w:styleId="CommentReference">
    <w:name w:val="annotation reference"/>
    <w:basedOn w:val="DefaultParagraphFont"/>
    <w:rsid w:val="00833E99"/>
    <w:rPr>
      <w:sz w:val="16"/>
      <w:szCs w:val="16"/>
    </w:rPr>
  </w:style>
  <w:style w:type="paragraph" w:styleId="CommentText">
    <w:name w:val="annotation text"/>
    <w:basedOn w:val="Normal"/>
    <w:link w:val="CommentTextChar"/>
    <w:rsid w:val="00833E99"/>
    <w:rPr>
      <w:sz w:val="20"/>
      <w:szCs w:val="20"/>
    </w:rPr>
  </w:style>
  <w:style w:type="character" w:customStyle="1" w:styleId="CommentTextChar">
    <w:name w:val="Comment Text Char"/>
    <w:basedOn w:val="DefaultParagraphFont"/>
    <w:link w:val="CommentText"/>
    <w:rsid w:val="00833E99"/>
  </w:style>
  <w:style w:type="paragraph" w:styleId="CommentSubject">
    <w:name w:val="annotation subject"/>
    <w:basedOn w:val="CommentText"/>
    <w:next w:val="CommentText"/>
    <w:link w:val="CommentSubjectChar"/>
    <w:rsid w:val="00833E99"/>
    <w:rPr>
      <w:b/>
      <w:bCs/>
    </w:rPr>
  </w:style>
  <w:style w:type="character" w:customStyle="1" w:styleId="CommentSubjectChar">
    <w:name w:val="Comment Subject Char"/>
    <w:basedOn w:val="CommentTextChar"/>
    <w:link w:val="CommentSubject"/>
    <w:rsid w:val="00833E99"/>
    <w:rPr>
      <w:b/>
      <w:bCs/>
    </w:rPr>
  </w:style>
  <w:style w:type="character" w:styleId="Hyperlink">
    <w:name w:val="Hyperlink"/>
    <w:basedOn w:val="DefaultParagraphFont"/>
    <w:uiPriority w:val="99"/>
    <w:unhideWhenUsed/>
    <w:rsid w:val="00AD15E3"/>
    <w:rPr>
      <w:color w:val="0000FF"/>
      <w:u w:val="single"/>
    </w:rPr>
  </w:style>
  <w:style w:type="table" w:styleId="TableGrid">
    <w:name w:val="Table Grid"/>
    <w:basedOn w:val="TableNormal"/>
    <w:rsid w:val="00755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05368">
      <w:bodyDiv w:val="1"/>
      <w:marLeft w:val="0"/>
      <w:marRight w:val="0"/>
      <w:marTop w:val="0"/>
      <w:marBottom w:val="0"/>
      <w:divBdr>
        <w:top w:val="none" w:sz="0" w:space="0" w:color="auto"/>
        <w:left w:val="none" w:sz="0" w:space="0" w:color="auto"/>
        <w:bottom w:val="none" w:sz="0" w:space="0" w:color="auto"/>
        <w:right w:val="none" w:sz="0" w:space="0" w:color="auto"/>
      </w:divBdr>
    </w:div>
    <w:div w:id="570309180">
      <w:bodyDiv w:val="1"/>
      <w:marLeft w:val="0"/>
      <w:marRight w:val="0"/>
      <w:marTop w:val="0"/>
      <w:marBottom w:val="0"/>
      <w:divBdr>
        <w:top w:val="none" w:sz="0" w:space="0" w:color="auto"/>
        <w:left w:val="none" w:sz="0" w:space="0" w:color="auto"/>
        <w:bottom w:val="none" w:sz="0" w:space="0" w:color="auto"/>
        <w:right w:val="none" w:sz="0" w:space="0" w:color="auto"/>
      </w:divBdr>
    </w:div>
    <w:div w:id="934753723">
      <w:bodyDiv w:val="1"/>
      <w:marLeft w:val="0"/>
      <w:marRight w:val="0"/>
      <w:marTop w:val="0"/>
      <w:marBottom w:val="0"/>
      <w:divBdr>
        <w:top w:val="none" w:sz="0" w:space="0" w:color="auto"/>
        <w:left w:val="none" w:sz="0" w:space="0" w:color="auto"/>
        <w:bottom w:val="none" w:sz="0" w:space="0" w:color="auto"/>
        <w:right w:val="none" w:sz="0" w:space="0" w:color="auto"/>
      </w:divBdr>
    </w:div>
    <w:div w:id="18939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4394 Course Policies and Guidelines</vt:lpstr>
    </vt:vector>
  </TitlesOfParts>
  <Company>Pamplin College of Business</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4394 Course Policies and Guidelines</dc:title>
  <dc:creator>tegarden</dc:creator>
  <cp:lastModifiedBy>Linda Tegarden</cp:lastModifiedBy>
  <cp:revision>10</cp:revision>
  <cp:lastPrinted>2016-04-26T18:22:00Z</cp:lastPrinted>
  <dcterms:created xsi:type="dcterms:W3CDTF">2016-04-26T13:31:00Z</dcterms:created>
  <dcterms:modified xsi:type="dcterms:W3CDTF">2016-04-26T22:13:00Z</dcterms:modified>
</cp:coreProperties>
</file>