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ZenCover Protection Schedule</w:t>
      </w:r>
    </w:p>
    <w:p>
      <w:r>
        <w:t>Dear {account.data.firstName} {account.data.lastName},</w:t>
      </w:r>
    </w:p>
    <w:p/>
    <w:p>
      <w:r>
        <w:t>Here are the items covered under your policy: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Purchase Price</w:t>
            </w:r>
          </w:p>
        </w:tc>
      </w:tr>
      <w:tr>
        <w:tc>
          <w:tcPr>
            <w:tcW w:type="dxa" w:w="4320"/>
          </w:tcPr>
          <w:p>
            <w:r>
              <w:t>[Item/]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{itemTypeCode}</w:t>
            </w:r>
          </w:p>
        </w:tc>
        <w:tc>
          <w:tcPr>
            <w:tcW w:type="dxa" w:w="4320"/>
          </w:tcPr>
          <w:p>
            <w:r>
              <w:t>{purchasePrice}</w:t>
            </w:r>
          </w:p>
        </w:tc>
      </w:tr>
      <w:tr>
        <w:tc>
          <w:tcPr>
            <w:tcW w:type="dxa" w:w="4320"/>
          </w:tcPr>
          <w:p>
            <w:r>
              <w:t>[LabourCoverRow?]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Labour costs are covered for this item under your Breakdown cover.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Manufacturer labour guarantee until:</w:t>
            </w:r>
          </w:p>
        </w:tc>
        <w:tc>
          <w:tcPr>
            <w:tcW w:type="dxa" w:w="4320"/>
          </w:tcPr>
          <w:p>
            <w:r>
              <w:t>{item.Breakdown.data.manufacturerLabourGuaranteeEndDate}</w:t>
            </w:r>
          </w:p>
        </w:tc>
      </w:tr>
      <w:tr>
        <w:tc>
          <w:tcPr>
            <w:tcW w:type="dxa" w:w="4320"/>
          </w:tcPr>
          <w:p>
            <w:r>
              <w:t>[/LabourCoverRow]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[/Item]</w:t>
            </w:r>
          </w:p>
        </w:tc>
        <w:tc>
          <w:tcPr>
            <w:tcW w:type="dxa" w:w="4320"/>
          </w:tcPr>
          <w:p/>
        </w:tc>
      </w:tr>
    </w:tbl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