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Variant Then Binary Notice</w:t>
      </w:r>
    </w:p>
    <w:p>
      <w:r>
        <w:t>Dear {account.data.firstName} {account.data.lastName},</w:t>
      </w:r>
    </w:p>
    <w:p/>
    <w:p>
      <w:r>
        <w:t>Please review the disclosure that applies to your policy below.</w:t>
      </w:r>
    </w:p>
    <w:p/>
    <w:p>
      <w:pPr>
        <w:pStyle w:val="Heading2"/>
      </w:pPr>
      <w:r>
        <w:t>Policy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Policy Number</w:t>
            </w:r>
          </w:p>
        </w:tc>
        <w:tc>
          <w:tcPr>
            <w:tcW w:type="dxa" w:w="4320"/>
          </w:tcPr>
          <w:p>
            <w:r>
              <w:t>{policy.policyNumber}</w:t>
            </w:r>
          </w:p>
        </w:tc>
      </w:tr>
      <w:tr>
        <w:tc>
          <w:tcPr>
            <w:tcW w:type="dxa" w:w="4320"/>
          </w:tcPr>
          <w:p>
            <w:r>
              <w:t>Discount Type</w:t>
            </w:r>
          </w:p>
        </w:tc>
        <w:tc>
          <w:tcPr>
            <w:tcW w:type="dxa" w:w="4320"/>
          </w:tcPr>
          <w:p>
            <w:r>
              <w:t>{policy.data.discountType}</w:t>
            </w:r>
          </w:p>
        </w:tc>
      </w:tr>
    </w:tbl>
    <w:p/>
    <w:p>
      <w:pPr>
        <w:pStyle w:val="Heading2"/>
      </w:pPr>
      <w:r>
        <w:t>Applicable Disclosure</w:t>
      </w:r>
    </w:p>
    <w:p>
      <w:r>
        <w:t>[[$disclosureClause]]</w:t>
      </w:r>
    </w:p>
    <w:p/>
    <w:p>
      <w:r>
        <w:t>[[A cooling-off period applies to this policy. You have the right to cancel within the cooling-off window.]]</w:t>
      </w:r>
    </w:p>
    <w:p/>
    <w:p>
      <w:r>
        <w:t>Thank you for choosing ZenCover.</w:t>
      </w:r>
    </w:p>
    <w:p/>
    <w:p>
      <w:r>
        <w:t>ZenCover Customer 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