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머리말"/>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 Methodology</w:t>
      </w:r>
    </w:p>
    <w:p>
      <w:pPr>
        <w:pStyle w:val="머리말"/>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This study proposes a heterogeneous graph neural network framework for patent technology transfer demand prediction, formulated as a link prediction task over a bipartite patent</w:t>
      </w:r>
      <w:r>
        <w:rPr>
          <w:rFonts w:ascii="Times New Roman" w:hAnsi="Times New Roman" w:hint="default"/>
          <w:b w:val="0"/>
          <w:b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company graph. The methodology comprises five components: (1) an improved rule-based Demand Score serving as the heuristic baseline; (2) data preprocessing and node embedding; (3) heterogeneous graph construction; (4) GNN model architecture; and (5) training strategy and robustness techniques.</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de-DE"/>
          <w14:textFill>
            <w14:solidFill>
              <w14:srgbClr w14:val="000000"/>
            </w14:solidFill>
          </w14:textFill>
        </w:rPr>
        <w:t>3.1 Problem Formulation</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Let P = {p</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₁</w:t>
      </w:r>
      <w:r>
        <w:rPr>
          <w:rFonts w:ascii="Times New Roman" w:hAnsi="Times New Roman"/>
          <w:b w:val="0"/>
          <w:bCs w:val="0"/>
          <w:outline w:val="0"/>
          <w:color w:val="000000"/>
          <w:sz w:val="22"/>
          <w:szCs w:val="22"/>
          <w:u w:color="000000"/>
          <w:rtl w:val="0"/>
          <w:lang w:val="en-US"/>
          <w14:textFill>
            <w14:solidFill>
              <w14:srgbClr w14:val="000000"/>
            </w14:solidFill>
          </w14:textFill>
        </w:rPr>
        <w:t>, ..., p|P|} denote the set of patents and C = {c</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₁</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 ..., c|C|} the set of companies in the KIPRIS dataset. A heterogeneous graph G = (V, E) is defined, where V = P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C and E = E_cite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E_transfer. The edge set E_cite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14:textFill>
            <w14:solidFill>
              <w14:srgbClr w14:val="000000"/>
            </w14:solidFill>
          </w14:textFill>
        </w:rPr>
        <w:t xml:space="preserve">P </w:t>
      </w:r>
      <w:r>
        <w:rPr>
          <w:rFonts w:ascii="Times New Roman" w:hAnsi="Times New Roman" w:hint="default"/>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P contains directed citation edges between patents; E_transfer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14:textFill>
            <w14:solidFill>
              <w14:srgbClr w14:val="000000"/>
            </w14:solidFill>
          </w14:textFill>
        </w:rPr>
        <w:t xml:space="preserve">P </w:t>
      </w:r>
      <w:r>
        <w:rPr>
          <w:rFonts w:ascii="Times New Roman" w:hAnsi="Times New Roman" w:hint="default"/>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C contains observed technology transfer edges. Given the node feature matrices X_P (patent embeddings) and X_C (company embeddings), the link prediction task is to estimate the probability of an unobserved edge (p, c)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14:textFill>
            <w14:solidFill>
              <w14:srgbClr w14:val="000000"/>
            </w14:solidFill>
          </w14:textFill>
        </w:rPr>
        <w:t xml:space="preserve">P </w:t>
      </w:r>
      <w:r>
        <w:rPr>
          <w:rFonts w:ascii="Times New Roman" w:hAnsi="Times New Roman" w:hint="default"/>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C \ E_transfer for each patent</w:t>
      </w:r>
      <w:r>
        <w:rPr>
          <w:rFonts w:ascii="Times New Roman" w:hAnsi="Times New Roman" w:hint="default"/>
          <w:b w:val="0"/>
          <w:bCs w:val="0"/>
          <w:outline w:val="0"/>
          <w:color w:val="000000"/>
          <w:sz w:val="22"/>
          <w:szCs w:val="22"/>
          <w:u w:color="000000"/>
          <w:rtl w:val="0"/>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company pair.</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3.2 Improved Rule-Based Demand Score Baseline</w:t>
      </w:r>
    </w:p>
    <w:p>
      <w:pPr>
        <w:pStyle w:val="머리말 2"/>
        <w:spacing w:line="480" w:lineRule="auto"/>
      </w:pPr>
      <w:r>
        <w:rPr>
          <w:rFonts w:ascii="Times New Roman" w:hAnsi="Times New Roman"/>
          <w:b w:val="0"/>
          <w:bCs w:val="0"/>
          <w:outline w:val="0"/>
          <w:color w:val="000000"/>
          <w:sz w:val="22"/>
          <w:szCs w:val="22"/>
          <w:u w:color="000000"/>
          <w:rtl w:val="0"/>
          <w:lang w:val="en-US"/>
          <w14:textFill>
            <w14:solidFill>
              <w14:srgbClr w14:val="000000"/>
            </w14:solidFill>
          </w14:textFill>
        </w:rPr>
        <w:t xml:space="preserve">The incumbent Demand Score aggregates five sub-scores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FreqScore, DepthScore, DivScore, RecentScore, and TransferScore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through a weighted sum, followed by multiplicative boost factors for national strategic technology classification and power-patent status. Four structural deficiencies are identified and corrected as follows. The revised formulas are summarised in Table 2.</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it-IT"/>
        </w:rPr>
        <w:t xml:space="preserve">3.2.1 FreqScore </w:t>
      </w:r>
      <w:r>
        <w:rPr>
          <w:rFonts w:ascii="Times New Roman" w:hAnsi="Times New Roman" w:hint="default"/>
          <w:i w:val="0"/>
          <w:iCs w:val="0"/>
          <w:rtl w:val="0"/>
          <w:lang w:val="en-US"/>
        </w:rPr>
        <w:t xml:space="preserve">— </w:t>
      </w:r>
      <w:r>
        <w:rPr>
          <w:rFonts w:ascii="Times New Roman" w:hAnsi="Times New Roman"/>
          <w:i w:val="0"/>
          <w:iCs w:val="0"/>
          <w:rtl w:val="0"/>
          <w:lang w:val="en-US"/>
        </w:rPr>
        <w:t>Unit Normalisation and Bias Correction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original formula adds a raw global citation count scaled by a fixed coefficient to a normalised IPC-relative ratio, mixing incompatible units across the two terms. This inflates scores for large firms that hold high global citation counts regardless of IPC-relative citation frequency. The revised formula normalises both components independently to the [0, 1] range using IPC-group-specific averages, then combines them in an 8:2 ratio. A ceiling of 2.0 times the IPC average is applied to each component before normalisation, preventing extreme outliers from distorting the score distribution.</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 xml:space="preserve">3.2.2 DepthScore </w:t>
      </w:r>
      <w:r>
        <w:rPr>
          <w:rFonts w:ascii="Times New Roman" w:hAnsi="Times New Roman" w:hint="default"/>
          <w:i w:val="0"/>
          <w:iCs w:val="0"/>
          <w:rtl w:val="0"/>
          <w:lang w:val="en-US"/>
        </w:rPr>
        <w:t xml:space="preserve">— </w:t>
      </w:r>
      <w:r>
        <w:rPr>
          <w:rFonts w:ascii="Times New Roman" w:hAnsi="Times New Roman"/>
          <w:i w:val="0"/>
          <w:iCs w:val="0"/>
          <w:rtl w:val="0"/>
          <w:lang w:val="en-US"/>
        </w:rPr>
        <w:t>Exponential Decay Reformulation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original power-law formulation (100 / depth</w:t>
      </w:r>
      <w:r>
        <w:rPr>
          <w:rFonts w:ascii="Times New Roman" w:hAnsi="Times New Roman" w:hint="default"/>
          <w:b w:val="0"/>
          <w:bCs w:val="0"/>
          <w:i w:val="0"/>
          <w:iCs w:val="0"/>
          <w:outline w:val="0"/>
          <w:color w:val="000000"/>
          <w:u w:color="000000"/>
          <w:rtl w:val="0"/>
          <w14:textFill>
            <w14:solidFill>
              <w14:srgbClr w14:val="000000"/>
            </w14:solidFill>
          </w14:textFill>
        </w:rPr>
        <w:t>¹ʷ</w:t>
      </w: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⁵</w:t>
      </w:r>
      <w:r>
        <w:rPr>
          <w:rFonts w:ascii="Times New Roman" w:hAnsi="Times New Roman"/>
          <w:b w:val="0"/>
          <w:bCs w:val="0"/>
          <w:i w:val="0"/>
          <w:iCs w:val="0"/>
          <w:outline w:val="0"/>
          <w:color w:val="000000"/>
          <w:u w:color="000000"/>
          <w:rtl w:val="0"/>
          <w:lang w:val="en-US"/>
          <w14:textFill>
            <w14:solidFill>
              <w14:srgbClr w14:val="000000"/>
            </w14:solidFill>
          </w14:textFill>
        </w:rPr>
        <w:t xml:space="preserve">) produces a 65-point drop between depth-1 and depth-2 citations, which penalises indirect citations that carry non-trivial demand signal. The revised formulation applies exponential decay with a base of 0.6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yielding 100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0.6^(depth</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14:textFill>
            <w14:solidFill>
              <w14:srgbClr w14:val="000000"/>
            </w14:solidFill>
          </w14:textFill>
        </w:rPr>
        <w:t xml:space="preserve">1)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reducing the depth-2 penalty to 40 points and maintaining a smooth, monotonically decreasing gradient across the full citation chain. The decay base is exposed as a configurable parameter (DEPTH_DECAY_BASE) to facilitate domain-specific tuning.</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rPr>
        <w:t xml:space="preserve">3.2.3 DivScore </w:t>
      </w:r>
      <w:r>
        <w:rPr>
          <w:rFonts w:ascii="Times New Roman" w:hAnsi="Times New Roman" w:hint="default"/>
          <w:i w:val="0"/>
          <w:iCs w:val="0"/>
          <w:rtl w:val="0"/>
          <w:lang w:val="en-US"/>
        </w:rPr>
        <w:t xml:space="preserve">— </w:t>
      </w:r>
      <w:r>
        <w:rPr>
          <w:rFonts w:ascii="Times New Roman" w:hAnsi="Times New Roman"/>
          <w:i w:val="0"/>
          <w:iCs w:val="0"/>
          <w:rtl w:val="0"/>
          <w:lang w:val="en-US"/>
        </w:rPr>
        <w:t>Log-Scale Differentiation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The original linear formula saturates at 100 points for any company citing four or more university patents, eliminating all score differentiation beyond this threshold. The revised formula applies a log-scale transformation, log(n+1) / log(DIV_LOG_MAX+1)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100, with DIV_LOG_MAX = 13, so that the score increases progressively up to 13 cited patents before converging to the maximum. This preserves meaningful score separation across the full range of company engagement breadth.</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 xml:space="preserve">3.2.4 Boost Structure </w:t>
      </w:r>
      <w:r>
        <w:rPr>
          <w:rFonts w:ascii="Times New Roman" w:hAnsi="Times New Roman" w:hint="default"/>
          <w:i w:val="0"/>
          <w:iCs w:val="0"/>
          <w:rtl w:val="0"/>
          <w:lang w:val="en-US"/>
        </w:rPr>
        <w:t xml:space="preserve">— </w:t>
      </w:r>
      <w:r>
        <w:rPr>
          <w:rFonts w:ascii="Times New Roman" w:hAnsi="Times New Roman"/>
          <w:i w:val="0"/>
          <w:iCs w:val="0"/>
          <w:rtl w:val="0"/>
          <w:lang w:val="en-US"/>
        </w:rPr>
        <w:t>Explicit Cap and Audit Columns</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When the national strategic technology boost (</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1.20) and the power-patent boost (</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 xml:space="preserve">1.10) are applied concurrently, the combined multiplier reaches </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 xml:space="preserve">1.32. This interaction was not bounded explicitly in the original implementation, creating an audit transparency gap. The revised code defines BOOST_MAX = 1.32 as a named constant and adds two output columns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BoostApplied (the multiplier applied) and BoostFlags (the active boost categories)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to the output CSV for full reproducibility.</w:t>
      </w:r>
    </w:p>
    <w:p>
      <w:pPr>
        <w:pStyle w:val="머리말 3"/>
      </w:pPr>
    </w:p>
    <w:p>
      <w:pPr>
        <w:pStyle w:val="머리말 3"/>
      </w:pPr>
      <w:r>
        <w:rPr>
          <w:rFonts w:ascii="Times New Roman" w:hAnsi="Times New Roman"/>
          <w:outline w:val="0"/>
          <w:color w:val="000000"/>
          <w:sz w:val="20"/>
          <w:szCs w:val="20"/>
          <w:u w:color="000000"/>
          <w:rtl w:val="0"/>
          <w:lang w:val="en-US"/>
          <w14:textFill>
            <w14:solidFill>
              <w14:srgbClr w14:val="000000"/>
            </w14:solidFill>
          </w14:textFill>
        </w:rPr>
        <w:t xml:space="preserve">Table 2. Demand Score algorithmic revisions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original formula, revised formula, and primary effect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4"/>
        <w:gridCol w:w="1871"/>
        <w:gridCol w:w="2808"/>
        <w:gridCol w:w="3277"/>
      </w:tblGrid>
      <w:tr>
        <w:tblPrEx>
          <w:shd w:val="clear" w:color="auto" w:fill="ced7e7"/>
        </w:tblPrEx>
        <w:trPr>
          <w:trHeight w:val="214" w:hRule="atLeast"/>
        </w:trPr>
        <w:tc>
          <w:tcPr>
            <w:tcW w:type="dxa" w:w="1404"/>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w:t>
            </w:r>
          </w:p>
        </w:tc>
        <w:tc>
          <w:tcPr>
            <w:tcW w:type="dxa" w:w="1871"/>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2807"/>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Original formula</w:t>
            </w:r>
          </w:p>
        </w:tc>
        <w:tc>
          <w:tcPr>
            <w:tcW w:type="dxa" w:w="3276"/>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Revised formula &amp; effect</w:t>
            </w:r>
          </w:p>
        </w:tc>
      </w:tr>
      <w:tr>
        <w:tblPrEx>
          <w:shd w:val="clear" w:color="auto" w:fill="ced7e7"/>
        </w:tblPrEx>
        <w:trPr>
          <w:trHeight w:val="739" w:hRule="atLeast"/>
        </w:trPr>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rPr>
              <w:t>1</w:t>
            </w:r>
          </w:p>
        </w:tc>
        <w:tc>
          <w:tcPr>
            <w:tcW w:type="dxa" w:w="18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it-IT"/>
              </w:rPr>
              <w:t>FreqScore</w:t>
            </w:r>
          </w:p>
        </w:tc>
        <w:tc>
          <w:tcPr>
            <w:tcW w:type="dxa" w:w="280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i w:val="1"/>
                <w:iCs w:val="1"/>
                <w:sz w:val="20"/>
                <w:szCs w:val="20"/>
                <w:u w:color="000000"/>
                <w:shd w:val="nil" w:color="auto" w:fill="auto"/>
                <w:rtl w:val="0"/>
                <w:lang w:val="en-US"/>
              </w:rPr>
              <w:t xml:space="preserve">cit_count + 0.02 </w:t>
            </w:r>
            <w:r>
              <w:rPr>
                <w:rFonts w:ascii="Times New Roman" w:hAnsi="Times New Roman" w:hint="default"/>
                <w:i w:val="1"/>
                <w:iCs w:val="1"/>
                <w:sz w:val="20"/>
                <w:szCs w:val="20"/>
                <w:u w:color="000000"/>
                <w:shd w:val="nil" w:color="auto" w:fill="auto"/>
                <w:rtl w:val="0"/>
              </w:rPr>
              <w:t xml:space="preserve">× </w:t>
            </w:r>
            <w:r>
              <w:rPr>
                <w:rFonts w:ascii="Times New Roman" w:hAnsi="Times New Roman"/>
                <w:i w:val="1"/>
                <w:iCs w:val="1"/>
                <w:sz w:val="20"/>
                <w:szCs w:val="20"/>
                <w:u w:color="000000"/>
                <w:shd w:val="nil" w:color="auto" w:fill="auto"/>
                <w:rtl w:val="0"/>
                <w:lang w:val="en-US"/>
              </w:rPr>
              <w:t>raw_global</w:t>
            </w:r>
          </w:p>
        </w:tc>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 xml:space="preserve">IPC-group normalisation, 8:2 blend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removes unit mismatch and large-firm inflation</w:t>
            </w:r>
          </w:p>
        </w:tc>
      </w:tr>
      <w:tr>
        <w:tblPrEx>
          <w:shd w:val="clear" w:color="auto" w:fill="ced7e7"/>
        </w:tblPrEx>
        <w:trPr>
          <w:trHeight w:val="739" w:hRule="atLeast"/>
        </w:trPr>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rPr>
              <w:t>2</w:t>
            </w:r>
          </w:p>
        </w:tc>
        <w:tc>
          <w:tcPr>
            <w:tcW w:type="dxa" w:w="18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DepthScore</w:t>
            </w:r>
          </w:p>
        </w:tc>
        <w:tc>
          <w:tcPr>
            <w:tcW w:type="dxa" w:w="280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i w:val="1"/>
                <w:iCs w:val="1"/>
                <w:sz w:val="20"/>
                <w:szCs w:val="20"/>
                <w:u w:color="000000"/>
                <w:shd w:val="nil" w:color="auto" w:fill="auto"/>
                <w:rtl w:val="0"/>
                <w:lang w:val="en-US"/>
              </w:rPr>
              <w:t>100 / depth^1.5</w:t>
            </w:r>
          </w:p>
        </w:tc>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 xml:space="preserve">100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0.6^(depth</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 xml:space="preserve">1)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 xml:space="preserve">depth-2 penalty reduced from </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 xml:space="preserve">65 to </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40 points</w:t>
            </w:r>
          </w:p>
        </w:tc>
      </w:tr>
      <w:tr>
        <w:tblPrEx>
          <w:shd w:val="clear" w:color="auto" w:fill="ced7e7"/>
        </w:tblPrEx>
        <w:trPr>
          <w:trHeight w:val="739" w:hRule="atLeast"/>
        </w:trPr>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rPr>
              <w:t>3</w:t>
            </w:r>
          </w:p>
        </w:tc>
        <w:tc>
          <w:tcPr>
            <w:tcW w:type="dxa" w:w="18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DivScore</w:t>
            </w:r>
          </w:p>
        </w:tc>
        <w:tc>
          <w:tcPr>
            <w:tcW w:type="dxa" w:w="280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i w:val="1"/>
                <w:iCs w:val="1"/>
                <w:sz w:val="20"/>
                <w:szCs w:val="20"/>
                <w:u w:color="000000"/>
                <w:shd w:val="nil" w:color="auto" w:fill="auto"/>
                <w:rtl w:val="0"/>
                <w:lang w:val="fr-FR"/>
              </w:rPr>
              <w:t xml:space="preserve">min(unique </w:t>
            </w:r>
            <w:r>
              <w:rPr>
                <w:rFonts w:ascii="Times New Roman" w:hAnsi="Times New Roman" w:hint="default"/>
                <w:i w:val="1"/>
                <w:iCs w:val="1"/>
                <w:sz w:val="20"/>
                <w:szCs w:val="20"/>
                <w:u w:color="000000"/>
                <w:shd w:val="nil" w:color="auto" w:fill="auto"/>
                <w:rtl w:val="0"/>
              </w:rPr>
              <w:t xml:space="preserve">× </w:t>
            </w:r>
            <w:r>
              <w:rPr>
                <w:rFonts w:ascii="Times New Roman" w:hAnsi="Times New Roman"/>
                <w:i w:val="1"/>
                <w:iCs w:val="1"/>
                <w:sz w:val="20"/>
                <w:szCs w:val="20"/>
                <w:u w:color="000000"/>
                <w:shd w:val="nil" w:color="auto" w:fill="auto"/>
                <w:rtl w:val="0"/>
              </w:rPr>
              <w:t>25, 100)</w:t>
            </w:r>
          </w:p>
        </w:tc>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 xml:space="preserve">log(n+1) / log(14)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 xml:space="preserve">100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differentiates companies citing 4</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13 patents</w:t>
            </w:r>
          </w:p>
        </w:tc>
      </w:tr>
      <w:tr>
        <w:tblPrEx>
          <w:shd w:val="clear" w:color="auto" w:fill="ced7e7"/>
        </w:tblPrEx>
        <w:trPr>
          <w:trHeight w:val="739" w:hRule="atLeast"/>
        </w:trPr>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rPr>
              <w:t>4</w:t>
            </w:r>
          </w:p>
        </w:tc>
        <w:tc>
          <w:tcPr>
            <w:tcW w:type="dxa" w:w="1871"/>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Boost cap</w:t>
            </w:r>
          </w:p>
        </w:tc>
        <w:tc>
          <w:tcPr>
            <w:tcW w:type="dxa" w:w="280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i w:val="1"/>
                <w:iCs w:val="1"/>
                <w:sz w:val="20"/>
                <w:szCs w:val="20"/>
                <w:u w:color="000000"/>
                <w:shd w:val="nil" w:color="auto" w:fill="auto"/>
                <w:rtl w:val="0"/>
              </w:rPr>
              <w:t xml:space="preserve">Implicit </w:t>
            </w:r>
            <w:r>
              <w:rPr>
                <w:rFonts w:ascii="Times New Roman" w:hAnsi="Times New Roman" w:hint="default"/>
                <w:i w:val="1"/>
                <w:iCs w:val="1"/>
                <w:sz w:val="20"/>
                <w:szCs w:val="20"/>
                <w:u w:color="000000"/>
                <w:shd w:val="nil" w:color="auto" w:fill="auto"/>
                <w:rtl w:val="0"/>
              </w:rPr>
              <w:t>×</w:t>
            </w:r>
            <w:r>
              <w:rPr>
                <w:rFonts w:ascii="Times New Roman" w:hAnsi="Times New Roman"/>
                <w:i w:val="1"/>
                <w:iCs w:val="1"/>
                <w:sz w:val="20"/>
                <w:szCs w:val="20"/>
                <w:u w:color="000000"/>
                <w:shd w:val="nil" w:color="auto" w:fill="auto"/>
                <w:rtl w:val="0"/>
              </w:rPr>
              <w:t>1.32 maximum</w:t>
            </w:r>
          </w:p>
        </w:tc>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Explicit BOOST_MAX = 1.32 constant; BoostApplied and BoostFlags columns added to output</w:t>
            </w:r>
          </w:p>
        </w:tc>
      </w:tr>
    </w:tbl>
    <w:p>
      <w:pPr>
        <w:pStyle w:val="머리말 3"/>
        <w:widowControl w:val="0"/>
      </w:pPr>
    </w:p>
    <w:p>
      <w:pPr>
        <w:pStyle w:val="머리말 3"/>
        <w:widowControl w:val="0"/>
        <w:rPr>
          <w:b w:val="0"/>
          <w:bCs w:val="0"/>
        </w:rPr>
      </w:pPr>
      <w:r>
        <w:rPr>
          <w:rFonts w:ascii="Times New Roman" w:hAnsi="Times New Roman" w:hint="default"/>
          <w:b w:val="0"/>
          <w:bCs w:val="0"/>
          <w:outline w:val="0"/>
          <w:color w:val="000000"/>
          <w:sz w:val="20"/>
          <w:szCs w:val="20"/>
          <w:u w:color="000000"/>
          <w:rtl w:val="0"/>
          <w14:textFill>
            <w14:solidFill>
              <w14:srgbClr w14:val="000000"/>
            </w14:solidFill>
          </w14:textFill>
        </w:rPr>
        <w:t xml:space="preserve">† </w:t>
      </w:r>
      <w:r>
        <w:rPr>
          <w:rFonts w:ascii="Times New Roman" w:hAnsi="Times New Roman"/>
          <w:b w:val="0"/>
          <w:bCs w:val="0"/>
          <w:outline w:val="0"/>
          <w:color w:val="000000"/>
          <w:sz w:val="20"/>
          <w:szCs w:val="20"/>
          <w:u w:color="000000"/>
          <w:rtl w:val="0"/>
          <w:lang w:val="en-US"/>
          <w14:textFill>
            <w14:solidFill>
              <w14:srgbClr w14:val="000000"/>
            </w14:solidFill>
          </w14:textFill>
        </w:rPr>
        <w:t>Bold values indicate best performance per metric. Shaded row indicates proposed model.</w:t>
      </w:r>
    </w:p>
    <w:p>
      <w:pPr>
        <w:pStyle w:val="머리말 3"/>
        <w:widowControl w:val="0"/>
      </w:pP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3.3 Data Preprocessing and Node Embedding</w:t>
      </w:r>
    </w:p>
    <w:p>
      <w:pPr>
        <w:pStyle w:val="머리말 3"/>
        <w:spacing w:line="480" w:lineRule="auto"/>
        <w:rPr>
          <w:rFonts w:ascii="Times New Roman" w:cs="Times New Roman" w:hAnsi="Times New Roman" w:eastAsia="Times New Roman"/>
        </w:rPr>
      </w:pPr>
      <w:r>
        <w:rPr>
          <w:rFonts w:ascii="Times New Roman" w:hAnsi="Times New Roman"/>
          <w:rtl w:val="0"/>
          <w:lang w:val="de-DE"/>
        </w:rPr>
        <w:t>3.3.1 Patent Node Representation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Each patent node is represented by a 384-dimensional dense vector produced by the all-MiniLM-L6-v2 Sentence-BERT (SBERT) model [Reimers and Gurevych, 2019], applied to the concatenation of the invention title and abstract. SBERT's contrastive training objective produces geometrically coherent embeddings in which semantically related patents occupy proximate regions of the embedding space. These embeddings provide the GNN encoder with a meaningful semantic initialisation that extends beyond keyword overlap to latent conceptual similarity. Prior work in the patent domain has validated this approach for classification and similarity tasks [M-GAT, arXiv 2025], and the present study extends it to the demand prediction task.</w:t>
      </w:r>
    </w:p>
    <w:p>
      <w:pPr>
        <w:pStyle w:val="머리말 3"/>
        <w:spacing w:line="480" w:lineRule="auto"/>
        <w:rPr>
          <w:rFonts w:ascii="Times New Roman" w:cs="Times New Roman" w:hAnsi="Times New Roman" w:eastAsia="Times New Roman"/>
        </w:rPr>
      </w:pPr>
      <w:r>
        <w:rPr>
          <w:rFonts w:ascii="Times New Roman" w:hAnsi="Times New Roman"/>
          <w:rtl w:val="0"/>
          <w:lang w:val="en-US"/>
        </w:rPr>
        <w:t>3.3.2 Company Node Representation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Company nodes lack a natural textual descriptor analogous to patent abstracts. Company node features are therefore initialised as a learnable embedding matrix of fixed dimension, optimised end-to-end alongside the GNN parameters during training. Through repeated message passing, these embeddings absorb structural context derived from each company's patent citation neighbourhood and historical transfer partners, yielding representations that reflect both industrial positioning and technology engagement history without requiring any external company metadata.</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3.4 Heterogeneous Graph Construction</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3.4.1 Node and Edge Type Definitions</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The heterogeneous graph G contains two node types and three edge types. Patent nodes (|P|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370,000) carry SBERT-initialised feature vectors; Company nodes (|C|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12,400) carry trainable embeddings. Three directed edge types are defined: (1) patent-cites-patent edges from the citation network (|E_cite|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910,000); (2) patent-transferred-to-company edges from observed historical technology transfer records (|E_transfer|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48,600); and (3) the reverse company-received-from-patent edges, added to enable bidirectional message passing. Separate learnable aggregation parameters are maintained per edge type in the GNN encoder.</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3.4.2 Graph Topology and Sparsity Characteristics</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patent</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company transfer subgraph is sparse, with a mean company degree of approximately 3.9 transfer edges. The degree distribution is heavily right-skewed: a small number of large technology conglomerates account for a disproportionate share of all transfer events, producing a pronounced hub-node bias. This structural characteristic motivates the robustness techniques described in Section 3.6. The citation subgraph is denser but similarly skewed, with a small set of highly cited foundational patents occupying central positions in the network topology.</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3.5 GNN Model Architecture</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de-DE"/>
        </w:rPr>
        <w:t>3.5.1 Heterogeneous GraphSAGE Encoder</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GraphSAGE [Hamilton et al., 2017] updates each node's representation by sampling a fixed-size neighbourhood, applying a learnable mean aggregation function, and concatenating the aggregated neighbourhood vector with the node's own current embedding before a shared linear projection. For heterogeneous graphs, separate aggregation parameters are maintained per edge type; type-specific messages are summed prior to the final projection. The inductive formulation allows the encoder to generalise to nodes absent from the training graph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a relevant property for handling newly filed patents that have not yet accumulated citation history.</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3.5.2 Graph Attention Network (GAT) Encoder</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GAT encoder [Velickovi</w:t>
      </w:r>
      <w:r>
        <w:rPr>
          <w:rFonts w:ascii="Times New Roman" w:hAnsi="Times New Roman" w:hint="default"/>
          <w:b w:val="0"/>
          <w:bCs w:val="0"/>
          <w:i w:val="0"/>
          <w:iCs w:val="0"/>
          <w:outline w:val="0"/>
          <w:color w:val="000000"/>
          <w:u w:color="000000"/>
          <w:rtl w:val="0"/>
          <w14:textFill>
            <w14:solidFill>
              <w14:srgbClr w14:val="000000"/>
            </w14:solidFill>
          </w14:textFill>
        </w:rPr>
        <w:t xml:space="preserve">ć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et al., 2018] replaces fixed mean aggregation with attention-weighted aggregation. For each directed edge (j </w:t>
      </w:r>
      <w:r>
        <w:rPr>
          <w:rFonts w:ascii="Times New Roman" w:hAnsi="Times New Roman" w:hint="default"/>
          <w:b w:val="0"/>
          <w:bCs w:val="0"/>
          <w:i w:val="0"/>
          <w:iCs w:val="0"/>
          <w:outline w:val="0"/>
          <w:color w:val="000000"/>
          <w:u w:color="000000"/>
          <w:rtl w:val="0"/>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i), an attention coefficient </w:t>
      </w:r>
      <w:r>
        <w:rPr>
          <w:rFonts w:ascii="Times New Roman" w:hAnsi="Times New Roman" w:hint="default"/>
          <w:b w:val="0"/>
          <w:bCs w:val="0"/>
          <w:i w:val="0"/>
          <w:iCs w:val="0"/>
          <w:outline w:val="0"/>
          <w:color w:val="000000"/>
          <w:u w:color="000000"/>
          <w:rtl w:val="0"/>
          <w14:textFill>
            <w14:solidFill>
              <w14:srgbClr w14:val="000000"/>
            </w14:solidFill>
          </w14:textFill>
        </w:rPr>
        <w:t>α</w:t>
      </w:r>
      <w:r>
        <w:rPr>
          <w:rFonts w:ascii="Times New Roman" w:hAnsi="Times New Roman"/>
          <w:b w:val="0"/>
          <w:bCs w:val="0"/>
          <w:i w:val="0"/>
          <w:iCs w:val="0"/>
          <w:outline w:val="0"/>
          <w:color w:val="000000"/>
          <w:u w:color="000000"/>
          <w:rtl w:val="0"/>
          <w:lang w:val="en-US"/>
          <w14:textFill>
            <w14:solidFill>
              <w14:srgbClr w14:val="000000"/>
            </w14:solidFill>
          </w14:textFill>
        </w:rPr>
        <w:t>_{ij} is computed via a shared attention vector applied to the concatenated source and target node embeddings, followed by a LeakyReLU nonlinearity and softmax normalisation over all neighbours of node i. This allows the encoder to assign differential importance to individual patent</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company connections, rather than treating all neighbours uniformly. The mechanism is particularly relevant for hub-dominated graphs: uniform aggregation risks propagating noise from peripheral high-degree nodes, whereas attention coefficients provide a learned filter that concentrates representational capacity on the most informative edges. Four attention heads are used; intermediate layers concatenate head outputs while the final layer averages them. The static attention limitation identified by Brody et al. [2022] motivates GATv2 as a future extension, as discussed in Section 5.2.</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encoder applied to the patent citation and transfer graph follows the multirelational GAT formulation. For each node type, a separate linear projection is applied per incoming edge type, and the resulting projected representations are passed through the attention mechanism before summation. This design, validated on patent graphs by Chang et al. [2024] and GAT-NGCF [2025], enables the model to learn distinct interaction patterns for citation-based and transfer-based neighbourhoods within a unified encoder.</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3.5.3 Dot-Product Link Prediction Decoder</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Given the encoder-produced patent embedding h_p and company embedding h_c, the probability of a demand link is estimated as </w:t>
      </w:r>
      <w:r>
        <w:rPr>
          <w:rFonts w:ascii="Times New Roman" w:hAnsi="Times New Roman" w:hint="default"/>
          <w:b w:val="0"/>
          <w:bCs w:val="0"/>
          <w:i w:val="0"/>
          <w:iCs w:val="0"/>
          <w:outline w:val="0"/>
          <w:color w:val="000000"/>
          <w:u w:color="000000"/>
          <w:rtl w:val="0"/>
          <w14:textFill>
            <w14:solidFill>
              <w14:srgbClr w14:val="000000"/>
            </w14:solidFill>
          </w14:textFill>
        </w:rPr>
        <w:t>σ</w:t>
      </w:r>
      <w:r>
        <w:rPr>
          <w:rFonts w:ascii="Times New Roman" w:hAnsi="Times New Roman"/>
          <w:b w:val="0"/>
          <w:bCs w:val="0"/>
          <w:i w:val="0"/>
          <w:iCs w:val="0"/>
          <w:outline w:val="0"/>
          <w:color w:val="000000"/>
          <w:u w:color="000000"/>
          <w:rtl w:val="0"/>
          <w:lang w:val="en-US"/>
          <w14:textFill>
            <w14:solidFill>
              <w14:srgbClr w14:val="000000"/>
            </w14:solidFill>
          </w14:textFill>
        </w:rPr>
        <w:t xml:space="preserve">(h_p </w:t>
      </w:r>
      <w:r>
        <w:rPr>
          <w:rFonts w:ascii="Times New Roman" w:hAnsi="Times New Roman" w:hint="default"/>
          <w:b w:val="0"/>
          <w:bCs w:val="0"/>
          <w:i w:val="0"/>
          <w:iCs w:val="0"/>
          <w:outline w:val="0"/>
          <w:color w:val="000000"/>
          <w:u w:color="000000"/>
          <w:rtl w:val="0"/>
          <w:lang w:val="de-DE"/>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h_c), where </w:t>
      </w:r>
      <w:r>
        <w:rPr>
          <w:rFonts w:ascii="Times New Roman" w:hAnsi="Times New Roman" w:hint="default"/>
          <w:b w:val="0"/>
          <w:bCs w:val="0"/>
          <w:i w:val="0"/>
          <w:iCs w:val="0"/>
          <w:outline w:val="0"/>
          <w:color w:val="000000"/>
          <w:u w:color="000000"/>
          <w:rtl w:val="0"/>
          <w14:textFill>
            <w14:solidFill>
              <w14:srgbClr w14:val="000000"/>
            </w14:solidFill>
          </w14:textFill>
        </w:rPr>
        <w:t xml:space="preserve">σ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denotes the sigmoid function and </w:t>
      </w:r>
      <w:r>
        <w:rPr>
          <w:rFonts w:ascii="Times New Roman" w:hAnsi="Times New Roman" w:hint="default"/>
          <w:b w:val="0"/>
          <w:bCs w:val="0"/>
          <w:i w:val="0"/>
          <w:iCs w:val="0"/>
          <w:outline w:val="0"/>
          <w:color w:val="000000"/>
          <w:u w:color="000000"/>
          <w:rtl w:val="0"/>
          <w:lang w:val="de-DE"/>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the inner product. This parameter-free decoder is computationally efficient and has demonstrated competitive performance relative to MLP-based decoders on sparse recommendation graphs. The model is trained under binary cross-entropy loss over balanced mini-batches of positive and dynamically sampled negative edges.</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3.6 Training Strategy and Robustness Techniques</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3.6.1 Positive and Negative Sample Construction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Positive training edges are sampled from E_transfer. For each training epoch, an equal number of negative edges are drawn uniformly at random from all patent</w:t>
      </w:r>
      <w:r>
        <w:rPr>
          <w:rFonts w:ascii="Times New Roman" w:hAnsi="Times New Roman" w:hint="default"/>
          <w:b w:val="0"/>
          <w:bCs w:val="0"/>
          <w:i w:val="0"/>
          <w:iCs w:val="0"/>
          <w:outline w:val="0"/>
          <w:color w:val="000000"/>
          <w:u w:color="000000"/>
          <w:rtl w:val="0"/>
          <w14:textFill>
            <w14:solidFill>
              <w14:srgbClr w14:val="000000"/>
            </w14:solidFill>
          </w14:textFill>
        </w:rPr>
        <w:t>–</w:t>
      </w:r>
      <w:r>
        <w:rPr>
          <w:rFonts w:ascii="Times New Roman" w:hAnsi="Times New Roman"/>
          <w:b w:val="0"/>
          <w:bCs w:val="0"/>
          <w:i w:val="0"/>
          <w:iCs w:val="0"/>
          <w:outline w:val="0"/>
          <w:color w:val="000000"/>
          <w:u w:color="000000"/>
          <w:rtl w:val="0"/>
          <w:lang w:val="en-US"/>
          <w14:textFill>
            <w14:solidFill>
              <w14:srgbClr w14:val="000000"/>
            </w14:solidFill>
          </w14:textFill>
        </w:rPr>
        <w:t>company pairs absent from E_transfer. The dataset is partitioned at the edge level with a 70/15/15 ratio for training, validation, and testing respectively. Stratified splitting is applied to ensure each partition contains representative proportions of both frequent-company and rare-company transfer events.</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3.6.2 Dynamic Negative Sampling</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 xml:space="preserve">Static negative sampling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 xml:space="preserve">fixing a single random set of negative edges for the entire training run </w:t>
      </w:r>
      <w:r>
        <w:rPr>
          <w:rFonts w:ascii="Times New Roman" w:hAnsi="Times New Roman" w:hint="default"/>
          <w:b w:val="0"/>
          <w:bCs w:val="0"/>
          <w:i w:val="0"/>
          <w:iCs w:val="0"/>
          <w:outline w:val="0"/>
          <w:color w:val="000000"/>
          <w:u w:color="000000"/>
          <w:rtl w:val="0"/>
          <w:lang w:val="en-US"/>
          <w14:textFill>
            <w14:solidFill>
              <w14:srgbClr w14:val="000000"/>
            </w14:solidFill>
          </w14:textFill>
        </w:rPr>
        <w:t xml:space="preserve">— </w:t>
      </w:r>
      <w:r>
        <w:rPr>
          <w:rFonts w:ascii="Times New Roman" w:hAnsi="Times New Roman"/>
          <w:b w:val="0"/>
          <w:bCs w:val="0"/>
          <w:i w:val="0"/>
          <w:iCs w:val="0"/>
          <w:outline w:val="0"/>
          <w:color w:val="000000"/>
          <w:u w:color="000000"/>
          <w:rtl w:val="0"/>
          <w:lang w:val="en-US"/>
          <w14:textFill>
            <w14:solidFill>
              <w14:srgbClr w14:val="000000"/>
            </w14:solidFill>
          </w14:textFill>
        </w:rPr>
        <w:t>risks the model memorising specific non-transfer pairs rather than learning generalisable structural patterns, leading to distorted evaluation metrics. Dynamic negative sampling addresses this by re-drawing the full negative edge set at the beginning of every epoch. This forces the model to encounter a diverse and evolving set of negatives throughout training, expanding coverage of the embedding space and reducing cross-seed variance. The approach is consistent with curriculum sampling strategies employed in large-scale link prediction systems [PTNS, Scientific Reports 2024].</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fr-FR"/>
        </w:rPr>
        <w:t>3.6.3 DropEdge Data Augmentation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Patent transaction networks exhibit pronounced hub-node bias: a small number of prominent companies participate in the majority of transfer events, creating high-weight topological shortcuts that GNN message passing may exploit as a form of structural shortcut learning. DropEdge [Rong et al., 2020] addresses this by randomly removing a fraction p = 0.2 of all structural edges from the graph at the start of each forward pass during training. The full graph is restored for validation and testing, so DropEdge operates as a stochastic regulariser with no inference-time overhead. By masking different edge subsets per forward pass, the encoder is encouraged to build node representations from diverse topological contexts rather than concentrating on a fixed set of hub-connected pathways. The drop rate p = 0.2 was selected via grid search on the validation set.</w:t>
      </w:r>
    </w:p>
    <w:p>
      <w:pPr>
        <w:pStyle w:val="머리말 3"/>
        <w:spacing w:line="480" w:lineRule="auto"/>
        <w:rPr>
          <w:rFonts w:ascii="Times New Roman" w:cs="Times New Roman" w:hAnsi="Times New Roman" w:eastAsia="Times New Roman"/>
          <w:i w:val="0"/>
          <w:iCs w:val="0"/>
        </w:rPr>
      </w:pPr>
      <w:r>
        <w:rPr>
          <w:rFonts w:ascii="Times New Roman" w:hAnsi="Times New Roman"/>
          <w:i w:val="0"/>
          <w:iCs w:val="0"/>
          <w:rtl w:val="0"/>
          <w:lang w:val="en-US"/>
        </w:rPr>
        <w:t>3.6.4 Early Stopping and Loss Function</w:t>
      </w:r>
    </w:p>
    <w:p>
      <w:pPr>
        <w:pStyle w:val="머리말 3"/>
        <w:spacing w:line="480" w:lineRule="auto"/>
        <w:rPr>
          <w:b w:val="0"/>
          <w:bCs w:val="0"/>
          <w:i w:val="0"/>
          <w:iCs w:val="0"/>
        </w:rPr>
      </w:pPr>
      <w:r>
        <w:rPr>
          <w:rFonts w:ascii="Times New Roman" w:hAnsi="Times New Roman"/>
          <w:b w:val="0"/>
          <w:bCs w:val="0"/>
          <w:i w:val="0"/>
          <w:iCs w:val="0"/>
          <w:outline w:val="0"/>
          <w:color w:val="000000"/>
          <w:u w:color="000000"/>
          <w:rtl w:val="0"/>
          <w:lang w:val="en-US"/>
          <w14:textFill>
            <w14:solidFill>
              <w14:srgbClr w14:val="000000"/>
            </w14:solidFill>
          </w14:textFill>
        </w:rPr>
        <w:t>The model is trained for a maximum of 100 epochs using the Adam optimiser with a learning rate of 0.01. Validation AUC is monitored after each epoch; training is halted when no improvement is observed for five consecutive epochs (patience = 5). The weights corresponding to the epoch of highest validation AUC are retained for final evaluation. Binary cross-entropy loss is computed over balanced mini-batches of positive edges and dynamically drawn negative edges. All reported results are averaged across five independent runs with different random seeds to ensure statistical reliability.</w:t>
      </w:r>
    </w:p>
    <w:p>
      <w:pPr>
        <w:pStyle w:val="머리말 3"/>
      </w:pPr>
    </w:p>
    <w:p>
      <w:pPr>
        <w:pStyle w:val="머리말"/>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4. Experimental Results</w:t>
      </w:r>
    </w:p>
    <w:p>
      <w:pPr>
        <w:pStyle w:val="머리말"/>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This section reports quantitative performance comparisons between the proposed GNN models and baseline methods, an ablation study isolating the contribution of each component, and a robustness analysis across five independent random seeds.</w:t>
      </w:r>
    </w:p>
    <w:p>
      <w:pPr>
        <w:pStyle w:val="머리말 2"/>
        <w:spacing w:line="480" w:lineRule="auto"/>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4.1 Dataset Description and Statistics</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 xml:space="preserve">All experiments use the KIPRIS tblTrans dataset, which contains technology transfer transaction records between Korean research institutions and industrial companies. After preprocessing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removing duplicate transfer records, resolving company entity aliases, and filtering patents without title or abstract text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the final dataset comprises 370,000 unique patents, approximately 12,400 unique companies, 48,600 observed technology transfer edges, and 910,000 patent citation edges. The transfer subgraph density is approximately 1.06 </w:t>
      </w:r>
      <w:r>
        <w:rPr>
          <w:rFonts w:ascii="Times New Roman" w:hAnsi="Times New Roman" w:hint="default"/>
          <w:b w:val="0"/>
          <w:bCs w:val="0"/>
          <w:outline w:val="0"/>
          <w:color w:val="000000"/>
          <w:sz w:val="22"/>
          <w:szCs w:val="22"/>
          <w:u w:color="000000"/>
          <w:rtl w:val="0"/>
          <w14:textFill>
            <w14:solidFill>
              <w14:srgbClr w14:val="000000"/>
            </w14:solidFill>
          </w14:textFill>
        </w:rPr>
        <w:t xml:space="preserve">× </w:t>
      </w:r>
      <w:r>
        <w:rPr>
          <w:rFonts w:ascii="Times New Roman" w:hAnsi="Times New Roman"/>
          <w:b w:val="0"/>
          <w:bCs w:val="0"/>
          <w:outline w:val="0"/>
          <w:color w:val="000000"/>
          <w:sz w:val="22"/>
          <w:szCs w:val="22"/>
          <w:u w:color="000000"/>
          <w:rtl w:val="0"/>
          <w14:textFill>
            <w14:solidFill>
              <w14:srgbClr w14:val="000000"/>
            </w14:solidFill>
          </w14:textFill>
        </w:rPr>
        <w:t>10</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⁻⁵</w:t>
      </w:r>
      <w:r>
        <w:rPr>
          <w:rFonts w:ascii="Times New Roman" w:hAnsi="Times New Roman"/>
          <w:b w:val="0"/>
          <w:bCs w:val="0"/>
          <w:outline w:val="0"/>
          <w:color w:val="000000"/>
          <w:sz w:val="22"/>
          <w:szCs w:val="22"/>
          <w:u w:color="000000"/>
          <w:rtl w:val="0"/>
          <w:lang w:val="en-US"/>
          <w14:textFill>
            <w14:solidFill>
              <w14:srgbClr w14:val="000000"/>
            </w14:solidFill>
          </w14:textFill>
        </w:rPr>
        <w:t>, reflecting the extreme sparsity characteristic of real-world technology transfer markets.</w:t>
      </w:r>
    </w:p>
    <w:p>
      <w:pPr>
        <w:pStyle w:val="머리말 2"/>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4.2 Experimental Setup and Baseline Models</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All GNN models are implemented in PyTorch Geometric. Hyperparameters are selected via grid search on the validation AUC; the final configuration is reported in Table 3. Five model configurations are evaluated:</w:t>
      </w:r>
    </w:p>
    <w:p>
      <w:pPr>
        <w:pStyle w:val="List Paragraph"/>
        <w:numPr>
          <w:ilvl w:val="0"/>
          <w:numId w:val="2"/>
        </w:numPr>
        <w:spacing w:after="80" w:line="480" w:lineRule="auto"/>
        <w:rPr>
          <w:sz w:val="22"/>
          <w:szCs w:val="22"/>
          <w:lang w:val="en-US"/>
        </w:rPr>
      </w:pPr>
      <w:r>
        <w:rPr>
          <w:sz w:val="22"/>
          <w:szCs w:val="22"/>
          <w:rtl w:val="0"/>
          <w:lang w:val="en-US"/>
        </w:rPr>
        <w:t>Random (lower bound): edges</w:t>
      </w:r>
      <w:r>
        <w:rPr>
          <w:sz w:val="22"/>
          <w:szCs w:val="22"/>
          <w:rtl w:val="0"/>
          <w:lang w:val="en-US"/>
        </w:rPr>
        <w:t xml:space="preserve"> scored uniformly at random, establishing the theoretical lower performance bound.</w:t>
      </w:r>
    </w:p>
    <w:p>
      <w:pPr>
        <w:pStyle w:val="List Paragraph"/>
        <w:numPr>
          <w:ilvl w:val="0"/>
          <w:numId w:val="2"/>
        </w:numPr>
        <w:spacing w:after="80" w:line="480" w:lineRule="auto"/>
        <w:rPr>
          <w:sz w:val="22"/>
          <w:szCs w:val="22"/>
          <w:lang w:val="en-US"/>
        </w:rPr>
      </w:pPr>
      <w:r>
        <w:rPr>
          <w:sz w:val="22"/>
          <w:szCs w:val="22"/>
          <w:rtl w:val="0"/>
          <w:lang w:val="en-US"/>
        </w:rPr>
        <w:t xml:space="preserve">MLP </w:t>
      </w:r>
      <w:r>
        <w:rPr>
          <w:sz w:val="22"/>
          <w:szCs w:val="22"/>
          <w:rtl w:val="0"/>
          <w:lang w:val="en-US"/>
        </w:rPr>
        <w:t xml:space="preserve">— </w:t>
      </w:r>
      <w:r>
        <w:rPr>
          <w:sz w:val="22"/>
          <w:szCs w:val="22"/>
          <w:rtl w:val="0"/>
          <w:lang w:val="en-US"/>
        </w:rPr>
        <w:t>text only: a two-layer multi-layer perceptron applied to the concatenated SBERT embeddings of the patent and company nodes. No graph structure is used. This isolates the contribution of semantic similarity alone.</w:t>
      </w:r>
    </w:p>
    <w:p>
      <w:pPr>
        <w:pStyle w:val="List Paragraph"/>
        <w:numPr>
          <w:ilvl w:val="0"/>
          <w:numId w:val="2"/>
        </w:numPr>
        <w:spacing w:after="80" w:line="480" w:lineRule="auto"/>
        <w:rPr>
          <w:sz w:val="22"/>
          <w:szCs w:val="22"/>
          <w:lang w:val="de-DE"/>
        </w:rPr>
      </w:pPr>
      <w:r>
        <w:rPr>
          <w:sz w:val="22"/>
          <w:szCs w:val="22"/>
          <w:rtl w:val="0"/>
          <w:lang w:val="de-DE"/>
        </w:rPr>
        <w:t xml:space="preserve">GNN </w:t>
      </w:r>
      <w:r>
        <w:rPr>
          <w:sz w:val="22"/>
          <w:szCs w:val="22"/>
          <w:rtl w:val="0"/>
          <w:lang w:val="en-US"/>
        </w:rPr>
        <w:t xml:space="preserve">— </w:t>
      </w:r>
      <w:r>
        <w:rPr>
          <w:sz w:val="22"/>
          <w:szCs w:val="22"/>
          <w:rtl w:val="0"/>
          <w:lang w:val="en-US"/>
        </w:rPr>
        <w:t>GraphSAGE: heterogeneous GraphSAGE encoder with mean aggregation and dynamic negative sampling.</w:t>
      </w:r>
    </w:p>
    <w:p>
      <w:pPr>
        <w:pStyle w:val="List Paragraph"/>
        <w:numPr>
          <w:ilvl w:val="0"/>
          <w:numId w:val="2"/>
        </w:numPr>
        <w:spacing w:after="80" w:line="480" w:lineRule="auto"/>
        <w:rPr>
          <w:sz w:val="22"/>
          <w:szCs w:val="22"/>
          <w:lang w:val="de-DE"/>
        </w:rPr>
      </w:pPr>
      <w:r>
        <w:rPr>
          <w:sz w:val="22"/>
          <w:szCs w:val="22"/>
          <w:rtl w:val="0"/>
          <w:lang w:val="de-DE"/>
        </w:rPr>
        <w:t xml:space="preserve">GNN </w:t>
      </w:r>
      <w:r>
        <w:rPr>
          <w:sz w:val="22"/>
          <w:szCs w:val="22"/>
          <w:rtl w:val="0"/>
          <w:lang w:val="en-US"/>
        </w:rPr>
        <w:t xml:space="preserve">— </w:t>
      </w:r>
      <w:r>
        <w:rPr>
          <w:sz w:val="22"/>
          <w:szCs w:val="22"/>
          <w:rtl w:val="0"/>
          <w:lang w:val="en-US"/>
        </w:rPr>
        <w:t>GraphSAGE + DropEdge: the GraphSAGE configuration with the addition of DropEdge augmentation at p = 0.2.</w:t>
      </w:r>
    </w:p>
    <w:p>
      <w:pPr>
        <w:pStyle w:val="List Paragraph"/>
        <w:numPr>
          <w:ilvl w:val="0"/>
          <w:numId w:val="2"/>
        </w:numPr>
        <w:spacing w:after="80" w:line="480" w:lineRule="auto"/>
        <w:rPr>
          <w:sz w:val="22"/>
          <w:szCs w:val="22"/>
          <w:lang w:val="de-DE"/>
        </w:rPr>
      </w:pPr>
      <w:r>
        <w:rPr>
          <w:sz w:val="22"/>
          <w:szCs w:val="22"/>
          <w:rtl w:val="0"/>
          <w:lang w:val="de-DE"/>
        </w:rPr>
        <w:t xml:space="preserve">GNN </w:t>
      </w:r>
      <w:r>
        <w:rPr>
          <w:sz w:val="22"/>
          <w:szCs w:val="22"/>
          <w:rtl w:val="0"/>
          <w:lang w:val="en-US"/>
        </w:rPr>
        <w:t xml:space="preserve">— </w:t>
      </w:r>
      <w:r>
        <w:rPr>
          <w:sz w:val="22"/>
          <w:szCs w:val="22"/>
          <w:rtl w:val="0"/>
          <w:lang w:val="en-US"/>
        </w:rPr>
        <w:t>GAT (proposed model): heterogeneous GAT encoder with four attention heads and dynamic negative sampling.</w:t>
      </w:r>
    </w:p>
    <w:p>
      <w:pPr>
        <w:pStyle w:val="List Paragraph"/>
        <w:spacing w:after="80"/>
      </w:pPr>
    </w:p>
    <w:p>
      <w:pPr>
        <w:pStyle w:val="List Paragraph"/>
        <w:spacing w:after="80"/>
      </w:pPr>
      <w:r>
        <w:rPr>
          <w:b w:val="1"/>
          <w:bCs w:val="1"/>
          <w:rtl w:val="0"/>
          <w:lang w:val="fr-FR"/>
        </w:rPr>
        <w:t xml:space="preserve">Table 3. Hyperparameter configuration </w:t>
      </w:r>
      <w:r>
        <w:rPr>
          <w:b w:val="1"/>
          <w:bCs w:val="1"/>
          <w:rtl w:val="0"/>
          <w:lang w:val="en-US"/>
        </w:rPr>
        <w:t xml:space="preserve">— </w:t>
      </w:r>
      <w:r>
        <w:rPr>
          <w:b w:val="1"/>
          <w:bCs w:val="1"/>
          <w:rtl w:val="0"/>
          <w:lang w:val="en-US"/>
        </w:rPr>
        <w:t>values selected by grid search on validation AUC</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12"/>
        <w:gridCol w:w="2574"/>
        <w:gridCol w:w="2574"/>
      </w:tblGrid>
      <w:tr>
        <w:tblPrEx>
          <w:shd w:val="clear" w:color="auto" w:fill="ced7e7"/>
        </w:tblPrEx>
        <w:trPr>
          <w:trHeight w:val="214" w:hRule="atLeast"/>
        </w:trPr>
        <w:tc>
          <w:tcPr>
            <w:tcW w:type="dxa" w:w="4212"/>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Hyperparameter</w:t>
            </w:r>
          </w:p>
        </w:tc>
        <w:tc>
          <w:tcPr>
            <w:tcW w:type="dxa" w:w="2574"/>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Selected value</w:t>
            </w:r>
          </w:p>
        </w:tc>
        <w:tc>
          <w:tcPr>
            <w:tcW w:type="dxa" w:w="2574"/>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Search range</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nl-NL"/>
              </w:rPr>
              <w:t>Hidden dimensions</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32</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16, 32, 64, 128</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Learning rate</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0.01</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0.001, 0.005, 0.01</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Dropout rate</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0.1</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it-IT"/>
              </w:rPr>
              <w:t>0.0, 0.1, 0.3, 0.5</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DropEdge rate (p)</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0.2</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pt-PT"/>
              </w:rPr>
              <w:t>0.1, 0.2, 0.3</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de-DE"/>
              </w:rPr>
              <w:t>Maximum epochs</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100</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Fixed</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Early stopping patience</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5 epochs</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3, 5, 10</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GAT attention heads</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4</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2, 4, 8</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Negative sampling ratio</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ru-RU"/>
              </w:rPr>
              <w:t>1:1</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Fixed</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rPr>
              <w:t>Optimiser</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Adam</w:t>
            </w:r>
          </w:p>
        </w:tc>
        <w:tc>
          <w:tcPr>
            <w:tcW w:type="dxa" w:w="257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hint="default"/>
                <w:sz w:val="20"/>
                <w:szCs w:val="20"/>
                <w:u w:color="000000"/>
                <w:shd w:val="nil" w:color="auto" w:fill="auto"/>
                <w:rtl w:val="0"/>
                <w:lang w:val="en-US"/>
              </w:rPr>
              <w:t>—</w:t>
            </w:r>
          </w:p>
        </w:tc>
      </w:tr>
    </w:tbl>
    <w:p>
      <w:pPr>
        <w:pStyle w:val="List Paragraph"/>
        <w:widowControl w:val="0"/>
        <w:spacing w:after="80"/>
      </w:pPr>
    </w:p>
    <w:p>
      <w:pPr>
        <w:pStyle w:val="List Paragraph"/>
        <w:widowControl w:val="0"/>
        <w:spacing w:after="80"/>
      </w:pPr>
      <w:r>
        <w:rPr>
          <w:i w:val="1"/>
          <w:iCs w:val="1"/>
          <w:rtl w:val="0"/>
          <w:lang w:val="en-US"/>
        </w:rPr>
        <w:t>All GNN models use mini-batch edge sampling; MLP uses full-batch training.</w:t>
      </w:r>
    </w:p>
    <w:p>
      <w:pPr>
        <w:pStyle w:val="List Paragraph"/>
        <w:widowControl w:val="0"/>
        <w:spacing w:after="80"/>
      </w:pPr>
    </w:p>
    <w:p>
      <w:pPr>
        <w:pStyle w:val="머리말 2"/>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fr-FR"/>
          <w14:textFill>
            <w14:solidFill>
              <w14:srgbClr w14:val="000000"/>
            </w14:solidFill>
          </w14:textFill>
        </w:rPr>
        <w:t>4.3 Quantitative Evaluation</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 xml:space="preserve">Table 4 reports the mean and standard deviation of validation AUC and Average Precision (AP) across five independent random seeds for all five model configurations. The proposed GAT model achieves a mean validation AUC of 0.8453 </w:t>
      </w:r>
      <w:r>
        <w:rPr>
          <w:rFonts w:ascii="Times New Roman" w:hAnsi="Times New Roman" w:hint="default"/>
          <w:b w:val="0"/>
          <w:bCs w:val="0"/>
          <w:outline w:val="0"/>
          <w:color w:val="000000"/>
          <w:sz w:val="22"/>
          <w:szCs w:val="22"/>
          <w:u w:color="000000"/>
          <w:rtl w:val="1"/>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0.0207 and a mean AP of 0.8281 </w:t>
      </w:r>
      <w:r>
        <w:rPr>
          <w:rFonts w:ascii="Times New Roman" w:hAnsi="Times New Roman" w:hint="default"/>
          <w:b w:val="0"/>
          <w:bCs w:val="0"/>
          <w:outline w:val="0"/>
          <w:color w:val="000000"/>
          <w:sz w:val="22"/>
          <w:szCs w:val="22"/>
          <w:u w:color="000000"/>
          <w:rtl w:val="1"/>
          <w14:textFill>
            <w14:solidFill>
              <w14:srgbClr w14:val="000000"/>
            </w14:solidFill>
          </w14:textFill>
        </w:rPr>
        <w:t xml:space="preserve">± </w:t>
      </w:r>
      <w:r>
        <w:rPr>
          <w:rFonts w:ascii="Times New Roman" w:hAnsi="Times New Roman"/>
          <w:b w:val="0"/>
          <w:bCs w:val="0"/>
          <w:outline w:val="0"/>
          <w:color w:val="000000"/>
          <w:sz w:val="22"/>
          <w:szCs w:val="22"/>
          <w:u w:color="000000"/>
          <w:rtl w:val="0"/>
          <w14:textFill>
            <w14:solidFill>
              <w14:srgbClr w14:val="000000"/>
            </w14:solidFill>
          </w14:textFill>
        </w:rPr>
        <w:t xml:space="preserve">0.0452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the highest values on both metrics among all tested architectures.</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The performance progression from Random to MLP to GraphSAGE to GAT illustrates the additive value of each component. The MLP baseline (AUC 0.5841) confirms that semantic similarity alone provides limited discrimination. The improvement from MLP to GraphSAGE (AUC 0.7772) demonstrates that graph structural context carries predictive signal beyond patent text semantics. The further gain from GraphSAGE to GAT (AUC 0.8453) indicates that attention-weighted aggregation is better suited to the hub-node-biased topology of patent transaction networks than uniform mean aggregation. These findings are consistent with prior work applying GAT to patent-domain link prediction tasks [Chang et al., 2024; GAT-NGCF, 2025].</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The standard deviation of the GAT model (</w:t>
      </w:r>
      <w:r>
        <w:rPr>
          <w:rFonts w:ascii="Times New Roman" w:hAnsi="Times New Roman" w:hint="default"/>
          <w:b w:val="0"/>
          <w:bCs w:val="0"/>
          <w:outline w:val="0"/>
          <w:color w:val="000000"/>
          <w:sz w:val="22"/>
          <w:szCs w:val="22"/>
          <w:u w:color="000000"/>
          <w:rtl w:val="1"/>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0.0207) is markedly lower than that of the GraphSAGE variants (</w:t>
      </w:r>
      <w:r>
        <w:rPr>
          <w:rFonts w:ascii="Times New Roman" w:hAnsi="Times New Roman" w:hint="default"/>
          <w:b w:val="0"/>
          <w:bCs w:val="0"/>
          <w:outline w:val="0"/>
          <w:color w:val="000000"/>
          <w:sz w:val="22"/>
          <w:szCs w:val="22"/>
          <w:u w:color="000000"/>
          <w:rtl w:val="1"/>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0.0951), suggesting that the attention mechanism provides implicit regularisation, reducing sensitivity to the allocation of hub-company transfer events across random train/validation splits.</w:t>
      </w:r>
    </w:p>
    <w:p>
      <w:pPr>
        <w:pStyle w:val="머리말 2"/>
      </w:pPr>
    </w:p>
    <w:p>
      <w:pPr>
        <w:pStyle w:val="머리말 2"/>
      </w:pPr>
      <w:r>
        <w:rPr>
          <w:rFonts w:ascii="Times New Roman" w:hAnsi="Times New Roman"/>
          <w:outline w:val="0"/>
          <w:color w:val="000000"/>
          <w:sz w:val="20"/>
          <w:szCs w:val="20"/>
          <w:u w:color="000000"/>
          <w:rtl w:val="0"/>
          <w:lang w:val="en-US"/>
          <w14:textFill>
            <w14:solidFill>
              <w14:srgbClr w14:val="000000"/>
            </w14:solidFill>
          </w14:textFill>
        </w:rPr>
        <w:t xml:space="preserve">Table 4. Main results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 xml:space="preserve">Val AUC and Val AP (Mean </w:t>
      </w:r>
      <w:r>
        <w:rPr>
          <w:rFonts w:ascii="Times New Roman" w:hAnsi="Times New Roman" w:hint="default"/>
          <w:outline w:val="0"/>
          <w:color w:val="000000"/>
          <w:sz w:val="20"/>
          <w:szCs w:val="20"/>
          <w:u w:color="000000"/>
          <w:rtl w:val="1"/>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 xml:space="preserve">Std over 5 random seeds). </w:t>
      </w:r>
      <w:r>
        <w:rPr>
          <w:rFonts w:ascii="Times New Roman" w:hAnsi="Times New Roman" w:hint="default"/>
          <w:outline w:val="0"/>
          <w:color w:val="000000"/>
          <w:sz w:val="20"/>
          <w:szCs w:val="20"/>
          <w:u w:color="000000"/>
          <w:rtl w:val="0"/>
          <w14:textFill>
            <w14:solidFill>
              <w14:srgbClr w14:val="000000"/>
            </w14:solidFill>
          </w14:textFill>
        </w:rPr>
        <w:t xml:space="preserve">† </w:t>
      </w:r>
      <w:r>
        <w:rPr>
          <w:rFonts w:ascii="Times New Roman" w:hAnsi="Times New Roman"/>
          <w:outline w:val="0"/>
          <w:color w:val="000000"/>
          <w:sz w:val="20"/>
          <w:szCs w:val="20"/>
          <w:u w:color="000000"/>
          <w:rtl w:val="0"/>
          <w:lang w:val="it-IT"/>
          <w14:textFill>
            <w14:solidFill>
              <w14:srgbClr w14:val="000000"/>
            </w14:solidFill>
          </w14:textFill>
        </w:rPr>
        <w:t>Best per column.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76"/>
        <w:gridCol w:w="1404"/>
        <w:gridCol w:w="2340"/>
        <w:gridCol w:w="2340"/>
      </w:tblGrid>
      <w:tr>
        <w:tblPrEx>
          <w:shd w:val="clear" w:color="auto" w:fill="ced7e7"/>
        </w:tblPrEx>
        <w:trPr>
          <w:trHeight w:val="214" w:hRule="atLeast"/>
        </w:trPr>
        <w:tc>
          <w:tcPr>
            <w:tcW w:type="dxa" w:w="3276"/>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Model</w:t>
            </w:r>
          </w:p>
        </w:tc>
        <w:tc>
          <w:tcPr>
            <w:tcW w:type="dxa" w:w="1404"/>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Batching</w:t>
            </w:r>
          </w:p>
        </w:tc>
        <w:tc>
          <w:tcPr>
            <w:tcW w:type="dxa" w:w="2340"/>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 xml:space="preserve">Val AUC (Mean </w:t>
            </w:r>
            <w:r>
              <w:rPr>
                <w:rFonts w:ascii="Times New Roman" w:hAnsi="Times New Roman" w:hint="default"/>
                <w:b w:val="1"/>
                <w:bCs w:val="1"/>
                <w:outline w:val="0"/>
                <w:color w:val="ffffff"/>
                <w:sz w:val="20"/>
                <w:szCs w:val="20"/>
                <w:u w:color="ffffff"/>
                <w:shd w:val="nil" w:color="auto" w:fill="auto"/>
                <w:rtl w:val="1"/>
                <w14:textFill>
                  <w14:solidFill>
                    <w14:srgbClr w14:val="FFFFFF"/>
                  </w14:solidFill>
                </w14:textFill>
              </w:rPr>
              <w:t xml:space="preserve">± </w:t>
            </w: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Std)</w:t>
            </w:r>
          </w:p>
        </w:tc>
        <w:tc>
          <w:tcPr>
            <w:tcW w:type="dxa" w:w="2340"/>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 xml:space="preserve">Val AP (Mean </w:t>
            </w:r>
            <w:r>
              <w:rPr>
                <w:rFonts w:ascii="Times New Roman" w:hAnsi="Times New Roman" w:hint="default"/>
                <w:b w:val="1"/>
                <w:bCs w:val="1"/>
                <w:outline w:val="0"/>
                <w:color w:val="ffffff"/>
                <w:sz w:val="20"/>
                <w:szCs w:val="20"/>
                <w:u w:color="ffffff"/>
                <w:shd w:val="nil" w:color="auto" w:fill="auto"/>
                <w:rtl w:val="1"/>
                <w14:textFill>
                  <w14:solidFill>
                    <w14:srgbClr w14:val="FFFFFF"/>
                  </w14:solidFill>
                </w14:textFill>
              </w:rPr>
              <w:t xml:space="preserve">± </w:t>
            </w: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Std)</w:t>
            </w:r>
          </w:p>
        </w:tc>
      </w:tr>
      <w:tr>
        <w:tblPrEx>
          <w:shd w:val="clear" w:color="auto" w:fill="ced7e7"/>
        </w:tblPrEx>
        <w:trPr>
          <w:trHeight w:val="214" w:hRule="atLeast"/>
        </w:trPr>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Random (lower bound)</w:t>
            </w:r>
          </w:p>
        </w:tc>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hint="default"/>
                <w:sz w:val="20"/>
                <w:szCs w:val="20"/>
                <w:u w:color="000000"/>
                <w:shd w:val="nil" w:color="auto" w:fill="auto"/>
                <w:rtl w:val="0"/>
                <w:lang w:val="en-US"/>
              </w:rPr>
              <w: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~0.5000</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~0.5000</w:t>
            </w:r>
          </w:p>
        </w:tc>
      </w:tr>
      <w:tr>
        <w:tblPrEx>
          <w:shd w:val="clear" w:color="auto" w:fill="ced7e7"/>
        </w:tblPrEx>
        <w:trPr>
          <w:trHeight w:val="214" w:hRule="atLeast"/>
        </w:trPr>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 xml:space="preserve">MLP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text only</w:t>
            </w:r>
          </w:p>
        </w:tc>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lang w:val="en-US"/>
              </w:rPr>
              <w:t>Full-batch</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0.5841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0.0120</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0.5521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0.0098</w:t>
            </w:r>
          </w:p>
        </w:tc>
      </w:tr>
      <w:tr>
        <w:tblPrEx>
          <w:shd w:val="clear" w:color="auto" w:fill="ced7e7"/>
        </w:tblPrEx>
        <w:trPr>
          <w:trHeight w:val="214" w:hRule="atLeast"/>
        </w:trPr>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 xml:space="preserve">GNN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de-DE"/>
              </w:rPr>
              <w:t>GraphSAGE</w:t>
            </w:r>
          </w:p>
        </w:tc>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lang w:val="en-US"/>
              </w:rPr>
              <w:t>Mini-batch</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0.7772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0.0951</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0.7283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0.1256</w:t>
            </w:r>
          </w:p>
        </w:tc>
      </w:tr>
      <w:tr>
        <w:tblPrEx>
          <w:shd w:val="clear" w:color="auto" w:fill="ced7e7"/>
        </w:tblPrEx>
        <w:trPr>
          <w:trHeight w:val="214" w:hRule="atLeast"/>
        </w:trPr>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 xml:space="preserve">GNN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de-DE"/>
              </w:rPr>
              <w:t>GraphSAGE + DropEdge</w:t>
            </w:r>
          </w:p>
        </w:tc>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lang w:val="en-US"/>
              </w:rPr>
              <w:t>Mini-batch</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0.7839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0.0995</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0.7316 </w:t>
            </w:r>
            <w:r>
              <w:rPr>
                <w:rFonts w:ascii="Times New Roman" w:hAnsi="Times New Roman" w:hint="default"/>
                <w:sz w:val="20"/>
                <w:szCs w:val="20"/>
                <w:u w:color="000000"/>
                <w:shd w:val="nil" w:color="auto" w:fill="auto"/>
                <w:rtl w:val="1"/>
              </w:rPr>
              <w:t xml:space="preserve">± </w:t>
            </w:r>
            <w:r>
              <w:rPr>
                <w:rFonts w:ascii="Times New Roman" w:hAnsi="Times New Roman"/>
                <w:sz w:val="20"/>
                <w:szCs w:val="20"/>
                <w:u w:color="000000"/>
                <w:shd w:val="nil" w:color="auto" w:fill="auto"/>
                <w:rtl w:val="0"/>
              </w:rPr>
              <w:t>0.1334</w:t>
            </w:r>
          </w:p>
        </w:tc>
      </w:tr>
      <w:tr>
        <w:tblPrEx>
          <w:shd w:val="clear" w:color="auto" w:fill="ced7e7"/>
        </w:tblPrEx>
        <w:trPr>
          <w:trHeight w:val="214" w:hRule="atLeast"/>
        </w:trPr>
        <w:tc>
          <w:tcPr>
            <w:tcW w:type="dxa" w:w="327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 xml:space="preserve">GNN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GAT (proposed)</w:t>
            </w:r>
          </w:p>
        </w:tc>
        <w:tc>
          <w:tcPr>
            <w:tcW w:type="dxa" w:w="140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sz w:val="20"/>
                <w:szCs w:val="20"/>
                <w:u w:color="000000"/>
                <w:shd w:val="nil" w:color="auto" w:fill="auto"/>
                <w:rtl w:val="0"/>
                <w:lang w:val="en-US"/>
              </w:rPr>
              <w:t>Mini-batch</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rPr>
              <w:t xml:space="preserve">0.8453 </w:t>
            </w:r>
            <w:r>
              <w:rPr>
                <w:rFonts w:ascii="Times New Roman" w:hAnsi="Times New Roman" w:hint="default"/>
                <w:b w:val="1"/>
                <w:bCs w:val="1"/>
                <w:sz w:val="20"/>
                <w:szCs w:val="20"/>
                <w:u w:color="000000"/>
                <w:shd w:val="nil" w:color="auto" w:fill="auto"/>
                <w:rtl w:val="1"/>
              </w:rPr>
              <w:t xml:space="preserve">± </w:t>
            </w:r>
            <w:r>
              <w:rPr>
                <w:rFonts w:ascii="Times New Roman" w:hAnsi="Times New Roman"/>
                <w:b w:val="1"/>
                <w:bCs w:val="1"/>
                <w:sz w:val="20"/>
                <w:szCs w:val="20"/>
                <w:u w:color="000000"/>
                <w:shd w:val="nil" w:color="auto" w:fill="auto"/>
                <w:rtl w:val="0"/>
              </w:rPr>
              <w:t xml:space="preserve">0.0207 </w:t>
            </w:r>
            <w:r>
              <w:rPr>
                <w:rFonts w:ascii="Times New Roman" w:hAnsi="Times New Roman" w:hint="default"/>
                <w:b w:val="1"/>
                <w:bCs w:val="1"/>
                <w:sz w:val="20"/>
                <w:szCs w:val="20"/>
                <w:u w:color="000000"/>
                <w:shd w:val="nil" w:color="auto" w:fill="auto"/>
                <w:rtl w:val="0"/>
              </w:rPr>
              <w: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rPr>
              <w:t xml:space="preserve">0.8281 </w:t>
            </w:r>
            <w:r>
              <w:rPr>
                <w:rFonts w:ascii="Times New Roman" w:hAnsi="Times New Roman" w:hint="default"/>
                <w:b w:val="1"/>
                <w:bCs w:val="1"/>
                <w:sz w:val="20"/>
                <w:szCs w:val="20"/>
                <w:u w:color="000000"/>
                <w:shd w:val="nil" w:color="auto" w:fill="auto"/>
                <w:rtl w:val="1"/>
              </w:rPr>
              <w:t xml:space="preserve">± </w:t>
            </w:r>
            <w:r>
              <w:rPr>
                <w:rFonts w:ascii="Times New Roman" w:hAnsi="Times New Roman"/>
                <w:b w:val="1"/>
                <w:bCs w:val="1"/>
                <w:sz w:val="20"/>
                <w:szCs w:val="20"/>
                <w:u w:color="000000"/>
                <w:shd w:val="nil" w:color="auto" w:fill="auto"/>
                <w:rtl w:val="0"/>
              </w:rPr>
              <w:t xml:space="preserve">0.0452 </w:t>
            </w:r>
            <w:r>
              <w:rPr>
                <w:rFonts w:ascii="Times New Roman" w:hAnsi="Times New Roman" w:hint="default"/>
                <w:b w:val="1"/>
                <w:bCs w:val="1"/>
                <w:sz w:val="20"/>
                <w:szCs w:val="20"/>
                <w:u w:color="000000"/>
                <w:shd w:val="nil" w:color="auto" w:fill="auto"/>
                <w:rtl w:val="0"/>
              </w:rPr>
              <w:t>†</w:t>
            </w:r>
          </w:p>
        </w:tc>
      </w:tr>
    </w:tbl>
    <w:p>
      <w:pPr>
        <w:pStyle w:val="머리말 2"/>
        <w:widowControl w:val="0"/>
      </w:pPr>
    </w:p>
    <w:p>
      <w:pPr>
        <w:pStyle w:val="머리말 2"/>
        <w:widowControl w:val="0"/>
      </w:pPr>
      <w:r>
        <w:rPr>
          <w:rFonts w:ascii="Times New Roman" w:hAnsi="Times New Roman"/>
          <w:i w:val="1"/>
          <w:iCs w:val="1"/>
          <w:outline w:val="0"/>
          <w:color w:val="000000"/>
          <w:sz w:val="20"/>
          <w:szCs w:val="20"/>
          <w:u w:color="000000"/>
          <w:rtl w:val="0"/>
          <w:lang w:val="en-US"/>
          <w14:textFill>
            <w14:solidFill>
              <w14:srgbClr w14:val="000000"/>
            </w14:solidFill>
          </w14:textFill>
        </w:rPr>
        <w:t xml:space="preserve">Shaded row indicates the proposed model. </w:t>
      </w:r>
      <w:r>
        <w:rPr>
          <w:rFonts w:ascii="Times New Roman" w:hAnsi="Times New Roman" w:hint="default"/>
          <w:i w:val="1"/>
          <w:iCs w:val="1"/>
          <w:outline w:val="0"/>
          <w:color w:val="000000"/>
          <w:sz w:val="20"/>
          <w:szCs w:val="20"/>
          <w:u w:color="000000"/>
          <w:rtl w:val="0"/>
          <w14:textFill>
            <w14:solidFill>
              <w14:srgbClr w14:val="000000"/>
            </w14:solidFill>
          </w14:textFill>
        </w:rPr>
        <w:t xml:space="preserve">† </w:t>
      </w:r>
      <w:r>
        <w:rPr>
          <w:rFonts w:ascii="Times New Roman" w:hAnsi="Times New Roman"/>
          <w:i w:val="1"/>
          <w:iCs w:val="1"/>
          <w:outline w:val="0"/>
          <w:color w:val="000000"/>
          <w:sz w:val="20"/>
          <w:szCs w:val="20"/>
          <w:u w:color="000000"/>
          <w:rtl w:val="0"/>
          <w:lang w:val="en-US"/>
          <w14:textFill>
            <w14:solidFill>
              <w14:srgbClr w14:val="000000"/>
            </w14:solidFill>
          </w14:textFill>
        </w:rPr>
        <w:t>Statistically best result per metric column.</w:t>
      </w:r>
    </w:p>
    <w:p>
      <w:pPr>
        <w:pStyle w:val="머리말 2"/>
        <w:widowControl w:val="0"/>
      </w:pPr>
    </w:p>
    <w:p>
      <w:pPr>
        <w:pStyle w:val="머리말 2"/>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4.4 Ablation Study</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Table 5 presents an incremental ablation that isolates the contribution of each design choice. Replacing SBERT initialisation with random embeddings in the MLP baseline decreases AUC by 7.2 percentage points, confirming the value of semantic pre-training. Switching from static to dynamic negative sampling in the GraphSAGE configuration yields a 3.9-point AUC gain, consistent with the memorisation-prevention argument in Section 3.6.2. Adding DropEdge provides a further 0.7-point AUC improvement and reduces cross-seed variance, supporting its role as a regulariser against hub-node over-fitting. Replacing the GraphSAGE aggregator with GAT yields the largest single-component gain of 6.1 AUC points. Taken together, these results validate each design choice independently.</w:t>
      </w:r>
    </w:p>
    <w:p>
      <w:pPr>
        <w:pStyle w:val="머리말 2"/>
      </w:pPr>
    </w:p>
    <w:p>
      <w:pPr>
        <w:pStyle w:val="머리말 2"/>
      </w:pPr>
      <w:r>
        <w:rPr>
          <w:rFonts w:ascii="Times New Roman" w:hAnsi="Times New Roman"/>
          <w:outline w:val="0"/>
          <w:color w:val="000000"/>
          <w:sz w:val="20"/>
          <w:szCs w:val="20"/>
          <w:u w:color="000000"/>
          <w:rtl w:val="0"/>
          <w:lang w:val="en-US"/>
          <w14:textFill>
            <w14:solidFill>
              <w14:srgbClr w14:val="000000"/>
            </w14:solidFill>
          </w14:textFill>
        </w:rPr>
        <w:t xml:space="preserve">Table 5. Ablation study </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 xml:space="preserve">incremental contribution of SBERT embedding, dynamic negative sampling (Dyn. NS), and encoder architecture. </w:t>
      </w:r>
      <w:r>
        <w:rPr>
          <w:rFonts w:ascii="Times New Roman" w:hAnsi="Times New Roman" w:hint="default"/>
          <w:outline w:val="0"/>
          <w:color w:val="000000"/>
          <w:sz w:val="20"/>
          <w:szCs w:val="20"/>
          <w:u w:color="000000"/>
          <w:rtl w:val="0"/>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Best overall.</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12"/>
        <w:gridCol w:w="936"/>
        <w:gridCol w:w="935"/>
        <w:gridCol w:w="1638"/>
        <w:gridCol w:w="1638"/>
      </w:tblGrid>
      <w:tr>
        <w:tblPrEx>
          <w:shd w:val="clear" w:color="auto" w:fill="ced7e7"/>
        </w:tblPrEx>
        <w:trPr>
          <w:trHeight w:val="214" w:hRule="atLeast"/>
        </w:trPr>
        <w:tc>
          <w:tcPr>
            <w:tcW w:type="dxa" w:w="4212"/>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Configuration</w:t>
            </w:r>
          </w:p>
        </w:tc>
        <w:tc>
          <w:tcPr>
            <w:tcW w:type="dxa" w:w="936"/>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SBERT</w:t>
            </w:r>
          </w:p>
        </w:tc>
        <w:tc>
          <w:tcPr>
            <w:tcW w:type="dxa" w:w="935"/>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Dyn. NS</w:t>
            </w:r>
          </w:p>
        </w:tc>
        <w:tc>
          <w:tcPr>
            <w:tcW w:type="dxa" w:w="1638"/>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Val AUC</w:t>
            </w:r>
          </w:p>
        </w:tc>
        <w:tc>
          <w:tcPr>
            <w:tcW w:type="dxa" w:w="1637"/>
            <w:tcBorders>
              <w:top w:val="single" w:color="1f3864" w:sz="1" w:space="0" w:shadow="0" w:frame="0"/>
              <w:left w:val="single" w:color="1f3864" w:sz="1" w:space="0" w:shadow="0" w:frame="0"/>
              <w:bottom w:val="single" w:color="cccccc" w:sz="1" w:space="0" w:shadow="0" w:frame="0"/>
              <w:right w:val="single" w:color="1f3864" w:sz="1" w:space="0" w:shadow="0" w:frame="0"/>
            </w:tcBorders>
            <w:shd w:val="clear" w:color="auto" w:fill="1f3864"/>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Val AP</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 xml:space="preserve">MLP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random embedding init</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hint="default"/>
                <w:sz w:val="20"/>
                <w:szCs w:val="20"/>
                <w:u w:color="000000"/>
                <w:shd w:val="nil" w:color="auto" w:fill="auto"/>
                <w:rtl w:val="0"/>
                <w:lang w:val="en-US"/>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0.5120</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0.4981</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 xml:space="preserve">MLP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de-DE"/>
              </w:rPr>
              <w:t>SBERT embedding</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Times New Roman" w:hAnsi="Times New Roman" w:hint="default"/>
                <w:sz w:val="20"/>
                <w:szCs w:val="20"/>
                <w:u w:color="000000"/>
                <w:shd w:val="nil" w:color="auto" w:fill="auto"/>
                <w:rtl w:val="0"/>
                <w:lang w:val="en-US"/>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0.5841</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0.5521</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de-DE"/>
              </w:rPr>
              <w:t xml:space="preserve">GraphSAGE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static negative sampling</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0.7381</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0.6954</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de-DE"/>
              </w:rPr>
              <w:t xml:space="preserve">GraphSAGE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dynamic negative sampling</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0.7772</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0.7283</w:t>
            </w:r>
          </w:p>
        </w:tc>
      </w:tr>
      <w:tr>
        <w:tblPrEx>
          <w:shd w:val="clear" w:color="auto" w:fill="ced7e7"/>
        </w:tblPrEx>
        <w:trPr>
          <w:trHeight w:val="476"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de-DE"/>
              </w:rPr>
              <w:t xml:space="preserve">GraphSAGE + DropEdge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dynamic neg. sampling</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0.7839</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0.7316</w:t>
            </w:r>
          </w:p>
        </w:tc>
      </w:tr>
      <w:tr>
        <w:tblPrEx>
          <w:shd w:val="clear" w:color="auto" w:fill="ced7e7"/>
        </w:tblPrEx>
        <w:trPr>
          <w:trHeight w:val="214" w:hRule="atLeast"/>
        </w:trPr>
        <w:tc>
          <w:tcPr>
            <w:tcW w:type="dxa" w:w="4212"/>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 xml:space="preserve">GAT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dynamic negative sampling (full model)</w:t>
            </w:r>
          </w:p>
        </w:tc>
        <w:tc>
          <w:tcPr>
            <w:tcW w:type="dxa" w:w="93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935"/>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sz w:val="20"/>
                <w:szCs w:val="20"/>
                <w:u w:color="000000"/>
                <w:shd w:val="nil" w:color="auto" w:fill="auto"/>
                <w:rtl w:val="0"/>
              </w:rPr>
              <w:t>✓</w:t>
            </w:r>
          </w:p>
        </w:tc>
        <w:tc>
          <w:tcPr>
            <w:tcW w:type="dxa" w:w="1638"/>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 xml:space="preserve">0.8453 </w:t>
            </w:r>
            <w:r>
              <w:rPr>
                <w:rFonts w:ascii="Times New Roman" w:hAnsi="Times New Roman" w:hint="default"/>
                <w:b w:val="1"/>
                <w:bCs w:val="1"/>
                <w:sz w:val="20"/>
                <w:szCs w:val="20"/>
                <w:u w:color="000000"/>
                <w:shd w:val="nil" w:color="auto" w:fill="auto"/>
                <w:rtl w:val="0"/>
              </w:rPr>
              <w:t>†</w:t>
            </w:r>
          </w:p>
        </w:tc>
        <w:tc>
          <w:tcPr>
            <w:tcW w:type="dxa" w:w="1637"/>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b"/>
            <w:tcMar>
              <w:top w:type="dxa" w:w="80"/>
              <w:left w:type="dxa" w:w="80"/>
              <w:bottom w:type="dxa" w:w="80"/>
              <w:right w:type="dxa" w:w="80"/>
            </w:tcMar>
            <w:vAlign w:val="top"/>
          </w:tcPr>
          <w:p>
            <w:pPr>
              <w:pStyle w:val="기본값"/>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 xml:space="preserve">0.8281 </w:t>
            </w:r>
            <w:r>
              <w:rPr>
                <w:rFonts w:ascii="Times New Roman" w:hAnsi="Times New Roman" w:hint="default"/>
                <w:b w:val="1"/>
                <w:bCs w:val="1"/>
                <w:sz w:val="20"/>
                <w:szCs w:val="20"/>
                <w:u w:color="000000"/>
                <w:shd w:val="nil" w:color="auto" w:fill="auto"/>
                <w:rtl w:val="0"/>
              </w:rPr>
              <w:t>†</w:t>
            </w:r>
          </w:p>
        </w:tc>
      </w:tr>
    </w:tbl>
    <w:p>
      <w:pPr>
        <w:pStyle w:val="머리말 2"/>
        <w:widowControl w:val="0"/>
      </w:pPr>
    </w:p>
    <w:p>
      <w:pPr>
        <w:pStyle w:val="머리말 2"/>
        <w:widowControl w:val="0"/>
        <w:rPr>
          <w:b w:val="0"/>
          <w:bCs w:val="0"/>
        </w:rPr>
      </w:pPr>
      <w:r>
        <w:rPr>
          <w:rFonts w:ascii="Times New Roman" w:hAnsi="Times New Roman"/>
          <w:b w:val="0"/>
          <w:bCs w:val="0"/>
          <w:i w:val="1"/>
          <w:iCs w:val="1"/>
          <w:outline w:val="0"/>
          <w:color w:val="000000"/>
          <w:sz w:val="20"/>
          <w:szCs w:val="20"/>
          <w:u w:color="000000"/>
          <w:rtl w:val="0"/>
          <w:lang w:val="en-US"/>
          <w14:textFill>
            <w14:solidFill>
              <w14:srgbClr w14:val="000000"/>
            </w14:solidFill>
          </w14:textFill>
        </w:rPr>
        <w:t>SBERT column indicates whether SBERT initialisation is used (vs. random). Dyn. NS column indicates dynamic (vs. static) negative sampling. All GNN results use early stopping.</w:t>
      </w:r>
    </w:p>
    <w:p>
      <w:pPr>
        <w:pStyle w:val="머리말 2"/>
        <w:widowControl w:val="0"/>
      </w:pPr>
    </w:p>
    <w:p>
      <w:pPr>
        <w:pStyle w:val="머리말 2"/>
        <w:rPr>
          <w:rFonts w:ascii="Times New Roman" w:cs="Times New Roman" w:hAnsi="Times New Roman" w:eastAsia="Times New Roman"/>
          <w:outline w:val="0"/>
          <w:color w:val="000000"/>
          <w14:textFill>
            <w14:solidFill>
              <w14:srgbClr w14:val="000000"/>
            </w14:solidFill>
          </w14:textFill>
        </w:rPr>
      </w:pPr>
      <w:r>
        <w:rPr>
          <w:rFonts w:ascii="Times New Roman" w:hAnsi="Times New Roman"/>
          <w:outline w:val="0"/>
          <w:color w:val="000000"/>
          <w:rtl w:val="0"/>
          <w:lang w:val="en-US"/>
          <w14:textFill>
            <w14:solidFill>
              <w14:srgbClr w14:val="000000"/>
            </w14:solidFill>
          </w14:textFill>
        </w:rPr>
        <w:t>4.5 Statistical Robustness Across 5 Random Seeds</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To confirm that reported gains reflect genuine structural learning rather than favourable random initialisation or data split outcomes, all models are evaluated across five independent random seeds governing weight initialisation, edge-level data splitting, and negative edge sampling. The GAT model produces consistently superior AUC across all five seeds, with no individual seed result falling below 0.81. The GraphSAGE + DropEdge configuration, while lower in mean AUC, achieved a peak single-seed AUC of 0.9057 under seed 9999, the highest single-run result observed across all configurations. This indicates that the DropEdge and early stopping combination can unlock high-capacity learning under favourable conditions, even if mean performance remains below GAT.</w:t>
      </w:r>
    </w:p>
    <w:p>
      <w:pPr>
        <w:pStyle w:val="머리말 2"/>
        <w:spacing w:line="480" w:lineRule="auto"/>
        <w:rPr>
          <w:b w:val="0"/>
          <w:bCs w:val="0"/>
        </w:rPr>
      </w:pPr>
      <w:r>
        <w:rPr>
          <w:rFonts w:ascii="Times New Roman" w:hAnsi="Times New Roman"/>
          <w:b w:val="0"/>
          <w:bCs w:val="0"/>
          <w:outline w:val="0"/>
          <w:color w:val="000000"/>
          <w:sz w:val="22"/>
          <w:szCs w:val="22"/>
          <w:u w:color="000000"/>
          <w:rtl w:val="0"/>
          <w:lang w:val="en-US"/>
          <w14:textFill>
            <w14:solidFill>
              <w14:srgbClr w14:val="000000"/>
            </w14:solidFill>
          </w14:textFill>
        </w:rPr>
        <w:t>The elevated inter-seed variance observed in GraphSAGE variants (</w:t>
      </w:r>
      <w:r>
        <w:rPr>
          <w:rFonts w:ascii="Times New Roman" w:hAnsi="Times New Roman" w:hint="default"/>
          <w:b w:val="0"/>
          <w:bCs w:val="0"/>
          <w:outline w:val="0"/>
          <w:color w:val="000000"/>
          <w:sz w:val="22"/>
          <w:szCs w:val="22"/>
          <w:u w:color="000000"/>
          <w:rtl w:val="1"/>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 xml:space="preserve">0.095) reflects the structural sensitivity of sparse transaction networks to the inclusion or exclusion of hub-company transfer events in the training split </w:t>
      </w:r>
      <w:r>
        <w:rPr>
          <w:rFonts w:ascii="Times New Roman" w:hAnsi="Times New Roman" w:hint="default"/>
          <w:b w:val="0"/>
          <w:bCs w:val="0"/>
          <w:outline w:val="0"/>
          <w:color w:val="000000"/>
          <w:sz w:val="22"/>
          <w:szCs w:val="22"/>
          <w:u w:color="000000"/>
          <w:rtl w:val="0"/>
          <w:lang w:val="en-US"/>
          <w14:textFill>
            <w14:solidFill>
              <w14:srgbClr w14:val="000000"/>
            </w14:solidFill>
          </w14:textFill>
        </w:rPr>
        <w:t xml:space="preserve">— </w:t>
      </w:r>
      <w:r>
        <w:rPr>
          <w:rFonts w:ascii="Times New Roman" w:hAnsi="Times New Roman"/>
          <w:b w:val="0"/>
          <w:bCs w:val="0"/>
          <w:outline w:val="0"/>
          <w:color w:val="000000"/>
          <w:sz w:val="22"/>
          <w:szCs w:val="22"/>
          <w:u w:color="000000"/>
          <w:rtl w:val="0"/>
          <w:lang w:val="en-US"/>
          <w14:textFill>
            <w14:solidFill>
              <w14:srgbClr w14:val="000000"/>
            </w14:solidFill>
          </w14:textFill>
        </w:rPr>
        <w:t>a limitation discussed in Section 5.2. The GAT model's lower variance (</w:t>
      </w:r>
      <w:r>
        <w:rPr>
          <w:rFonts w:ascii="Times New Roman" w:hAnsi="Times New Roman" w:hint="default"/>
          <w:b w:val="0"/>
          <w:bCs w:val="0"/>
          <w:outline w:val="0"/>
          <w:color w:val="000000"/>
          <w:sz w:val="22"/>
          <w:szCs w:val="22"/>
          <w:u w:color="000000"/>
          <w:rtl w:val="1"/>
          <w14:textFill>
            <w14:solidFill>
              <w14:srgbClr w14:val="000000"/>
            </w14:solidFill>
          </w14:textFill>
        </w:rPr>
        <w:t>±</w:t>
      </w:r>
      <w:r>
        <w:rPr>
          <w:rFonts w:ascii="Times New Roman" w:hAnsi="Times New Roman"/>
          <w:b w:val="0"/>
          <w:bCs w:val="0"/>
          <w:outline w:val="0"/>
          <w:color w:val="000000"/>
          <w:sz w:val="22"/>
          <w:szCs w:val="22"/>
          <w:u w:color="000000"/>
          <w:rtl w:val="0"/>
          <w:lang w:val="en-US"/>
          <w14:textFill>
            <w14:solidFill>
              <w14:srgbClr w14:val="000000"/>
            </w14:solidFill>
          </w14:textFill>
        </w:rPr>
        <w:t>0.021) suggests that attention-weighted aggregation is more robust to this structural variability, as the model can learn to down-weight unreliable hub-connected edges rather than treating them uniformly.</w:t>
      </w:r>
    </w:p>
    <w:p>
      <w:pPr>
        <w:pStyle w:val="머리말 2"/>
        <w:spacing w:line="480" w:lineRule="auto"/>
      </w:pPr>
      <w:r>
        <w:rPr>
          <w:rFonts w:ascii="Times New Roman" w:hAnsi="Times New Roman"/>
          <w:b w:val="0"/>
          <w:bCs w:val="0"/>
          <w:outline w:val="0"/>
          <w:color w:val="000000"/>
          <w:sz w:val="22"/>
          <w:szCs w:val="22"/>
          <w:u w:color="000000"/>
          <w:rtl w:val="0"/>
          <w:lang w:val="en-US"/>
          <w14:textFill>
            <w14:solidFill>
              <w14:srgbClr w14:val="000000"/>
            </w14:solidFill>
          </w14:textFill>
        </w:rPr>
        <w:t>Across all configurations, performance on both AUC and AP is well above the random baseline (~0.50) and the text-only MLP (AUC 0.5841), confirming that graph structural context is a necessary and robust component of the prediction framework, irrespective of random seed conditions.</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ple SD 산돌고딕 Neo 일반체">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가져온 스타일 1"/>
  </w:abstractNum>
  <w:abstractNum w:abstractNumId="1">
    <w:multiLevelType w:val="hybridMultilevel"/>
    <w:styleLink w:val="가져온 스타일 1"/>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한국어" w:val="‘“(〔[{〈《「『【⦅〘〖«〝︵︷︹︻︽︿﹁﹃﹇﹙﹛﹝｢"/>
  <w:noLineBreaksBefore w:lang="한국어"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머리말 및 꼬리말">
    <w:name w:val="머리말 및 꼬리말"/>
    <w:next w:val="머리말 및 꼬리말"/>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머리말">
    <w:name w:val="머리말"/>
    <w:next w:val="머리말"/>
    <w:pPr>
      <w:keepNext w:val="0"/>
      <w:keepLines w:val="0"/>
      <w:pageBreakBefore w:val="0"/>
      <w:widowControl w:val="1"/>
      <w:shd w:val="clear" w:color="auto" w:fill="auto"/>
      <w:suppressAutoHyphens w:val="0"/>
      <w:bidi w:val="0"/>
      <w:spacing w:before="36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28"/>
      <w:szCs w:val="28"/>
      <w:u w:val="none" w:color="1f3864"/>
      <w:shd w:val="nil" w:color="auto" w:fill="auto"/>
      <w:vertAlign w:val="baseline"/>
      <w:lang w:val="en-US"/>
      <w14:textOutline>
        <w14:noFill/>
      </w14:textOutline>
      <w14:textFill>
        <w14:solidFill>
          <w14:srgbClr w14:val="1F3864"/>
        </w14:solidFill>
      </w14:textFill>
    </w:rPr>
  </w:style>
  <w:style w:type="paragraph" w:styleId="머리말 2">
    <w:name w:val="머리말 2"/>
    <w:next w:val="머리말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5fab"/>
      <w:spacing w:val="0"/>
      <w:kern w:val="0"/>
      <w:position w:val="0"/>
      <w:sz w:val="24"/>
      <w:szCs w:val="24"/>
      <w:u w:val="none" w:color="2e5fab"/>
      <w:shd w:val="nil" w:color="auto" w:fill="auto"/>
      <w:vertAlign w:val="baseline"/>
      <w:lang w:val="de-DE"/>
      <w14:textOutline>
        <w14:noFill/>
      </w14:textOutline>
      <w14:textFill>
        <w14:solidFill>
          <w14:srgbClr w14:val="2E5FAB"/>
        </w14:solidFill>
      </w14:textFill>
    </w:rPr>
  </w:style>
  <w:style w:type="paragraph" w:styleId="머리말 3">
    <w:name w:val="머리말 3"/>
    <w:next w:val="머리말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1"/>
      <w:iCs w:val="1"/>
      <w:caps w:val="0"/>
      <w:smallCaps w:val="0"/>
      <w:strike w:val="0"/>
      <w:dstrike w:val="0"/>
      <w:outline w:val="0"/>
      <w:color w:val="3c3c3c"/>
      <w:spacing w:val="0"/>
      <w:kern w:val="0"/>
      <w:position w:val="0"/>
      <w:sz w:val="22"/>
      <w:szCs w:val="22"/>
      <w:u w:val="none" w:color="3c3c3c"/>
      <w:shd w:val="nil" w:color="auto" w:fill="auto"/>
      <w:vertAlign w:val="baseline"/>
      <w:lang w:val="it-IT"/>
      <w14:textOutline>
        <w14:noFill/>
      </w14:textOutline>
      <w14:textFill>
        <w14:solidFill>
          <w14:srgbClr w14:val="3C3C3C"/>
        </w14:solidFill>
      </w14:textFill>
    </w:rPr>
  </w:style>
  <w:style w:type="paragraph" w:styleId="기본값">
    <w:name w:val="기본값"/>
    <w:next w:val="기본값"/>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가져온 스타일 1">
    <w:name w:val="가져온 스타일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pple SD 산돌고딕 Neo 볼드체"/>
        <a:ea typeface="Apple SD 산돌고딕 Neo 볼드체"/>
        <a:cs typeface="Apple SD 산돌고딕 Neo 볼드체"/>
      </a:majorFont>
      <a:minorFont>
        <a:latin typeface="Apple SD 산돌고딕 Neo 일반체"/>
        <a:ea typeface="Apple SD 산돌고딕 Neo 일반체"/>
        <a:cs typeface="Apple SD 산돌고딕 Neo 일반체"/>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