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6B76" w14:textId="46478183" w:rsidR="008844F7" w:rsidRDefault="008844F7" w:rsidP="00A32BBD">
      <w:pPr>
        <w:spacing w:after="0"/>
        <w:jc w:val="center"/>
      </w:pPr>
      <w:r>
        <w:t>Experiment 9 “Hydroboration</w:t>
      </w:r>
      <w:r w:rsidR="00922B60">
        <w:t>-</w:t>
      </w:r>
      <w:r>
        <w:t>Oxidation of 1-Hexene”</w:t>
      </w:r>
    </w:p>
    <w:p w14:paraId="26FAAD1B" w14:textId="4FD99E46" w:rsidR="0070681D" w:rsidRDefault="00922B60" w:rsidP="00A32BBD">
      <w:pPr>
        <w:spacing w:after="0"/>
      </w:pPr>
      <w:r>
        <w:tab/>
        <w:t>Hydroboration-Oxidation is a common technique used to convert an alkene into an alcohol.</w:t>
      </w:r>
      <w:r w:rsidR="00D4362F">
        <w:t xml:space="preserve"> This reaction has two steps. The first step involves the BH</w:t>
      </w:r>
      <w:r w:rsidR="00D4362F">
        <w:rPr>
          <w:vertAlign w:val="subscript"/>
        </w:rPr>
        <w:t xml:space="preserve">3 </w:t>
      </w:r>
      <w:r w:rsidR="00D4362F">
        <w:t>molecule attacking the C=C double bond on the alkene</w:t>
      </w:r>
      <w:r w:rsidR="0070681D">
        <w:t>. One H bonds to one of the carbon atoms and the BH</w:t>
      </w:r>
      <w:r w:rsidR="0070681D">
        <w:rPr>
          <w:vertAlign w:val="subscript"/>
        </w:rPr>
        <w:t>2</w:t>
      </w:r>
      <w:r w:rsidR="0070681D">
        <w:t xml:space="preserve"> forms a bond with the other. The second step is to oxidize the organoborane which forms the alcohol. In this experiment, 1-Hexene was used as the starting alkene and IR spectroscopy and GC analysis was used to identify the major and minor products.</w:t>
      </w:r>
    </w:p>
    <w:p w14:paraId="1C3E976C" w14:textId="3DE669BF" w:rsidR="00401D88" w:rsidRDefault="00A32BBD" w:rsidP="00A32BBD">
      <w:pPr>
        <w:spacing w:after="0"/>
      </w:pPr>
      <w:r>
        <w:rPr>
          <w:noProof/>
        </w:rPr>
        <mc:AlternateContent>
          <mc:Choice Requires="wps">
            <w:drawing>
              <wp:anchor distT="45720" distB="45720" distL="114300" distR="114300" simplePos="0" relativeHeight="251662336" behindDoc="0" locked="0" layoutInCell="1" allowOverlap="1" wp14:anchorId="5E004476" wp14:editId="7FA47024">
                <wp:simplePos x="0" y="0"/>
                <wp:positionH relativeFrom="column">
                  <wp:posOffset>3202940</wp:posOffset>
                </wp:positionH>
                <wp:positionV relativeFrom="paragraph">
                  <wp:posOffset>4227195</wp:posOffset>
                </wp:positionV>
                <wp:extent cx="1374775" cy="5016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501650"/>
                        </a:xfrm>
                        <a:prstGeom prst="rect">
                          <a:avLst/>
                        </a:prstGeom>
                        <a:solidFill>
                          <a:srgbClr val="FFFFFF"/>
                        </a:solidFill>
                        <a:ln w="9525">
                          <a:noFill/>
                          <a:miter lim="800000"/>
                          <a:headEnd/>
                          <a:tailEnd/>
                        </a:ln>
                      </wps:spPr>
                      <wps:txbx>
                        <w:txbxContent>
                          <w:p w14:paraId="7A66379C" w14:textId="52DAAB82" w:rsidR="00A32BBD" w:rsidRDefault="00A32BBD">
                            <w:r>
                              <w:t>Markovnikov (Higher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4476" id="_x0000_t202" coordsize="21600,21600" o:spt="202" path="m,l,21600r21600,l21600,xe">
                <v:stroke joinstyle="miter"/>
                <v:path gradientshapeok="t" o:connecttype="rect"/>
              </v:shapetype>
              <v:shape id="Text Box 2" o:spid="_x0000_s1026" type="#_x0000_t202" style="position:absolute;margin-left:252.2pt;margin-top:332.85pt;width:108.25pt;height:3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" stroked="f">
                <v:textbox>
                  <w:txbxContent>
                    <w:p w14:paraId="7A66379C" w14:textId="52DAAB82" w:rsidR="00A32BBD" w:rsidRDefault="00A32BBD">
                      <w:r>
                        <w:t>Markovnikov (Higher Energy)</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9C3CB17" wp14:editId="406A676F">
                <wp:simplePos x="0" y="0"/>
                <wp:positionH relativeFrom="column">
                  <wp:posOffset>393700</wp:posOffset>
                </wp:positionH>
                <wp:positionV relativeFrom="paragraph">
                  <wp:posOffset>4185285</wp:posOffset>
                </wp:positionV>
                <wp:extent cx="1504950" cy="48577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85775"/>
                        </a:xfrm>
                        <a:prstGeom prst="rect">
                          <a:avLst/>
                        </a:prstGeom>
                        <a:solidFill>
                          <a:srgbClr val="FFFFFF"/>
                        </a:solidFill>
                        <a:ln w="9525">
                          <a:noFill/>
                          <a:miter lim="800000"/>
                          <a:headEnd/>
                          <a:tailEnd/>
                        </a:ln>
                      </wps:spPr>
                      <wps:txbx>
                        <w:txbxContent>
                          <w:p w14:paraId="26EE315F" w14:textId="4D0EDD0C" w:rsidR="00A32BBD" w:rsidRDefault="00A32BBD" w:rsidP="00A32BBD">
                            <w:r>
                              <w:t>Anti-</w:t>
                            </w:r>
                            <w:r>
                              <w:t>Markovnikov</w:t>
                            </w:r>
                            <w:r>
                              <w:t xml:space="preserve"> (Lower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3CB17" id="_x0000_s1027" type="#_x0000_t202" style="position:absolute;margin-left:31pt;margin-top:329.55pt;width:118.5pt;height:3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" stroked="f">
                <v:textbox>
                  <w:txbxContent>
                    <w:p w14:paraId="26EE315F" w14:textId="4D0EDD0C" w:rsidR="00A32BBD" w:rsidRDefault="00A32BBD" w:rsidP="00A32BBD">
                      <w:r>
                        <w:t>Anti-</w:t>
                      </w:r>
                      <w:r>
                        <w:t>Markovnikov</w:t>
                      </w:r>
                      <w:r>
                        <w:t xml:space="preserve"> (Lower Energy)</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9F4C780" wp14:editId="761D5219">
                <wp:simplePos x="0" y="0"/>
                <wp:positionH relativeFrom="margin">
                  <wp:align>left</wp:align>
                </wp:positionH>
                <wp:positionV relativeFrom="paragraph">
                  <wp:posOffset>2299970</wp:posOffset>
                </wp:positionV>
                <wp:extent cx="561975" cy="292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0FA4DC1D" w14:textId="3B6EF45E" w:rsidR="00A32BBD" w:rsidRDefault="00A32BBD">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4C780" id="_x0000_s1028" type="#_x0000_t202" style="position:absolute;margin-left:0;margin-top:181.1pt;width:44.25pt;height:2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" stroked="f">
                <v:textbox>
                  <w:txbxContent>
                    <w:p w14:paraId="0FA4DC1D" w14:textId="3B6EF45E" w:rsidR="00A32BBD" w:rsidRDefault="00A32BBD">
                      <w:r>
                        <w:t>Fig. 1</w:t>
                      </w:r>
                    </w:p>
                  </w:txbxContent>
                </v:textbox>
                <w10:wrap type="square" anchorx="margin"/>
              </v:shape>
            </w:pict>
          </mc:Fallback>
        </mc:AlternateContent>
      </w:r>
      <w:r w:rsidRPr="00A32BBD">
        <w:drawing>
          <wp:anchor distT="0" distB="0" distL="114300" distR="114300" simplePos="0" relativeHeight="251658240" behindDoc="0" locked="0" layoutInCell="1" allowOverlap="1" wp14:anchorId="20EC6E64" wp14:editId="1AC9D2E9">
            <wp:simplePos x="0" y="0"/>
            <wp:positionH relativeFrom="margin">
              <wp:align>center</wp:align>
            </wp:positionH>
            <wp:positionV relativeFrom="paragraph">
              <wp:posOffset>2195195</wp:posOffset>
            </wp:positionV>
            <wp:extent cx="5527675" cy="2254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983" t="4117" r="1015" b="7309"/>
                    <a:stretch/>
                  </pic:blipFill>
                  <pic:spPr bwMode="auto">
                    <a:xfrm>
                      <a:off x="0" y="0"/>
                      <a:ext cx="5527675" cy="2254250"/>
                    </a:xfrm>
                    <a:prstGeom prst="rect">
                      <a:avLst/>
                    </a:prstGeom>
                    <a:ln>
                      <a:noFill/>
                    </a:ln>
                    <a:extLst>
                      <a:ext uri="{53640926-AAD7-44D8-BBD7-CCE9431645EC}">
                        <a14:shadowObscured xmlns:a14="http://schemas.microsoft.com/office/drawing/2010/main"/>
                      </a:ext>
                    </a:extLst>
                  </pic:spPr>
                </pic:pic>
              </a:graphicData>
            </a:graphic>
          </wp:anchor>
        </w:drawing>
      </w:r>
      <w:r w:rsidR="0070681D">
        <w:tab/>
      </w:r>
      <w:r w:rsidR="00A7209C">
        <w:t>The original hypothesis was that the</w:t>
      </w:r>
      <w:r w:rsidR="00D33836">
        <w:t xml:space="preserve"> hydroboration step</w:t>
      </w:r>
      <w:r w:rsidR="00A7209C">
        <w:t xml:space="preserve"> would follow anti-Markovnikov so the</w:t>
      </w:r>
      <w:r w:rsidR="00D33836">
        <w:t xml:space="preserve"> more stable intermediate </w:t>
      </w:r>
      <w:r w:rsidR="00401D88">
        <w:t>alkyl</w:t>
      </w:r>
      <w:r w:rsidR="00C376FB">
        <w:t xml:space="preserve">borane </w:t>
      </w:r>
      <w:r w:rsidR="00D33836">
        <w:t>would have the BH</w:t>
      </w:r>
      <w:r w:rsidR="00D33836">
        <w:rPr>
          <w:vertAlign w:val="subscript"/>
        </w:rPr>
        <w:t>2</w:t>
      </w:r>
      <w:r w:rsidR="00D33836">
        <w:t xml:space="preserve"> bonded to the less substituted C.</w:t>
      </w:r>
      <w:r w:rsidR="00C376FB">
        <w:t xml:space="preserve"> The reaction proceeds in this way for steric and electronic reasons. </w:t>
      </w:r>
      <w:r w:rsidR="007D595F">
        <w:t>The BH</w:t>
      </w:r>
      <w:r w:rsidR="007D595F">
        <w:rPr>
          <w:vertAlign w:val="subscript"/>
        </w:rPr>
        <w:t>2</w:t>
      </w:r>
      <w:r w:rsidR="007D595F">
        <w:t xml:space="preserve"> bonds to the less substituted C because it is the more accessible C so the BH</w:t>
      </w:r>
      <w:r w:rsidR="007D595F">
        <w:rPr>
          <w:vertAlign w:val="subscript"/>
        </w:rPr>
        <w:t xml:space="preserve">2 </w:t>
      </w:r>
      <w:r w:rsidR="007D595F">
        <w:t xml:space="preserve">would be less sterically hindered. As for the electronic reason, although the </w:t>
      </w:r>
      <w:r w:rsidR="00E97BF8">
        <w:t>mechanism involves a “concerted addition of H and BH</w:t>
      </w:r>
      <w:r w:rsidR="00E97BF8">
        <w:rPr>
          <w:vertAlign w:val="subscript"/>
        </w:rPr>
        <w:t>2</w:t>
      </w:r>
      <w:r w:rsidR="00E97BF8">
        <w:t xml:space="preserve"> from the same side of the planar double bond” (Smith 386) the bonds are not broken and formed at exactly the same time so there is a partial negative charge on B and a partial positive</w:t>
      </w:r>
      <w:r w:rsidR="00786C1F">
        <w:t xml:space="preserve"> charge</w:t>
      </w:r>
      <w:r w:rsidR="00E97BF8">
        <w:t xml:space="preserve"> on one C</w:t>
      </w:r>
      <w:r>
        <w:t xml:space="preserve"> as illustrated in Fig 1</w:t>
      </w:r>
      <w:r w:rsidR="00E97BF8">
        <w:t xml:space="preserve">. The partial positive charge would be on the more substituted C because </w:t>
      </w:r>
      <w:r w:rsidR="00786C1F">
        <w:t>the positive charge is stabilized by alkyl groups. Therefore, the BH</w:t>
      </w:r>
      <w:r w:rsidR="00786C1F">
        <w:rPr>
          <w:vertAlign w:val="subscript"/>
        </w:rPr>
        <w:t xml:space="preserve">2 </w:t>
      </w:r>
      <w:r w:rsidR="00786C1F">
        <w:t xml:space="preserve">would bond to the C without the partial positive charge. </w:t>
      </w:r>
      <w:r w:rsidR="00D33836">
        <w:t>The more stable intermediate would then be converted into the major product via the oxidation step.</w:t>
      </w:r>
    </w:p>
    <w:p w14:paraId="48647BF7" w14:textId="7ECDF2BE" w:rsidR="00A32BBD" w:rsidRDefault="00A32BBD" w:rsidP="00A32BBD">
      <w:pPr>
        <w:spacing w:after="0"/>
      </w:pPr>
    </w:p>
    <w:p w14:paraId="6D9D9BDC" w14:textId="77777777" w:rsidR="00A32BBD" w:rsidRDefault="00A32BBD" w:rsidP="00A32BBD">
      <w:pPr>
        <w:spacing w:after="0"/>
        <w:ind w:firstLine="720"/>
      </w:pPr>
    </w:p>
    <w:p w14:paraId="6CAF456E" w14:textId="50E05B8B" w:rsidR="00D5674E" w:rsidRDefault="00B51C9C" w:rsidP="00A32BBD">
      <w:pPr>
        <w:spacing w:after="0"/>
        <w:ind w:firstLine="720"/>
      </w:pPr>
      <w:r>
        <w:t>Th</w:t>
      </w:r>
      <w:r w:rsidR="00401D88">
        <w:t>e</w:t>
      </w:r>
      <w:r>
        <w:t xml:space="preserve"> hypothesis was confirmed by analysis of the GC data. The instrument recognized six different peaks with RTs </w:t>
      </w:r>
      <w:r w:rsidR="00786C1F">
        <w:t>outlined in Table 1</w:t>
      </w:r>
      <w:r>
        <w:t>. These RTs are similar to those found in the reference GC data provided in the procedure</w:t>
      </w:r>
      <w:r w:rsidR="00E656F2">
        <w:t xml:space="preserve"> (</w:t>
      </w:r>
      <w:proofErr w:type="spellStart"/>
      <w:r w:rsidR="00E656F2">
        <w:t>Zharov</w:t>
      </w:r>
      <w:proofErr w:type="spellEnd"/>
      <w:r w:rsidR="00E656F2">
        <w:t xml:space="preserve"> 5). The first two peaks may represent </w:t>
      </w:r>
      <w:r w:rsidR="00E52B35">
        <w:t>Tetrahydrofuran (</w:t>
      </w:r>
      <w:r w:rsidR="00E656F2">
        <w:t>THF</w:t>
      </w:r>
      <w:r w:rsidR="00E52B35">
        <w:t>)</w:t>
      </w:r>
      <w:r w:rsidR="00E656F2">
        <w:t xml:space="preserve">. In the reference data there is only one peak </w:t>
      </w:r>
      <w:r w:rsidR="00EE5C57">
        <w:t xml:space="preserve">representing THF but the first peak in the experimental data is very small and close to the second peak </w:t>
      </w:r>
      <w:r w:rsidR="00786C1F">
        <w:t>so</w:t>
      </w:r>
      <w:r w:rsidR="00EE5C57">
        <w:t xml:space="preserve"> it is likely they represent the same molecule. There is a peak for 2-Hexanol but it </w:t>
      </w:r>
      <w:r w:rsidR="00E52B35">
        <w:t>is so small</w:t>
      </w:r>
      <w:r w:rsidR="00EE5C57">
        <w:t xml:space="preserve"> that the instrument did not calculate its area so its product ratio is neglected. This data shows that </w:t>
      </w:r>
      <w:r w:rsidR="00601306">
        <w:t>there was much more 1-Hexanol present in the product</w:t>
      </w:r>
      <w:r w:rsidR="00D5674E">
        <w:t xml:space="preserve"> than 2-Hexanol which confirms the hypothesis because 1-Hexanol is the least substituted Alcohol.</w:t>
      </w:r>
    </w:p>
    <w:p w14:paraId="5BCD6D8B" w14:textId="77777777" w:rsidR="00A32BBD" w:rsidRDefault="00A32BBD" w:rsidP="00A32BBD">
      <w:pPr>
        <w:spacing w:after="0"/>
        <w:ind w:firstLine="720"/>
      </w:pPr>
    </w:p>
    <w:tbl>
      <w:tblPr>
        <w:tblStyle w:val="TableGrid"/>
        <w:tblW w:w="0" w:type="auto"/>
        <w:tblLook w:val="04A0" w:firstRow="1" w:lastRow="0" w:firstColumn="1" w:lastColumn="0" w:noHBand="0" w:noVBand="1"/>
      </w:tblPr>
      <w:tblGrid>
        <w:gridCol w:w="3116"/>
        <w:gridCol w:w="3117"/>
        <w:gridCol w:w="3117"/>
      </w:tblGrid>
      <w:tr w:rsidR="00E97BF8" w14:paraId="08B29A6F" w14:textId="77777777" w:rsidTr="000E3126">
        <w:tc>
          <w:tcPr>
            <w:tcW w:w="9350" w:type="dxa"/>
            <w:gridSpan w:val="3"/>
          </w:tcPr>
          <w:p w14:paraId="681BAC6C" w14:textId="6C9DE7F4" w:rsidR="00E97BF8" w:rsidRPr="00A32BBD" w:rsidRDefault="00E97BF8" w:rsidP="00A32BBD">
            <w:pPr>
              <w:jc w:val="center"/>
              <w:rPr>
                <w:sz w:val="20"/>
                <w:szCs w:val="20"/>
              </w:rPr>
            </w:pPr>
            <w:r w:rsidRPr="00A32BBD">
              <w:rPr>
                <w:i/>
                <w:iCs/>
                <w:sz w:val="20"/>
                <w:szCs w:val="20"/>
              </w:rPr>
              <w:lastRenderedPageBreak/>
              <w:t>Table 1</w:t>
            </w:r>
          </w:p>
        </w:tc>
      </w:tr>
      <w:tr w:rsidR="00E97BF8" w14:paraId="383EF6C3" w14:textId="77777777" w:rsidTr="00E97BF8">
        <w:tc>
          <w:tcPr>
            <w:tcW w:w="3116" w:type="dxa"/>
          </w:tcPr>
          <w:p w14:paraId="0AAE74B6" w14:textId="3E5C44BE" w:rsidR="00E97BF8" w:rsidRPr="00A32BBD" w:rsidRDefault="00786C1F" w:rsidP="00A32BBD">
            <w:pPr>
              <w:jc w:val="center"/>
              <w:rPr>
                <w:sz w:val="20"/>
                <w:szCs w:val="20"/>
              </w:rPr>
            </w:pPr>
            <w:r w:rsidRPr="00A32BBD">
              <w:rPr>
                <w:sz w:val="20"/>
                <w:szCs w:val="20"/>
              </w:rPr>
              <w:t>Molecule</w:t>
            </w:r>
          </w:p>
        </w:tc>
        <w:tc>
          <w:tcPr>
            <w:tcW w:w="3117" w:type="dxa"/>
          </w:tcPr>
          <w:p w14:paraId="46DB36B7" w14:textId="77589D19" w:rsidR="00E97BF8" w:rsidRPr="00A32BBD" w:rsidRDefault="00786C1F" w:rsidP="00A32BBD">
            <w:pPr>
              <w:jc w:val="center"/>
              <w:rPr>
                <w:sz w:val="20"/>
                <w:szCs w:val="20"/>
              </w:rPr>
            </w:pPr>
            <w:r w:rsidRPr="00A32BBD">
              <w:rPr>
                <w:sz w:val="20"/>
                <w:szCs w:val="20"/>
              </w:rPr>
              <w:t>RT (min)</w:t>
            </w:r>
          </w:p>
        </w:tc>
        <w:tc>
          <w:tcPr>
            <w:tcW w:w="3117" w:type="dxa"/>
          </w:tcPr>
          <w:p w14:paraId="62CEF2A1" w14:textId="49C58D73" w:rsidR="00E97BF8" w:rsidRPr="00A32BBD" w:rsidRDefault="00786C1F" w:rsidP="00A32BBD">
            <w:pPr>
              <w:jc w:val="center"/>
              <w:rPr>
                <w:sz w:val="20"/>
                <w:szCs w:val="20"/>
              </w:rPr>
            </w:pPr>
            <w:r w:rsidRPr="00A32BBD">
              <w:rPr>
                <w:sz w:val="20"/>
                <w:szCs w:val="20"/>
              </w:rPr>
              <w:t>Product Ratio (%)</w:t>
            </w:r>
          </w:p>
        </w:tc>
      </w:tr>
      <w:tr w:rsidR="00E97BF8" w14:paraId="5E5A631F" w14:textId="77777777" w:rsidTr="00E97BF8">
        <w:tc>
          <w:tcPr>
            <w:tcW w:w="3116" w:type="dxa"/>
          </w:tcPr>
          <w:p w14:paraId="23C3104E" w14:textId="223706C3" w:rsidR="00E97BF8" w:rsidRPr="00A32BBD" w:rsidRDefault="00786C1F" w:rsidP="00A32BBD">
            <w:pPr>
              <w:jc w:val="center"/>
              <w:rPr>
                <w:sz w:val="20"/>
                <w:szCs w:val="20"/>
              </w:rPr>
            </w:pPr>
            <w:r w:rsidRPr="00A32BBD">
              <w:rPr>
                <w:sz w:val="20"/>
                <w:szCs w:val="20"/>
              </w:rPr>
              <w:t>THF</w:t>
            </w:r>
          </w:p>
        </w:tc>
        <w:tc>
          <w:tcPr>
            <w:tcW w:w="3117" w:type="dxa"/>
          </w:tcPr>
          <w:p w14:paraId="628D5C5F" w14:textId="38BC53CD" w:rsidR="00E97BF8" w:rsidRPr="00A32BBD" w:rsidRDefault="00786C1F" w:rsidP="00A32BBD">
            <w:pPr>
              <w:jc w:val="center"/>
              <w:rPr>
                <w:sz w:val="20"/>
                <w:szCs w:val="20"/>
              </w:rPr>
            </w:pPr>
            <w:r w:rsidRPr="00A32BBD">
              <w:rPr>
                <w:sz w:val="20"/>
                <w:szCs w:val="20"/>
              </w:rPr>
              <w:t>2.13, 2.23</w:t>
            </w:r>
          </w:p>
        </w:tc>
        <w:tc>
          <w:tcPr>
            <w:tcW w:w="3117" w:type="dxa"/>
          </w:tcPr>
          <w:p w14:paraId="641D97EE" w14:textId="3E4C295E" w:rsidR="00E97BF8" w:rsidRPr="00A32BBD" w:rsidRDefault="00786C1F" w:rsidP="00A32BBD">
            <w:pPr>
              <w:jc w:val="center"/>
              <w:rPr>
                <w:sz w:val="20"/>
                <w:szCs w:val="20"/>
              </w:rPr>
            </w:pPr>
            <w:r w:rsidRPr="00A32BBD">
              <w:rPr>
                <w:sz w:val="20"/>
                <w:szCs w:val="20"/>
              </w:rPr>
              <w:t>45.1</w:t>
            </w:r>
          </w:p>
        </w:tc>
      </w:tr>
      <w:tr w:rsidR="00E97BF8" w14:paraId="19103A73" w14:textId="77777777" w:rsidTr="00E97BF8">
        <w:tc>
          <w:tcPr>
            <w:tcW w:w="3116" w:type="dxa"/>
          </w:tcPr>
          <w:p w14:paraId="1ADF2B26" w14:textId="27DEE453" w:rsidR="00E97BF8" w:rsidRPr="00A32BBD" w:rsidRDefault="00786C1F" w:rsidP="00A32BBD">
            <w:pPr>
              <w:jc w:val="center"/>
              <w:rPr>
                <w:sz w:val="20"/>
                <w:szCs w:val="20"/>
              </w:rPr>
            </w:pPr>
            <w:r w:rsidRPr="00A32BBD">
              <w:rPr>
                <w:sz w:val="20"/>
                <w:szCs w:val="20"/>
              </w:rPr>
              <w:t>1-Butanol</w:t>
            </w:r>
          </w:p>
        </w:tc>
        <w:tc>
          <w:tcPr>
            <w:tcW w:w="3117" w:type="dxa"/>
          </w:tcPr>
          <w:p w14:paraId="4C99780C" w14:textId="0092ADCE" w:rsidR="00E97BF8" w:rsidRPr="00A32BBD" w:rsidRDefault="00786C1F" w:rsidP="00A32BBD">
            <w:pPr>
              <w:jc w:val="center"/>
              <w:rPr>
                <w:sz w:val="20"/>
                <w:szCs w:val="20"/>
              </w:rPr>
            </w:pPr>
            <w:r w:rsidRPr="00A32BBD">
              <w:rPr>
                <w:sz w:val="20"/>
                <w:szCs w:val="20"/>
              </w:rPr>
              <w:t>2.63</w:t>
            </w:r>
          </w:p>
        </w:tc>
        <w:tc>
          <w:tcPr>
            <w:tcW w:w="3117" w:type="dxa"/>
          </w:tcPr>
          <w:p w14:paraId="369F51C1" w14:textId="1841B4AE" w:rsidR="00E97BF8" w:rsidRPr="00A32BBD" w:rsidRDefault="00786C1F" w:rsidP="00A32BBD">
            <w:pPr>
              <w:jc w:val="center"/>
              <w:rPr>
                <w:sz w:val="20"/>
                <w:szCs w:val="20"/>
              </w:rPr>
            </w:pPr>
            <w:r w:rsidRPr="00A32BBD">
              <w:rPr>
                <w:sz w:val="20"/>
                <w:szCs w:val="20"/>
              </w:rPr>
              <w:t>45.9</w:t>
            </w:r>
          </w:p>
        </w:tc>
      </w:tr>
      <w:tr w:rsidR="00E97BF8" w14:paraId="34382EA5" w14:textId="77777777" w:rsidTr="00E97BF8">
        <w:tc>
          <w:tcPr>
            <w:tcW w:w="3116" w:type="dxa"/>
          </w:tcPr>
          <w:p w14:paraId="1D968600" w14:textId="42B42521" w:rsidR="00E97BF8" w:rsidRPr="00A32BBD" w:rsidRDefault="00786C1F" w:rsidP="00A32BBD">
            <w:pPr>
              <w:jc w:val="center"/>
              <w:rPr>
                <w:sz w:val="20"/>
                <w:szCs w:val="20"/>
              </w:rPr>
            </w:pPr>
            <w:r w:rsidRPr="00A32BBD">
              <w:rPr>
                <w:sz w:val="20"/>
                <w:szCs w:val="20"/>
              </w:rPr>
              <w:t>1-Hexanol</w:t>
            </w:r>
          </w:p>
        </w:tc>
        <w:tc>
          <w:tcPr>
            <w:tcW w:w="3117" w:type="dxa"/>
          </w:tcPr>
          <w:p w14:paraId="1E9EFF62" w14:textId="02F3C6EF" w:rsidR="00E97BF8" w:rsidRPr="00A32BBD" w:rsidRDefault="00786C1F" w:rsidP="00A32BBD">
            <w:pPr>
              <w:jc w:val="center"/>
              <w:rPr>
                <w:sz w:val="20"/>
                <w:szCs w:val="20"/>
              </w:rPr>
            </w:pPr>
            <w:r w:rsidRPr="00A32BBD">
              <w:rPr>
                <w:sz w:val="20"/>
                <w:szCs w:val="20"/>
              </w:rPr>
              <w:t>6.16</w:t>
            </w:r>
          </w:p>
        </w:tc>
        <w:tc>
          <w:tcPr>
            <w:tcW w:w="3117" w:type="dxa"/>
          </w:tcPr>
          <w:p w14:paraId="54B80F84" w14:textId="354CEFB7" w:rsidR="00E97BF8" w:rsidRPr="00A32BBD" w:rsidRDefault="00786C1F" w:rsidP="00A32BBD">
            <w:pPr>
              <w:jc w:val="center"/>
              <w:rPr>
                <w:sz w:val="20"/>
                <w:szCs w:val="20"/>
              </w:rPr>
            </w:pPr>
            <w:r w:rsidRPr="00A32BBD">
              <w:rPr>
                <w:sz w:val="20"/>
                <w:szCs w:val="20"/>
              </w:rPr>
              <w:t>6.09</w:t>
            </w:r>
          </w:p>
        </w:tc>
      </w:tr>
      <w:tr w:rsidR="00E97BF8" w14:paraId="44AD5185" w14:textId="77777777" w:rsidTr="00E97BF8">
        <w:tc>
          <w:tcPr>
            <w:tcW w:w="3116" w:type="dxa"/>
          </w:tcPr>
          <w:p w14:paraId="2C2E2029" w14:textId="1FE9701A" w:rsidR="00E97BF8" w:rsidRPr="00A32BBD" w:rsidRDefault="00786C1F" w:rsidP="00A32BBD">
            <w:pPr>
              <w:jc w:val="center"/>
              <w:rPr>
                <w:sz w:val="20"/>
                <w:szCs w:val="20"/>
              </w:rPr>
            </w:pPr>
            <w:r w:rsidRPr="00A32BBD">
              <w:rPr>
                <w:sz w:val="20"/>
                <w:szCs w:val="20"/>
              </w:rPr>
              <w:t>2-Hexanol</w:t>
            </w:r>
          </w:p>
        </w:tc>
        <w:tc>
          <w:tcPr>
            <w:tcW w:w="3117" w:type="dxa"/>
          </w:tcPr>
          <w:p w14:paraId="6A6234CC" w14:textId="11A3D045" w:rsidR="00E97BF8" w:rsidRPr="00A32BBD" w:rsidRDefault="00786C1F" w:rsidP="00A32BBD">
            <w:pPr>
              <w:jc w:val="center"/>
              <w:rPr>
                <w:sz w:val="20"/>
                <w:szCs w:val="20"/>
              </w:rPr>
            </w:pPr>
            <w:r w:rsidRPr="00A32BBD">
              <w:rPr>
                <w:sz w:val="20"/>
                <w:szCs w:val="20"/>
              </w:rPr>
              <w:t>~5.2</w:t>
            </w:r>
          </w:p>
        </w:tc>
        <w:tc>
          <w:tcPr>
            <w:tcW w:w="3117" w:type="dxa"/>
          </w:tcPr>
          <w:p w14:paraId="5490738A" w14:textId="6324B2B0" w:rsidR="00E97BF8" w:rsidRPr="00A32BBD" w:rsidRDefault="00786C1F" w:rsidP="00A32BBD">
            <w:pPr>
              <w:jc w:val="center"/>
              <w:rPr>
                <w:sz w:val="20"/>
                <w:szCs w:val="20"/>
              </w:rPr>
            </w:pPr>
            <w:r w:rsidRPr="00A32BBD">
              <w:rPr>
                <w:sz w:val="20"/>
                <w:szCs w:val="20"/>
              </w:rPr>
              <w:t>0</w:t>
            </w:r>
          </w:p>
        </w:tc>
      </w:tr>
      <w:tr w:rsidR="00E97BF8" w14:paraId="469FF55B" w14:textId="77777777" w:rsidTr="00E97BF8">
        <w:tc>
          <w:tcPr>
            <w:tcW w:w="3116" w:type="dxa"/>
          </w:tcPr>
          <w:p w14:paraId="5D6448F4" w14:textId="44C716E7" w:rsidR="00E97BF8" w:rsidRPr="00A32BBD" w:rsidRDefault="00786C1F" w:rsidP="00A32BBD">
            <w:pPr>
              <w:jc w:val="center"/>
              <w:rPr>
                <w:sz w:val="20"/>
                <w:szCs w:val="20"/>
              </w:rPr>
            </w:pPr>
            <w:r w:rsidRPr="00A32BBD">
              <w:rPr>
                <w:sz w:val="20"/>
                <w:szCs w:val="20"/>
              </w:rPr>
              <w:t>Other</w:t>
            </w:r>
          </w:p>
        </w:tc>
        <w:tc>
          <w:tcPr>
            <w:tcW w:w="3117" w:type="dxa"/>
          </w:tcPr>
          <w:p w14:paraId="481D33BB" w14:textId="56A0267C" w:rsidR="00E97BF8" w:rsidRPr="00A32BBD" w:rsidRDefault="00786C1F" w:rsidP="00A32BBD">
            <w:pPr>
              <w:jc w:val="center"/>
              <w:rPr>
                <w:sz w:val="20"/>
                <w:szCs w:val="20"/>
              </w:rPr>
            </w:pPr>
            <w:r w:rsidRPr="00A32BBD">
              <w:rPr>
                <w:sz w:val="20"/>
                <w:szCs w:val="20"/>
              </w:rPr>
              <w:t>8.26, 8.59</w:t>
            </w:r>
          </w:p>
        </w:tc>
        <w:tc>
          <w:tcPr>
            <w:tcW w:w="3117" w:type="dxa"/>
          </w:tcPr>
          <w:p w14:paraId="235673AA" w14:textId="2F616132" w:rsidR="00E97BF8" w:rsidRPr="00A32BBD" w:rsidRDefault="00786C1F" w:rsidP="00A32BBD">
            <w:pPr>
              <w:jc w:val="center"/>
              <w:rPr>
                <w:sz w:val="20"/>
                <w:szCs w:val="20"/>
              </w:rPr>
            </w:pPr>
            <w:r w:rsidRPr="00A32BBD">
              <w:rPr>
                <w:sz w:val="20"/>
                <w:szCs w:val="20"/>
              </w:rPr>
              <w:t>2.84</w:t>
            </w:r>
          </w:p>
        </w:tc>
      </w:tr>
    </w:tbl>
    <w:p w14:paraId="417FBA01" w14:textId="77777777" w:rsidR="00A32BBD" w:rsidRDefault="00D5674E" w:rsidP="00A32BBD">
      <w:pPr>
        <w:spacing w:after="0"/>
      </w:pPr>
      <w:r>
        <w:tab/>
      </w:r>
    </w:p>
    <w:p w14:paraId="4BE8F0AC" w14:textId="7263975A" w:rsidR="006E42E4" w:rsidRDefault="00395525" w:rsidP="00A32BBD">
      <w:pPr>
        <w:spacing w:after="0"/>
        <w:ind w:firstLine="720"/>
      </w:pPr>
      <w:r>
        <w:t xml:space="preserve">The </w:t>
      </w:r>
      <w:r w:rsidR="00E27340">
        <w:t>IR and GC</w:t>
      </w:r>
      <w:r>
        <w:t xml:space="preserve"> data can both be used to infer the purity of the product</w:t>
      </w:r>
      <w:r w:rsidR="00E27340">
        <w:t>.</w:t>
      </w:r>
      <w:r w:rsidR="00E27340" w:rsidRPr="00E27340">
        <w:t xml:space="preserve"> </w:t>
      </w:r>
      <w:r w:rsidR="00E27340">
        <w:t>The IR data for 1-Hexene shows expected peaks correlating to the C=C and C-H bonds that make up the molecule. The C=C peak shows at around 1642cm</w:t>
      </w:r>
      <w:r w:rsidR="00E27340">
        <w:rPr>
          <w:vertAlign w:val="superscript"/>
        </w:rPr>
        <w:t>-1</w:t>
      </w:r>
      <w:r w:rsidR="00E27340">
        <w:t xml:space="preserve"> and the C-H peaks range from 2861 to 2959cm</w:t>
      </w:r>
      <w:r w:rsidR="00E27340">
        <w:rPr>
          <w:vertAlign w:val="superscript"/>
        </w:rPr>
        <w:t>-1</w:t>
      </w:r>
      <w:r w:rsidR="00E27340">
        <w:t xml:space="preserve"> with another peak at 3079cm</w:t>
      </w:r>
      <w:r w:rsidR="00E27340">
        <w:rPr>
          <w:vertAlign w:val="superscript"/>
        </w:rPr>
        <w:t>-1</w:t>
      </w:r>
      <w:r w:rsidR="00E27340">
        <w:t xml:space="preserve"> which represents the C=C-H bonds. The IR data for the product shows peaks at a similar range as the starting material for the C-H bonds from 2873 to 2957cm</w:t>
      </w:r>
      <w:r w:rsidR="00E27340">
        <w:rPr>
          <w:vertAlign w:val="superscript"/>
        </w:rPr>
        <w:t>-1</w:t>
      </w:r>
      <w:r w:rsidR="00E27340">
        <w:t>. Instead of a peak at 3079cm</w:t>
      </w:r>
      <w:r w:rsidR="00E27340">
        <w:rPr>
          <w:vertAlign w:val="superscript"/>
        </w:rPr>
        <w:t xml:space="preserve">-1 </w:t>
      </w:r>
      <w:r w:rsidR="00E27340">
        <w:t>however there is a broad peak at 3353cm</w:t>
      </w:r>
      <w:r w:rsidR="00E27340">
        <w:rPr>
          <w:vertAlign w:val="superscript"/>
        </w:rPr>
        <w:t>-1</w:t>
      </w:r>
      <w:r w:rsidR="00E27340">
        <w:t xml:space="preserve"> which represents the alcohol. There also appears to be a peak at 1727cm</w:t>
      </w:r>
      <w:r w:rsidR="00E27340">
        <w:rPr>
          <w:vertAlign w:val="superscript"/>
        </w:rPr>
        <w:t>-1</w:t>
      </w:r>
      <w:r w:rsidR="00E27340">
        <w:t xml:space="preserve"> which may correspond to a C=C double bond</w:t>
      </w:r>
      <w:r w:rsidR="00912ACC">
        <w:t xml:space="preserve">. If so, then there </w:t>
      </w:r>
      <w:r w:rsidR="005556D7">
        <w:t xml:space="preserve">may have been some unreacted 1-Hexene leftover in the product. </w:t>
      </w:r>
      <w:r w:rsidR="00912ACC">
        <w:t xml:space="preserve">This peak could also represent THF because the GC showed that the product contained a high concentration of THF. </w:t>
      </w:r>
      <w:r w:rsidR="00E27340">
        <w:t>In the GC data</w:t>
      </w:r>
      <w:r w:rsidR="00E27340">
        <w:t xml:space="preserve"> the actual “impurities” make up only 2.84% of the product which </w:t>
      </w:r>
      <w:r w:rsidR="00AF4E38">
        <w:t xml:space="preserve">initially </w:t>
      </w:r>
      <w:r w:rsidR="00E27340">
        <w:t>suggests that the product is pure</w:t>
      </w:r>
      <w:r w:rsidR="00AF4E38">
        <w:t>. T</w:t>
      </w:r>
      <w:r w:rsidR="00E27340">
        <w:t>he majority of the product however</w:t>
      </w:r>
      <w:r w:rsidR="00AF4E38">
        <w:t>,</w:t>
      </w:r>
      <w:r w:rsidR="00E27340">
        <w:t xml:space="preserve"> is not </w:t>
      </w:r>
      <w:r w:rsidR="00AF4E38">
        <w:t>either of the Hexanol isomers</w:t>
      </w:r>
      <w:r w:rsidR="00E27340">
        <w:t xml:space="preserve">, but THF. THF </w:t>
      </w:r>
      <w:r w:rsidR="005556D7">
        <w:t>is included in the reaction solution because the BH</w:t>
      </w:r>
      <w:r w:rsidR="005556D7">
        <w:rPr>
          <w:vertAlign w:val="subscript"/>
        </w:rPr>
        <w:t>3</w:t>
      </w:r>
      <w:r w:rsidR="005556D7">
        <w:t xml:space="preserve"> that was used was provided as a BH</w:t>
      </w:r>
      <w:r w:rsidR="005556D7">
        <w:rPr>
          <w:vertAlign w:val="subscript"/>
        </w:rPr>
        <w:t>3</w:t>
      </w:r>
      <w:r w:rsidR="005556D7">
        <w:t>-THF complex but it does not take part in the reaction</w:t>
      </w:r>
      <w:r w:rsidR="006E42E4">
        <w:t>.</w:t>
      </w:r>
      <w:r w:rsidR="00025F7E">
        <w:t xml:space="preserve"> When all the components of the product are considered, then the product ratio of the desired product was only about 6% which signifies that the product was highly impure. Even if the THF and 1-Butanol peaks are ignored, then the remaining product consists only of 1-Hexanol and impurities but the product ratio of the impurities is almost half that of 1-Hexanol which </w:t>
      </w:r>
      <w:r w:rsidR="00E52B35">
        <w:t xml:space="preserve">also </w:t>
      </w:r>
      <w:r w:rsidR="00025F7E">
        <w:t>indicates that the product was very impure. This analysis indicates that whether unreacted reactants are included or ignored, the product was fairly impure.</w:t>
      </w:r>
    </w:p>
    <w:p w14:paraId="0F09D7BD" w14:textId="0BDFFE47" w:rsidR="00A32BBD" w:rsidRDefault="00CB0448" w:rsidP="00A32BBD">
      <w:pPr>
        <w:spacing w:after="0"/>
      </w:pPr>
      <w:r>
        <w:tab/>
        <w:t>A large amount of THF was found in the product because the reaction between 1-Hexene and BH</w:t>
      </w:r>
      <w:r>
        <w:rPr>
          <w:vertAlign w:val="subscript"/>
        </w:rPr>
        <w:t>3</w:t>
      </w:r>
      <w:r>
        <w:t>-THF should be 1:1 but the number of moles of BH</w:t>
      </w:r>
      <w:r>
        <w:rPr>
          <w:vertAlign w:val="subscript"/>
        </w:rPr>
        <w:t>3</w:t>
      </w:r>
      <w:r>
        <w:t>-THF was about 6.5x that of 1-Hexene so assuming 100% of the 1-Hexene reacted,</w:t>
      </w:r>
      <w:r w:rsidR="00AF4E38">
        <w:t xml:space="preserve"> according to the values in the following table,</w:t>
      </w:r>
      <w:r>
        <w:t xml:space="preserve"> there was still about 2.66e-2 moles of BH</w:t>
      </w:r>
      <w:r>
        <w:rPr>
          <w:vertAlign w:val="subscript"/>
        </w:rPr>
        <w:t>3</w:t>
      </w:r>
      <w:r>
        <w:t xml:space="preserve">-THF left in the </w:t>
      </w:r>
      <w:r w:rsidR="0073340F">
        <w:t>solution.</w:t>
      </w:r>
      <w:r w:rsidR="00AF4E38">
        <w:t xml:space="preserve"> This suggests that much less BH</w:t>
      </w:r>
      <w:r w:rsidR="00AF4E38">
        <w:rPr>
          <w:vertAlign w:val="subscript"/>
        </w:rPr>
        <w:t>3</w:t>
      </w:r>
      <w:r w:rsidR="00AF4E38">
        <w:t>-THF could have been used to produce the same amount of Hexanol Isomers while having less THF leftover in the product.</w:t>
      </w:r>
      <w:r w:rsidR="00025F7E">
        <w:t xml:space="preserve"> This suggestion would not necessarily affect the purity of the product</w:t>
      </w:r>
      <w:r w:rsidR="00A32BBD">
        <w:t>.</w:t>
      </w:r>
    </w:p>
    <w:tbl>
      <w:tblPr>
        <w:tblStyle w:val="TableGrid"/>
        <w:tblpPr w:leftFromText="180" w:rightFromText="180" w:vertAnchor="text" w:horzAnchor="margin" w:tblpY="104"/>
        <w:tblW w:w="0" w:type="auto"/>
        <w:tblLook w:val="04A0" w:firstRow="1" w:lastRow="0" w:firstColumn="1" w:lastColumn="0" w:noHBand="0" w:noVBand="1"/>
      </w:tblPr>
      <w:tblGrid>
        <w:gridCol w:w="2605"/>
        <w:gridCol w:w="2250"/>
        <w:gridCol w:w="2250"/>
        <w:gridCol w:w="2245"/>
      </w:tblGrid>
      <w:tr w:rsidR="00E97BF8" w14:paraId="2EDE236F" w14:textId="77777777" w:rsidTr="00D10B99">
        <w:tc>
          <w:tcPr>
            <w:tcW w:w="9350" w:type="dxa"/>
            <w:gridSpan w:val="4"/>
          </w:tcPr>
          <w:p w14:paraId="36CE995C" w14:textId="7F0CB724" w:rsidR="00E97BF8" w:rsidRPr="00A32BBD" w:rsidRDefault="00E97BF8" w:rsidP="00A32BBD">
            <w:pPr>
              <w:jc w:val="center"/>
              <w:rPr>
                <w:i/>
                <w:iCs/>
                <w:sz w:val="20"/>
                <w:szCs w:val="20"/>
              </w:rPr>
            </w:pPr>
            <w:r w:rsidRPr="00A32BBD">
              <w:rPr>
                <w:i/>
                <w:iCs/>
                <w:sz w:val="20"/>
                <w:szCs w:val="20"/>
              </w:rPr>
              <w:t>Table 2</w:t>
            </w:r>
          </w:p>
        </w:tc>
      </w:tr>
      <w:tr w:rsidR="00AF4E38" w14:paraId="41929D8C" w14:textId="77777777" w:rsidTr="00AF4E38">
        <w:tc>
          <w:tcPr>
            <w:tcW w:w="2605" w:type="dxa"/>
          </w:tcPr>
          <w:p w14:paraId="48F3805A" w14:textId="77777777" w:rsidR="00AF4E38" w:rsidRPr="00A32BBD" w:rsidRDefault="00AF4E38" w:rsidP="00A32BBD">
            <w:pPr>
              <w:rPr>
                <w:sz w:val="20"/>
                <w:szCs w:val="20"/>
              </w:rPr>
            </w:pPr>
          </w:p>
        </w:tc>
        <w:tc>
          <w:tcPr>
            <w:tcW w:w="2250" w:type="dxa"/>
          </w:tcPr>
          <w:p w14:paraId="408FC839" w14:textId="77777777" w:rsidR="00AF4E38" w:rsidRPr="00A32BBD" w:rsidRDefault="00AF4E38" w:rsidP="00A32BBD">
            <w:pPr>
              <w:jc w:val="center"/>
              <w:rPr>
                <w:sz w:val="20"/>
                <w:szCs w:val="20"/>
              </w:rPr>
            </w:pPr>
            <w:r w:rsidRPr="00A32BBD">
              <w:rPr>
                <w:sz w:val="20"/>
                <w:szCs w:val="20"/>
              </w:rPr>
              <w:t>1-Hexene*</w:t>
            </w:r>
          </w:p>
        </w:tc>
        <w:tc>
          <w:tcPr>
            <w:tcW w:w="2250" w:type="dxa"/>
          </w:tcPr>
          <w:p w14:paraId="67011024" w14:textId="414870C3" w:rsidR="00AF4E38" w:rsidRPr="00A32BBD" w:rsidRDefault="0008013A" w:rsidP="00A32BBD">
            <w:pPr>
              <w:jc w:val="center"/>
              <w:rPr>
                <w:sz w:val="20"/>
                <w:szCs w:val="20"/>
              </w:rPr>
            </w:pPr>
            <w:r w:rsidRPr="00A32BBD">
              <w:rPr>
                <w:sz w:val="20"/>
                <w:szCs w:val="20"/>
              </w:rPr>
              <w:t xml:space="preserve">1M </w:t>
            </w:r>
            <w:r w:rsidR="00AF4E38" w:rsidRPr="00A32BBD">
              <w:rPr>
                <w:sz w:val="20"/>
                <w:szCs w:val="20"/>
              </w:rPr>
              <w:t>BH</w:t>
            </w:r>
            <w:r w:rsidR="00AF4E38" w:rsidRPr="00A32BBD">
              <w:rPr>
                <w:sz w:val="20"/>
                <w:szCs w:val="20"/>
                <w:vertAlign w:val="subscript"/>
              </w:rPr>
              <w:t>3</w:t>
            </w:r>
            <w:r w:rsidR="00AF4E38" w:rsidRPr="00A32BBD">
              <w:rPr>
                <w:sz w:val="20"/>
                <w:szCs w:val="20"/>
              </w:rPr>
              <w:t>-THF</w:t>
            </w:r>
            <w:r w:rsidR="00AF4E38" w:rsidRPr="00A32BBD">
              <w:rPr>
                <w:rFonts w:cs="Times New Roman"/>
                <w:sz w:val="20"/>
                <w:szCs w:val="20"/>
              </w:rPr>
              <w:t>ª</w:t>
            </w:r>
          </w:p>
        </w:tc>
        <w:tc>
          <w:tcPr>
            <w:tcW w:w="2245" w:type="dxa"/>
          </w:tcPr>
          <w:p w14:paraId="2ED52253" w14:textId="77777777" w:rsidR="00AF4E38" w:rsidRPr="00A32BBD" w:rsidRDefault="00AF4E38" w:rsidP="00A32BBD">
            <w:pPr>
              <w:jc w:val="center"/>
              <w:rPr>
                <w:sz w:val="20"/>
                <w:szCs w:val="20"/>
              </w:rPr>
            </w:pPr>
            <w:r w:rsidRPr="00A32BBD">
              <w:rPr>
                <w:sz w:val="20"/>
                <w:szCs w:val="20"/>
              </w:rPr>
              <w:t>Hexanol Isomers*</w:t>
            </w:r>
          </w:p>
        </w:tc>
      </w:tr>
      <w:tr w:rsidR="00AF4E38" w14:paraId="64D5D532" w14:textId="77777777" w:rsidTr="00AF4E38">
        <w:tc>
          <w:tcPr>
            <w:tcW w:w="2605" w:type="dxa"/>
          </w:tcPr>
          <w:p w14:paraId="30B2E412" w14:textId="77777777" w:rsidR="00AF4E38" w:rsidRPr="00A32BBD" w:rsidRDefault="00AF4E38" w:rsidP="00A32BBD">
            <w:pPr>
              <w:rPr>
                <w:sz w:val="20"/>
                <w:szCs w:val="20"/>
              </w:rPr>
            </w:pPr>
            <w:r w:rsidRPr="00A32BBD">
              <w:rPr>
                <w:sz w:val="20"/>
                <w:szCs w:val="20"/>
              </w:rPr>
              <w:t>MW (g/mol</w:t>
            </w:r>
            <w:r w:rsidRPr="00A32BBD">
              <w:rPr>
                <w:rFonts w:eastAsiaTheme="minorEastAsia"/>
                <w:sz w:val="20"/>
                <w:szCs w:val="20"/>
              </w:rPr>
              <w:t>)</w:t>
            </w:r>
          </w:p>
        </w:tc>
        <w:tc>
          <w:tcPr>
            <w:tcW w:w="2250" w:type="dxa"/>
          </w:tcPr>
          <w:p w14:paraId="59E442B5" w14:textId="77777777" w:rsidR="00AF4E38" w:rsidRPr="00A32BBD" w:rsidRDefault="00AF4E38" w:rsidP="00A32BBD">
            <w:pPr>
              <w:jc w:val="center"/>
              <w:rPr>
                <w:sz w:val="20"/>
                <w:szCs w:val="20"/>
              </w:rPr>
            </w:pPr>
            <w:r w:rsidRPr="00A32BBD">
              <w:rPr>
                <w:sz w:val="20"/>
                <w:szCs w:val="20"/>
              </w:rPr>
              <w:t>84.16</w:t>
            </w:r>
          </w:p>
        </w:tc>
        <w:tc>
          <w:tcPr>
            <w:tcW w:w="2250" w:type="dxa"/>
          </w:tcPr>
          <w:p w14:paraId="24DFEE20" w14:textId="77777777" w:rsidR="00AF4E38" w:rsidRPr="00A32BBD" w:rsidRDefault="00AF4E38" w:rsidP="00A32BBD">
            <w:pPr>
              <w:jc w:val="center"/>
              <w:rPr>
                <w:sz w:val="20"/>
                <w:szCs w:val="20"/>
              </w:rPr>
            </w:pPr>
            <w:r w:rsidRPr="00A32BBD">
              <w:rPr>
                <w:sz w:val="20"/>
                <w:szCs w:val="20"/>
              </w:rPr>
              <w:t>85.94</w:t>
            </w:r>
          </w:p>
        </w:tc>
        <w:tc>
          <w:tcPr>
            <w:tcW w:w="2245" w:type="dxa"/>
          </w:tcPr>
          <w:p w14:paraId="3DBF0955" w14:textId="77777777" w:rsidR="00AF4E38" w:rsidRPr="00A32BBD" w:rsidRDefault="00AF4E38" w:rsidP="00A32BBD">
            <w:pPr>
              <w:jc w:val="center"/>
              <w:rPr>
                <w:sz w:val="20"/>
                <w:szCs w:val="20"/>
              </w:rPr>
            </w:pPr>
            <w:r w:rsidRPr="00A32BBD">
              <w:rPr>
                <w:sz w:val="20"/>
                <w:szCs w:val="20"/>
              </w:rPr>
              <w:t>102.17</w:t>
            </w:r>
          </w:p>
        </w:tc>
      </w:tr>
      <w:tr w:rsidR="00AF4E38" w14:paraId="15927538" w14:textId="77777777" w:rsidTr="00AF4E38">
        <w:tc>
          <w:tcPr>
            <w:tcW w:w="2605" w:type="dxa"/>
          </w:tcPr>
          <w:p w14:paraId="7A60DEC4" w14:textId="77777777" w:rsidR="00AF4E38" w:rsidRPr="00A32BBD" w:rsidRDefault="00AF4E38" w:rsidP="00A32BBD">
            <w:pPr>
              <w:rPr>
                <w:sz w:val="20"/>
                <w:szCs w:val="20"/>
              </w:rPr>
            </w:pPr>
            <w:r w:rsidRPr="00A32BBD">
              <w:rPr>
                <w:sz w:val="20"/>
                <w:szCs w:val="20"/>
              </w:rPr>
              <w:t>Density (g/mL)</w:t>
            </w:r>
          </w:p>
        </w:tc>
        <w:tc>
          <w:tcPr>
            <w:tcW w:w="2250" w:type="dxa"/>
          </w:tcPr>
          <w:p w14:paraId="714EEBDA" w14:textId="77777777" w:rsidR="00AF4E38" w:rsidRPr="00A32BBD" w:rsidRDefault="00AF4E38" w:rsidP="00A32BBD">
            <w:pPr>
              <w:jc w:val="center"/>
              <w:rPr>
                <w:sz w:val="20"/>
                <w:szCs w:val="20"/>
              </w:rPr>
            </w:pPr>
            <w:r w:rsidRPr="00A32BBD">
              <w:rPr>
                <w:sz w:val="20"/>
                <w:szCs w:val="20"/>
              </w:rPr>
              <w:t>0.670</w:t>
            </w:r>
          </w:p>
        </w:tc>
        <w:tc>
          <w:tcPr>
            <w:tcW w:w="2250" w:type="dxa"/>
          </w:tcPr>
          <w:p w14:paraId="7BBB04B3" w14:textId="77777777" w:rsidR="00AF4E38" w:rsidRPr="00A32BBD" w:rsidRDefault="00AF4E38" w:rsidP="00A32BBD">
            <w:pPr>
              <w:jc w:val="center"/>
              <w:rPr>
                <w:sz w:val="20"/>
                <w:szCs w:val="20"/>
              </w:rPr>
            </w:pPr>
            <w:r w:rsidRPr="00A32BBD">
              <w:rPr>
                <w:sz w:val="20"/>
                <w:szCs w:val="20"/>
              </w:rPr>
              <w:t>0.898</w:t>
            </w:r>
          </w:p>
        </w:tc>
        <w:tc>
          <w:tcPr>
            <w:tcW w:w="2245" w:type="dxa"/>
          </w:tcPr>
          <w:p w14:paraId="50B046A1" w14:textId="77777777" w:rsidR="00AF4E38" w:rsidRPr="00A32BBD" w:rsidRDefault="00AF4E38" w:rsidP="00A32BBD">
            <w:pPr>
              <w:jc w:val="center"/>
              <w:rPr>
                <w:sz w:val="20"/>
                <w:szCs w:val="20"/>
              </w:rPr>
            </w:pPr>
            <w:r w:rsidRPr="00A32BBD">
              <w:rPr>
                <w:sz w:val="20"/>
                <w:szCs w:val="20"/>
              </w:rPr>
              <w:t>0.810</w:t>
            </w:r>
          </w:p>
        </w:tc>
      </w:tr>
      <w:tr w:rsidR="00AF4E38" w14:paraId="3C512EAE" w14:textId="77777777" w:rsidTr="00AF4E38">
        <w:tc>
          <w:tcPr>
            <w:tcW w:w="2605" w:type="dxa"/>
            <w:tcBorders>
              <w:bottom w:val="single" w:sz="4" w:space="0" w:color="auto"/>
            </w:tcBorders>
          </w:tcPr>
          <w:p w14:paraId="2EA799F2" w14:textId="77777777" w:rsidR="00AF4E38" w:rsidRPr="00A32BBD" w:rsidRDefault="00AF4E38" w:rsidP="00A32BBD">
            <w:pPr>
              <w:rPr>
                <w:sz w:val="20"/>
                <w:szCs w:val="20"/>
              </w:rPr>
            </w:pPr>
            <w:r w:rsidRPr="00A32BBD">
              <w:rPr>
                <w:sz w:val="20"/>
                <w:szCs w:val="20"/>
              </w:rPr>
              <w:t>Amount Used (mL)</w:t>
            </w:r>
          </w:p>
        </w:tc>
        <w:tc>
          <w:tcPr>
            <w:tcW w:w="2250" w:type="dxa"/>
            <w:tcBorders>
              <w:bottom w:val="single" w:sz="4" w:space="0" w:color="auto"/>
            </w:tcBorders>
          </w:tcPr>
          <w:p w14:paraId="6EC9A005" w14:textId="77777777" w:rsidR="00AF4E38" w:rsidRPr="00A32BBD" w:rsidRDefault="00AF4E38" w:rsidP="00A32BBD">
            <w:pPr>
              <w:jc w:val="center"/>
              <w:rPr>
                <w:sz w:val="20"/>
                <w:szCs w:val="20"/>
              </w:rPr>
            </w:pPr>
            <w:r w:rsidRPr="00A32BBD">
              <w:rPr>
                <w:sz w:val="20"/>
                <w:szCs w:val="20"/>
              </w:rPr>
              <w:t>0.600</w:t>
            </w:r>
          </w:p>
        </w:tc>
        <w:tc>
          <w:tcPr>
            <w:tcW w:w="2250" w:type="dxa"/>
            <w:tcBorders>
              <w:bottom w:val="single" w:sz="4" w:space="0" w:color="auto"/>
            </w:tcBorders>
          </w:tcPr>
          <w:p w14:paraId="480CC81E" w14:textId="77777777" w:rsidR="00AF4E38" w:rsidRPr="00A32BBD" w:rsidRDefault="00AF4E38" w:rsidP="00A32BBD">
            <w:pPr>
              <w:jc w:val="center"/>
              <w:rPr>
                <w:sz w:val="20"/>
                <w:szCs w:val="20"/>
              </w:rPr>
            </w:pPr>
            <w:r w:rsidRPr="00A32BBD">
              <w:rPr>
                <w:sz w:val="20"/>
                <w:szCs w:val="20"/>
              </w:rPr>
              <w:t>3.00</w:t>
            </w:r>
          </w:p>
        </w:tc>
        <w:tc>
          <w:tcPr>
            <w:tcW w:w="2245" w:type="dxa"/>
            <w:tcBorders>
              <w:bottom w:val="single" w:sz="4" w:space="0" w:color="auto"/>
            </w:tcBorders>
            <w:shd w:val="clear" w:color="auto" w:fill="000000" w:themeFill="text1"/>
          </w:tcPr>
          <w:p w14:paraId="2D65FABF" w14:textId="77777777" w:rsidR="00AF4E38" w:rsidRPr="00A32BBD" w:rsidRDefault="00AF4E38" w:rsidP="00A32BBD">
            <w:pPr>
              <w:jc w:val="center"/>
              <w:rPr>
                <w:sz w:val="20"/>
                <w:szCs w:val="20"/>
              </w:rPr>
            </w:pPr>
          </w:p>
        </w:tc>
      </w:tr>
      <w:tr w:rsidR="00AF4E38" w14:paraId="03179E5A" w14:textId="77777777" w:rsidTr="00AF4E38">
        <w:tc>
          <w:tcPr>
            <w:tcW w:w="2605" w:type="dxa"/>
            <w:tcBorders>
              <w:bottom w:val="single" w:sz="4" w:space="0" w:color="auto"/>
            </w:tcBorders>
          </w:tcPr>
          <w:p w14:paraId="11789305" w14:textId="77777777" w:rsidR="00AF4E38" w:rsidRPr="00A32BBD" w:rsidRDefault="00AF4E38" w:rsidP="00A32BBD">
            <w:pPr>
              <w:rPr>
                <w:sz w:val="20"/>
                <w:szCs w:val="20"/>
              </w:rPr>
            </w:pPr>
            <w:r w:rsidRPr="00A32BBD">
              <w:rPr>
                <w:sz w:val="20"/>
                <w:szCs w:val="20"/>
              </w:rPr>
              <w:t>Amount Used (mol)</w:t>
            </w:r>
          </w:p>
        </w:tc>
        <w:tc>
          <w:tcPr>
            <w:tcW w:w="2250" w:type="dxa"/>
            <w:tcBorders>
              <w:bottom w:val="single" w:sz="4" w:space="0" w:color="auto"/>
            </w:tcBorders>
          </w:tcPr>
          <w:p w14:paraId="59ACD712" w14:textId="77777777" w:rsidR="00AF4E38" w:rsidRPr="00A32BBD" w:rsidRDefault="00AF4E38" w:rsidP="00A32BBD">
            <w:pPr>
              <w:jc w:val="center"/>
              <w:rPr>
                <w:sz w:val="20"/>
                <w:szCs w:val="20"/>
              </w:rPr>
            </w:pPr>
            <w:r w:rsidRPr="00A32BBD">
              <w:rPr>
                <w:sz w:val="20"/>
                <w:szCs w:val="20"/>
              </w:rPr>
              <w:t>4.78e-3</w:t>
            </w:r>
          </w:p>
        </w:tc>
        <w:tc>
          <w:tcPr>
            <w:tcW w:w="2250" w:type="dxa"/>
            <w:tcBorders>
              <w:bottom w:val="single" w:sz="4" w:space="0" w:color="auto"/>
            </w:tcBorders>
          </w:tcPr>
          <w:p w14:paraId="56C3A67A" w14:textId="77777777" w:rsidR="00AF4E38" w:rsidRPr="00A32BBD" w:rsidRDefault="00AF4E38" w:rsidP="00A32BBD">
            <w:pPr>
              <w:jc w:val="center"/>
              <w:rPr>
                <w:sz w:val="20"/>
                <w:szCs w:val="20"/>
              </w:rPr>
            </w:pPr>
            <w:r w:rsidRPr="00A32BBD">
              <w:rPr>
                <w:sz w:val="20"/>
                <w:szCs w:val="20"/>
              </w:rPr>
              <w:t>3.13e-2</w:t>
            </w:r>
          </w:p>
        </w:tc>
        <w:tc>
          <w:tcPr>
            <w:tcW w:w="2245" w:type="dxa"/>
            <w:tcBorders>
              <w:bottom w:val="single" w:sz="4" w:space="0" w:color="auto"/>
            </w:tcBorders>
            <w:shd w:val="clear" w:color="auto" w:fill="000000" w:themeFill="text1"/>
          </w:tcPr>
          <w:p w14:paraId="2AD68777" w14:textId="77777777" w:rsidR="00AF4E38" w:rsidRPr="00A32BBD" w:rsidRDefault="00AF4E38" w:rsidP="00A32BBD">
            <w:pPr>
              <w:jc w:val="center"/>
              <w:rPr>
                <w:sz w:val="20"/>
                <w:szCs w:val="20"/>
              </w:rPr>
            </w:pPr>
          </w:p>
        </w:tc>
      </w:tr>
      <w:tr w:rsidR="00AF4E38" w14:paraId="4BD8B8B8" w14:textId="77777777" w:rsidTr="00AF4E38">
        <w:tc>
          <w:tcPr>
            <w:tcW w:w="2605" w:type="dxa"/>
            <w:tcBorders>
              <w:bottom w:val="single" w:sz="4" w:space="0" w:color="auto"/>
            </w:tcBorders>
          </w:tcPr>
          <w:p w14:paraId="3C228610" w14:textId="77777777" w:rsidR="00AF4E38" w:rsidRPr="00A32BBD" w:rsidRDefault="00AF4E38" w:rsidP="00A32BBD">
            <w:pPr>
              <w:rPr>
                <w:sz w:val="20"/>
                <w:szCs w:val="20"/>
              </w:rPr>
            </w:pPr>
            <w:r w:rsidRPr="00A32BBD">
              <w:rPr>
                <w:sz w:val="20"/>
                <w:szCs w:val="20"/>
              </w:rPr>
              <w:t>Amount Obtained (g)</w:t>
            </w:r>
          </w:p>
        </w:tc>
        <w:tc>
          <w:tcPr>
            <w:tcW w:w="2250" w:type="dxa"/>
            <w:tcBorders>
              <w:bottom w:val="single" w:sz="4" w:space="0" w:color="auto"/>
            </w:tcBorders>
            <w:shd w:val="clear" w:color="auto" w:fill="000000" w:themeFill="text1"/>
          </w:tcPr>
          <w:p w14:paraId="137DE377" w14:textId="77777777" w:rsidR="00AF4E38" w:rsidRPr="00A32BBD" w:rsidRDefault="00AF4E38" w:rsidP="00A32BBD">
            <w:pPr>
              <w:jc w:val="center"/>
              <w:rPr>
                <w:sz w:val="20"/>
                <w:szCs w:val="20"/>
              </w:rPr>
            </w:pPr>
          </w:p>
        </w:tc>
        <w:tc>
          <w:tcPr>
            <w:tcW w:w="2250" w:type="dxa"/>
            <w:tcBorders>
              <w:bottom w:val="single" w:sz="4" w:space="0" w:color="auto"/>
            </w:tcBorders>
            <w:shd w:val="clear" w:color="auto" w:fill="000000" w:themeFill="text1"/>
          </w:tcPr>
          <w:p w14:paraId="5F8C19EE" w14:textId="77777777" w:rsidR="00AF4E38" w:rsidRPr="00A32BBD" w:rsidRDefault="00AF4E38" w:rsidP="00A32BBD">
            <w:pPr>
              <w:jc w:val="center"/>
              <w:rPr>
                <w:sz w:val="20"/>
                <w:szCs w:val="20"/>
              </w:rPr>
            </w:pPr>
          </w:p>
        </w:tc>
        <w:tc>
          <w:tcPr>
            <w:tcW w:w="2245" w:type="dxa"/>
            <w:tcBorders>
              <w:bottom w:val="single" w:sz="4" w:space="0" w:color="auto"/>
            </w:tcBorders>
          </w:tcPr>
          <w:p w14:paraId="1CCBA72A" w14:textId="77777777" w:rsidR="00AF4E38" w:rsidRPr="00A32BBD" w:rsidRDefault="00AF4E38" w:rsidP="00A32BBD">
            <w:pPr>
              <w:jc w:val="center"/>
              <w:rPr>
                <w:sz w:val="20"/>
                <w:szCs w:val="20"/>
              </w:rPr>
            </w:pPr>
            <w:r w:rsidRPr="00A32BBD">
              <w:rPr>
                <w:sz w:val="20"/>
                <w:szCs w:val="20"/>
              </w:rPr>
              <w:t>0.307</w:t>
            </w:r>
          </w:p>
        </w:tc>
      </w:tr>
      <w:tr w:rsidR="00AF4E38" w14:paraId="5B436D57" w14:textId="77777777" w:rsidTr="00AF4E38">
        <w:tc>
          <w:tcPr>
            <w:tcW w:w="2605" w:type="dxa"/>
            <w:tcBorders>
              <w:bottom w:val="single" w:sz="4" w:space="0" w:color="auto"/>
            </w:tcBorders>
          </w:tcPr>
          <w:p w14:paraId="5433491A" w14:textId="77777777" w:rsidR="00AF4E38" w:rsidRPr="00A32BBD" w:rsidRDefault="00AF4E38" w:rsidP="00A32BBD">
            <w:pPr>
              <w:rPr>
                <w:sz w:val="20"/>
                <w:szCs w:val="20"/>
              </w:rPr>
            </w:pPr>
            <w:r w:rsidRPr="00A32BBD">
              <w:rPr>
                <w:sz w:val="20"/>
                <w:szCs w:val="20"/>
              </w:rPr>
              <w:t>Amount Obtained (mol)</w:t>
            </w:r>
          </w:p>
        </w:tc>
        <w:tc>
          <w:tcPr>
            <w:tcW w:w="2250" w:type="dxa"/>
            <w:tcBorders>
              <w:bottom w:val="single" w:sz="4" w:space="0" w:color="auto"/>
            </w:tcBorders>
            <w:shd w:val="clear" w:color="auto" w:fill="000000" w:themeFill="text1"/>
          </w:tcPr>
          <w:p w14:paraId="4E88579E" w14:textId="77777777" w:rsidR="00AF4E38" w:rsidRPr="00A32BBD" w:rsidRDefault="00AF4E38" w:rsidP="00A32BBD">
            <w:pPr>
              <w:jc w:val="center"/>
              <w:rPr>
                <w:sz w:val="20"/>
                <w:szCs w:val="20"/>
              </w:rPr>
            </w:pPr>
          </w:p>
        </w:tc>
        <w:tc>
          <w:tcPr>
            <w:tcW w:w="2250" w:type="dxa"/>
            <w:tcBorders>
              <w:bottom w:val="single" w:sz="4" w:space="0" w:color="auto"/>
            </w:tcBorders>
            <w:shd w:val="clear" w:color="auto" w:fill="000000" w:themeFill="text1"/>
          </w:tcPr>
          <w:p w14:paraId="5F9614D3" w14:textId="77777777" w:rsidR="00AF4E38" w:rsidRPr="00A32BBD" w:rsidRDefault="00AF4E38" w:rsidP="00A32BBD">
            <w:pPr>
              <w:jc w:val="center"/>
              <w:rPr>
                <w:sz w:val="20"/>
                <w:szCs w:val="20"/>
              </w:rPr>
            </w:pPr>
          </w:p>
        </w:tc>
        <w:tc>
          <w:tcPr>
            <w:tcW w:w="2245" w:type="dxa"/>
            <w:tcBorders>
              <w:bottom w:val="single" w:sz="4" w:space="0" w:color="auto"/>
            </w:tcBorders>
          </w:tcPr>
          <w:p w14:paraId="1BA9C6FC" w14:textId="77777777" w:rsidR="00AF4E38" w:rsidRPr="00A32BBD" w:rsidRDefault="00AF4E38" w:rsidP="00A32BBD">
            <w:pPr>
              <w:jc w:val="center"/>
              <w:rPr>
                <w:sz w:val="20"/>
                <w:szCs w:val="20"/>
              </w:rPr>
            </w:pPr>
            <w:r w:rsidRPr="00A32BBD">
              <w:rPr>
                <w:sz w:val="20"/>
                <w:szCs w:val="20"/>
              </w:rPr>
              <w:t>3.01e-3</w:t>
            </w:r>
          </w:p>
        </w:tc>
      </w:tr>
      <w:tr w:rsidR="00AF4E38" w14:paraId="3F73AB3A" w14:textId="77777777" w:rsidTr="00AF4E38">
        <w:tc>
          <w:tcPr>
            <w:tcW w:w="9350" w:type="dxa"/>
            <w:gridSpan w:val="4"/>
            <w:tcBorders>
              <w:top w:val="single" w:sz="4" w:space="0" w:color="auto"/>
              <w:left w:val="nil"/>
              <w:bottom w:val="nil"/>
              <w:right w:val="nil"/>
            </w:tcBorders>
            <w:shd w:val="clear" w:color="auto" w:fill="FFFFFF" w:themeFill="background1"/>
          </w:tcPr>
          <w:p w14:paraId="44C67A7F" w14:textId="77777777" w:rsidR="00AF4E38" w:rsidRDefault="00AF4E38" w:rsidP="00A32BBD">
            <w:pPr>
              <w:rPr>
                <w:i/>
                <w:iCs/>
                <w:sz w:val="20"/>
                <w:szCs w:val="20"/>
              </w:rPr>
            </w:pPr>
            <w:r w:rsidRPr="009E1752">
              <w:rPr>
                <w:sz w:val="20"/>
                <w:szCs w:val="20"/>
              </w:rPr>
              <w:t>*</w:t>
            </w:r>
            <w:proofErr w:type="gramStart"/>
            <w:r w:rsidRPr="009E1752">
              <w:rPr>
                <w:i/>
                <w:iCs/>
                <w:sz w:val="20"/>
                <w:szCs w:val="20"/>
              </w:rPr>
              <w:t>values</w:t>
            </w:r>
            <w:proofErr w:type="gramEnd"/>
            <w:r w:rsidRPr="009E1752">
              <w:rPr>
                <w:i/>
                <w:iCs/>
                <w:sz w:val="20"/>
                <w:szCs w:val="20"/>
              </w:rPr>
              <w:t xml:space="preserve"> obtained from procedure (</w:t>
            </w:r>
            <w:proofErr w:type="spellStart"/>
            <w:r w:rsidRPr="009E1752">
              <w:rPr>
                <w:i/>
                <w:iCs/>
                <w:sz w:val="20"/>
                <w:szCs w:val="20"/>
              </w:rPr>
              <w:t>Zharov</w:t>
            </w:r>
            <w:proofErr w:type="spellEnd"/>
            <w:r w:rsidRPr="009E1752">
              <w:rPr>
                <w:i/>
                <w:iCs/>
                <w:sz w:val="20"/>
                <w:szCs w:val="20"/>
              </w:rPr>
              <w:t xml:space="preserve"> 4)</w:t>
            </w:r>
          </w:p>
          <w:p w14:paraId="0D563674" w14:textId="77777777" w:rsidR="00AF4E38" w:rsidRPr="009E1752" w:rsidRDefault="00AF4E38" w:rsidP="00A32BBD">
            <w:pPr>
              <w:rPr>
                <w:i/>
                <w:iCs/>
                <w:sz w:val="20"/>
                <w:szCs w:val="20"/>
              </w:rPr>
            </w:pPr>
            <w:r w:rsidRPr="009E1752">
              <w:rPr>
                <w:rFonts w:cs="Times New Roman"/>
                <w:i/>
                <w:iCs/>
                <w:sz w:val="20"/>
                <w:szCs w:val="20"/>
              </w:rPr>
              <w:t>ª</w:t>
            </w:r>
            <w:r w:rsidRPr="009E1752">
              <w:rPr>
                <w:i/>
                <w:iCs/>
                <w:sz w:val="20"/>
                <w:szCs w:val="20"/>
              </w:rPr>
              <w:t xml:space="preserve">values obtained from sigmaaldrich.com </w:t>
            </w:r>
            <w:r w:rsidRPr="009E1752">
              <w:rPr>
                <w:sz w:val="20"/>
                <w:szCs w:val="20"/>
              </w:rPr>
              <w:t>(</w:t>
            </w:r>
            <w:r w:rsidRPr="009E1752">
              <w:rPr>
                <w:i/>
                <w:iCs/>
                <w:sz w:val="20"/>
                <w:szCs w:val="20"/>
              </w:rPr>
              <w:t>Borane tetrahydrofuran complex 1.0m tetrahydrofuran 14044-65-6</w:t>
            </w:r>
            <w:r w:rsidRPr="009E1752">
              <w:rPr>
                <w:sz w:val="20"/>
                <w:szCs w:val="20"/>
              </w:rPr>
              <w:t>)</w:t>
            </w:r>
          </w:p>
        </w:tc>
      </w:tr>
    </w:tbl>
    <w:p w14:paraId="0D239040" w14:textId="77777777" w:rsidR="00A32BBD" w:rsidRDefault="00912ACC" w:rsidP="00A32BBD">
      <w:pPr>
        <w:spacing w:after="0"/>
      </w:pPr>
      <w:r>
        <w:tab/>
      </w:r>
    </w:p>
    <w:p w14:paraId="12F4D82D" w14:textId="20A24AFD" w:rsidR="00912ACC" w:rsidRDefault="00912ACC" w:rsidP="00A32BBD">
      <w:pPr>
        <w:spacing w:after="0"/>
        <w:ind w:firstLine="720"/>
      </w:pPr>
      <w:r>
        <w:lastRenderedPageBreak/>
        <w:t xml:space="preserve">The %yield for the impure product was about 63%. However, as discussed previously, the product consisted mostly of unreacted reactants and only about 6% of the desired product. This implies that the %yield for the pure product is much less than 63% and is calculated to be only 3.83%. It is possible that this incredibly small %yield is due to the inaccurate separation of layers during the extraction step of the experiment. </w:t>
      </w:r>
      <w:r w:rsidR="00550D12">
        <w:t>When 2mL of Et</w:t>
      </w:r>
      <w:r w:rsidR="00550D12">
        <w:rPr>
          <w:vertAlign w:val="subscript"/>
        </w:rPr>
        <w:t>2</w:t>
      </w:r>
      <w:r w:rsidR="00550D12">
        <w:t>O was added to the solution in a separatory funnel, two distinct layers were not readily observed. It is possible that much of the desired product was drained out of the separatory funnel along with the aqueous phase and discarded.</w:t>
      </w:r>
      <w:r w:rsidR="0024008E">
        <w:t xml:space="preserve"> Since the two layers were not distinguishable, it is also possible that some of the aqueous phase was not drained entirely from the separatory funnel but remained in the product. </w:t>
      </w:r>
      <w:r w:rsidR="000D64CB">
        <w:t>The first scenario would</w:t>
      </w:r>
      <w:r w:rsidR="0024008E">
        <w:t xml:space="preserve"> explain the %yield of the </w:t>
      </w:r>
      <w:r w:rsidR="000D64CB">
        <w:t>impure product but it does not explain how impure the product was. Therefore, the second scenario is the more likely because 63% is not abnormal for a %yield but it would explain the abnormal concentration of impurities in the product</w:t>
      </w:r>
      <w:r w:rsidR="0024008E">
        <w:t>.</w:t>
      </w:r>
    </w:p>
    <w:p w14:paraId="593BE5BD" w14:textId="0D2D5C5A" w:rsidR="0008013A" w:rsidRDefault="0024008E" w:rsidP="00A32BBD">
      <w:pPr>
        <w:spacing w:after="0"/>
      </w:pPr>
      <w:r>
        <w:tab/>
        <w:t>One way to improve the %yield would be to use less BH</w:t>
      </w:r>
      <w:r>
        <w:rPr>
          <w:vertAlign w:val="subscript"/>
        </w:rPr>
        <w:t>3</w:t>
      </w:r>
      <w:r>
        <w:t>-THF. Theoretically, only about 0.457mL would be needed for 100% of the</w:t>
      </w:r>
      <w:r w:rsidR="000D64CB">
        <w:t xml:space="preserve"> 0.60mL of</w:t>
      </w:r>
      <w:r>
        <w:t xml:space="preserve"> 1-Hexene to react.</w:t>
      </w:r>
      <w:r w:rsidR="000D64CB">
        <w:t xml:space="preserve"> This adjustment would decrease the amount of THF </w:t>
      </w:r>
      <w:r w:rsidR="00E52B35">
        <w:t xml:space="preserve">used </w:t>
      </w:r>
      <w:r w:rsidR="000D64CB">
        <w:t xml:space="preserve">in the reaction so it would be less prominent in the final product. </w:t>
      </w:r>
      <w:r w:rsidR="0008013A">
        <w:t>If</w:t>
      </w:r>
      <w:r w:rsidR="000D64CB">
        <w:t xml:space="preserve"> it is preferred that BH</w:t>
      </w:r>
      <w:r w:rsidR="000D64CB">
        <w:rPr>
          <w:vertAlign w:val="subscript"/>
        </w:rPr>
        <w:t>3</w:t>
      </w:r>
      <w:r w:rsidR="000D64CB">
        <w:t xml:space="preserve">-THF </w:t>
      </w:r>
      <w:r w:rsidR="0008013A">
        <w:t>is the limiting reactant, then an acceptable amount to add could be 1-2mL instead of 3</w:t>
      </w:r>
      <w:r w:rsidR="00E52B35">
        <w:t>mL</w:t>
      </w:r>
      <w:r w:rsidR="0008013A">
        <w:t>. Using just 1mL would supply about 1.04e-2 moles to the reaction which is more than twice the amount that is theoretically needed so there should still be plenty of BH</w:t>
      </w:r>
      <w:r w:rsidR="0008013A">
        <w:rPr>
          <w:vertAlign w:val="subscript"/>
        </w:rPr>
        <w:t>3</w:t>
      </w:r>
      <w:r w:rsidR="0008013A">
        <w:t>. Another improvement to the experiment would be to give the aqueous and organic layers more time to separate in the separatory funnel before trying to drain the aqueous layer.</w:t>
      </w:r>
    </w:p>
    <w:p w14:paraId="1D16EEDE" w14:textId="194DB484" w:rsidR="002E1F58" w:rsidRDefault="002E1F58" w:rsidP="00A32BBD">
      <w:pPr>
        <w:spacing w:after="0"/>
      </w:pPr>
      <w:r>
        <w:tab/>
        <w:t>As suggested by the GC and IR data and the theory governing this reaction, the major or anti-Markovnikov product was the less substituted alcohol while the minor or Markovnikov product was the more substituted alcohol. The product was not very pure and only a small amount of the expected product was obtained but the reaction itself proceeded as expected and 1-Hexanol was produced.</w:t>
      </w:r>
    </w:p>
    <w:p w14:paraId="5512E5A6" w14:textId="29B9A046" w:rsidR="00E82578" w:rsidRDefault="00E82578" w:rsidP="00A32BBD">
      <w:pPr>
        <w:spacing w:after="0"/>
      </w:pPr>
    </w:p>
    <w:p w14:paraId="175E3EF1" w14:textId="3F342446" w:rsidR="00E82578" w:rsidRDefault="0008013A" w:rsidP="00A32BBD">
      <w:pPr>
        <w:spacing w:after="0"/>
      </w:pPr>
      <w:r>
        <w:tab/>
        <w:t xml:space="preserve"> </w:t>
      </w:r>
    </w:p>
    <w:p w14:paraId="4599093C" w14:textId="51906686" w:rsidR="0070681D" w:rsidRDefault="0070681D" w:rsidP="00E52B35">
      <w:pPr>
        <w:tabs>
          <w:tab w:val="left" w:pos="8665"/>
        </w:tabs>
        <w:spacing w:after="0"/>
        <w:jc w:val="center"/>
      </w:pPr>
      <w:r w:rsidRPr="00E82578">
        <w:br w:type="page"/>
      </w:r>
      <w:r>
        <w:lastRenderedPageBreak/>
        <w:t>References</w:t>
      </w:r>
    </w:p>
    <w:p w14:paraId="3259B9CF" w14:textId="77777777" w:rsidR="00E52B35" w:rsidRDefault="00E52B35" w:rsidP="00E52B35">
      <w:pPr>
        <w:pStyle w:val="NormalWeb"/>
        <w:spacing w:after="0" w:afterAutospacing="0"/>
        <w:ind w:left="567" w:hanging="567"/>
      </w:pPr>
      <w:r>
        <w:t xml:space="preserve">“Borane Tetrahydrofuran Complex 1.0m Tetrahydrofuran 14044-65-6.” </w:t>
      </w:r>
      <w:r>
        <w:rPr>
          <w:i/>
          <w:iCs/>
        </w:rPr>
        <w:t>1.0 M In THF | 14044-65-6</w:t>
      </w:r>
      <w:r>
        <w:t>, https://www.sigmaaldrich.com/US/en/product/aldrich/176192.</w:t>
      </w:r>
    </w:p>
    <w:p w14:paraId="6DBE27BE" w14:textId="2E98AE0B" w:rsidR="0070681D" w:rsidRDefault="0070681D" w:rsidP="00E52B35">
      <w:pPr>
        <w:pStyle w:val="NormalWeb"/>
        <w:spacing w:after="0" w:afterAutospacing="0"/>
        <w:ind w:left="567" w:hanging="567"/>
      </w:pPr>
      <w:r>
        <w:t xml:space="preserve">Smith, Janice </w:t>
      </w:r>
      <w:proofErr w:type="spellStart"/>
      <w:r>
        <w:t>Gorzynski</w:t>
      </w:r>
      <w:proofErr w:type="spellEnd"/>
      <w:r>
        <w:t xml:space="preserve">. </w:t>
      </w:r>
      <w:r>
        <w:rPr>
          <w:i/>
          <w:iCs/>
        </w:rPr>
        <w:t>Organic Chemistry</w:t>
      </w:r>
      <w:r>
        <w:t xml:space="preserve">. Third ed., McGraw-Hill, 2011. </w:t>
      </w:r>
    </w:p>
    <w:p w14:paraId="4B1DED9C" w14:textId="2BD14DBB" w:rsidR="00E656F2" w:rsidRDefault="00E656F2" w:rsidP="00A32BBD">
      <w:pPr>
        <w:pStyle w:val="NormalWeb"/>
        <w:spacing w:after="0" w:afterAutospacing="0"/>
        <w:ind w:left="567" w:hanging="567"/>
      </w:pPr>
      <w:proofErr w:type="spellStart"/>
      <w:r>
        <w:t>Zharov</w:t>
      </w:r>
      <w:proofErr w:type="spellEnd"/>
      <w:r>
        <w:t xml:space="preserve">, Ilya, </w:t>
      </w:r>
      <w:r>
        <w:rPr>
          <w:i/>
          <w:iCs/>
        </w:rPr>
        <w:t>Hydroboration/Oxidation of 1-Hexene</w:t>
      </w:r>
      <w:r>
        <w:t xml:space="preserve">. </w:t>
      </w:r>
      <w:r w:rsidR="00E24637">
        <w:t xml:space="preserve">October </w:t>
      </w:r>
      <w:r>
        <w:t>2021.</w:t>
      </w:r>
    </w:p>
    <w:p w14:paraId="08B27379" w14:textId="77777777" w:rsidR="006E42E4" w:rsidRPr="00E656F2" w:rsidRDefault="006E42E4" w:rsidP="00A32BBD">
      <w:pPr>
        <w:pStyle w:val="NormalWeb"/>
        <w:spacing w:after="0" w:afterAutospacing="0"/>
        <w:ind w:left="567" w:hanging="567"/>
      </w:pPr>
    </w:p>
    <w:p w14:paraId="6197322C" w14:textId="77777777" w:rsidR="00922B60" w:rsidRPr="0070681D" w:rsidRDefault="00922B60" w:rsidP="00A32BBD">
      <w:pPr>
        <w:spacing w:after="0"/>
      </w:pPr>
    </w:p>
    <w:sectPr w:rsidR="00922B60" w:rsidRPr="007068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5D30" w14:textId="77777777" w:rsidR="002E684F" w:rsidRDefault="002E684F" w:rsidP="008844F7">
      <w:pPr>
        <w:spacing w:after="0" w:line="240" w:lineRule="auto"/>
      </w:pPr>
      <w:r>
        <w:separator/>
      </w:r>
    </w:p>
  </w:endnote>
  <w:endnote w:type="continuationSeparator" w:id="0">
    <w:p w14:paraId="4AB6DAE3" w14:textId="77777777" w:rsidR="002E684F" w:rsidRDefault="002E684F" w:rsidP="0088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91A6" w14:textId="77777777" w:rsidR="002E684F" w:rsidRDefault="002E684F" w:rsidP="008844F7">
      <w:pPr>
        <w:spacing w:after="0" w:line="240" w:lineRule="auto"/>
      </w:pPr>
      <w:r>
        <w:separator/>
      </w:r>
    </w:p>
  </w:footnote>
  <w:footnote w:type="continuationSeparator" w:id="0">
    <w:p w14:paraId="6851C851" w14:textId="77777777" w:rsidR="002E684F" w:rsidRDefault="002E684F" w:rsidP="00884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0C91" w14:textId="1D05BC10" w:rsidR="008844F7" w:rsidRDefault="008844F7">
    <w:pPr>
      <w:pStyle w:val="Header"/>
    </w:pPr>
    <w:r>
      <w:tab/>
    </w:r>
    <w:r>
      <w:tab/>
      <w:t>Josh Whitehead</w:t>
    </w:r>
    <w:r>
      <w:tab/>
    </w:r>
    <w:r>
      <w:tab/>
      <w:t>U1069343</w:t>
    </w:r>
    <w:r>
      <w:tab/>
    </w:r>
    <w:r>
      <w:tab/>
      <w:t xml:space="preserve">Chem 2315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CB"/>
    <w:rsid w:val="00025F7E"/>
    <w:rsid w:val="0008013A"/>
    <w:rsid w:val="000D60D2"/>
    <w:rsid w:val="000D64CB"/>
    <w:rsid w:val="0024008E"/>
    <w:rsid w:val="002E1F58"/>
    <w:rsid w:val="002E684F"/>
    <w:rsid w:val="00337BD9"/>
    <w:rsid w:val="00395525"/>
    <w:rsid w:val="00401D88"/>
    <w:rsid w:val="00521A49"/>
    <w:rsid w:val="00550D12"/>
    <w:rsid w:val="005556D7"/>
    <w:rsid w:val="00601306"/>
    <w:rsid w:val="006E42E4"/>
    <w:rsid w:val="0070681D"/>
    <w:rsid w:val="0073340F"/>
    <w:rsid w:val="00756ACB"/>
    <w:rsid w:val="00786C1F"/>
    <w:rsid w:val="007D595F"/>
    <w:rsid w:val="008844F7"/>
    <w:rsid w:val="00912ACC"/>
    <w:rsid w:val="00922B60"/>
    <w:rsid w:val="009E1752"/>
    <w:rsid w:val="00A32BBD"/>
    <w:rsid w:val="00A7209C"/>
    <w:rsid w:val="00AF4E38"/>
    <w:rsid w:val="00B51C9C"/>
    <w:rsid w:val="00C376FB"/>
    <w:rsid w:val="00CB0448"/>
    <w:rsid w:val="00D33098"/>
    <w:rsid w:val="00D33836"/>
    <w:rsid w:val="00D4362F"/>
    <w:rsid w:val="00D5674E"/>
    <w:rsid w:val="00E24637"/>
    <w:rsid w:val="00E27340"/>
    <w:rsid w:val="00E52B35"/>
    <w:rsid w:val="00E656F2"/>
    <w:rsid w:val="00E82578"/>
    <w:rsid w:val="00E97BF8"/>
    <w:rsid w:val="00EE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C802"/>
  <w15:chartTrackingRefBased/>
  <w15:docId w15:val="{78C7E7A4-BB6E-41FF-9C46-283222A2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F7"/>
  </w:style>
  <w:style w:type="paragraph" w:styleId="Footer">
    <w:name w:val="footer"/>
    <w:basedOn w:val="Normal"/>
    <w:link w:val="FooterChar"/>
    <w:uiPriority w:val="99"/>
    <w:unhideWhenUsed/>
    <w:rsid w:val="00884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F7"/>
  </w:style>
  <w:style w:type="paragraph" w:styleId="NormalWeb">
    <w:name w:val="Normal (Web)"/>
    <w:basedOn w:val="Normal"/>
    <w:uiPriority w:val="99"/>
    <w:semiHidden/>
    <w:unhideWhenUsed/>
    <w:rsid w:val="0070681D"/>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6E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42E4"/>
    <w:rPr>
      <w:color w:val="808080"/>
    </w:rPr>
  </w:style>
  <w:style w:type="character" w:styleId="Hyperlink">
    <w:name w:val="Hyperlink"/>
    <w:basedOn w:val="DefaultParagraphFont"/>
    <w:uiPriority w:val="99"/>
    <w:unhideWhenUsed/>
    <w:rsid w:val="00E52B35"/>
    <w:rPr>
      <w:color w:val="0563C1" w:themeColor="hyperlink"/>
      <w:u w:val="single"/>
    </w:rPr>
  </w:style>
  <w:style w:type="character" w:styleId="UnresolvedMention">
    <w:name w:val="Unresolved Mention"/>
    <w:basedOn w:val="DefaultParagraphFont"/>
    <w:uiPriority w:val="99"/>
    <w:semiHidden/>
    <w:unhideWhenUsed/>
    <w:rsid w:val="00E52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7200">
      <w:bodyDiv w:val="1"/>
      <w:marLeft w:val="0"/>
      <w:marRight w:val="0"/>
      <w:marTop w:val="0"/>
      <w:marBottom w:val="0"/>
      <w:divBdr>
        <w:top w:val="none" w:sz="0" w:space="0" w:color="auto"/>
        <w:left w:val="none" w:sz="0" w:space="0" w:color="auto"/>
        <w:bottom w:val="none" w:sz="0" w:space="0" w:color="auto"/>
        <w:right w:val="none" w:sz="0" w:space="0" w:color="auto"/>
      </w:divBdr>
    </w:div>
    <w:div w:id="16241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CEFD-ED95-4BC4-9FB4-9093BF9E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8</cp:revision>
  <dcterms:created xsi:type="dcterms:W3CDTF">2021-11-13T21:19:00Z</dcterms:created>
  <dcterms:modified xsi:type="dcterms:W3CDTF">2021-11-15T00:55:00Z</dcterms:modified>
</cp:coreProperties>
</file>