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New-Business</w:t>
      </w:r>
      <w:r>
        <w:t xml:space="preserve"> </w:t>
      </w:r>
      <w:r>
        <w:t xml:space="preserve">Segmentation</w:t>
      </w:r>
      <w:r>
        <w:t xml:space="preserve"> </w:t>
      </w:r>
      <w:r>
        <w:t xml:space="preserve">and</w:t>
      </w:r>
      <w:r>
        <w:t xml:space="preserve"> </w:t>
      </w:r>
      <w:r>
        <w:t xml:space="preserve">Sales</w:t>
      </w:r>
      <w:r>
        <w:t xml:space="preserve"> </w:t>
      </w:r>
      <w:r>
        <w:t xml:space="preserve">Staffing:</w:t>
      </w:r>
      <w:r>
        <w:t xml:space="preserve"> </w:t>
      </w:r>
      <w:r>
        <w:t xml:space="preserve">Executive</w:t>
      </w:r>
      <w:r>
        <w:t xml:space="preserve"> </w:t>
      </w:r>
      <w:r>
        <w:t xml:space="preserve">Summary</w:t>
      </w:r>
    </w:p>
    <w:p>
      <w:pPr>
        <w:pStyle w:val="Subtitle"/>
      </w:pPr>
      <w:r>
        <w:t xml:space="preserve">Rippling</w:t>
      </w:r>
      <w:r>
        <w:t xml:space="preserve"> </w:t>
      </w:r>
      <w:r>
        <w:t xml:space="preserve">Revenue</w:t>
      </w:r>
      <w:r>
        <w:t xml:space="preserve"> </w:t>
      </w:r>
      <w:r>
        <w:t xml:space="preserve">Strategy</w:t>
      </w:r>
      <w:r>
        <w:t xml:space="preserve"> </w:t>
      </w:r>
      <w:r>
        <w:t xml:space="preserve">&amp;</w:t>
      </w:r>
      <w:r>
        <w:t xml:space="preserve"> </w:t>
      </w:r>
      <w:r>
        <w:t xml:space="preserve">Operations</w:t>
      </w:r>
      <w:r>
        <w:t xml:space="preserve"> </w:t>
      </w: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(fictional</w:t>
      </w:r>
      <w:r>
        <w:t xml:space="preserve"> </w:t>
      </w:r>
      <w:r>
        <w:t xml:space="preserve">dataset,</w:t>
      </w:r>
      <w:r>
        <w:t xml:space="preserve"> </w:t>
      </w:r>
      <w:r>
        <w:t xml:space="preserve">Feb-2021</w:t>
      </w:r>
      <w:r>
        <w:t xml:space="preserve"> </w:t>
      </w:r>
      <w:r>
        <w:t xml:space="preserve">to</w:t>
      </w:r>
      <w:r>
        <w:t xml:space="preserve"> </w:t>
      </w:r>
      <w:r>
        <w:t xml:space="preserve">Jan-2022)</w:t>
      </w:r>
    </w:p>
    <w:p>
      <w:pPr>
        <w:pStyle w:val="FirstParagraph"/>
      </w:pPr>
      <w:r>
        <w:rPr>
          <w:bCs/>
          <w:b/>
        </w:rPr>
        <w:t xml:space="preserve">Bottom line.</w:t>
      </w:r>
      <w:r>
        <w:t xml:space="preserve"> </w:t>
      </w:r>
      <w:r>
        <w:t xml:space="preserve">New-logo ARR is growing mainly because more leads are coming in. Monthly new ARR rose</w:t>
      </w:r>
      <w:r>
        <w:t xml:space="preserve"> </w:t>
      </w:r>
      <w:r>
        <w:rPr>
          <w:bCs/>
          <w:b/>
        </w:rPr>
        <w:t xml:space="preserve">26%</w:t>
      </w:r>
      <w:r>
        <w:t xml:space="preserve"> </w:t>
      </w:r>
      <w:r>
        <w:t xml:space="preserve">from the Feb–Jul to the Aug–Oct 2021 average, a</w:t>
      </w:r>
      <w:r>
        <w:t xml:space="preserve"> </w:t>
      </w:r>
      <w:r>
        <w:rPr>
          <w:bCs/>
          <w:b/>
        </w:rPr>
        <w:t xml:space="preserve">$12.3M annualized run-rate</w:t>
      </w:r>
      <w:r>
        <w:t xml:space="preserve">. Over the same period a smaller share of leads reached a demo, and the lead mix moved toward larger, harder-to-win accounts. I recommend three things:</w:t>
      </w:r>
    </w:p>
    <w:p>
      <w:pPr>
        <w:numPr>
          <w:ilvl w:val="0"/>
          <w:numId w:val="1001"/>
        </w:numPr>
        <w:pStyle w:val="Compact"/>
      </w:pPr>
      <w:r>
        <w:t xml:space="preserve">fix first touch before buying more pipeline</w:t>
      </w:r>
    </w:p>
    <w:p>
      <w:pPr>
        <w:numPr>
          <w:ilvl w:val="0"/>
          <w:numId w:val="1001"/>
        </w:numPr>
        <w:pStyle w:val="Compact"/>
      </w:pPr>
      <w:r>
        <w:t xml:space="preserve">organize into</w:t>
      </w:r>
      <w:r>
        <w:t xml:space="preserve"> </w:t>
      </w:r>
      <w:r>
        <w:rPr>
          <w:bCs/>
          <w:b/>
        </w:rPr>
        <w:t xml:space="preserve">four segments run as three motions</w:t>
      </w:r>
    </w:p>
    <w:p>
      <w:pPr>
        <w:numPr>
          <w:ilvl w:val="0"/>
          <w:numId w:val="1001"/>
        </w:numPr>
        <w:pStyle w:val="Compact"/>
      </w:pPr>
      <w:r>
        <w:t xml:space="preserve">staff to</w:t>
      </w:r>
      <w:r>
        <w:t xml:space="preserve"> </w:t>
      </w:r>
      <w:r>
        <w:rPr>
          <w:bCs/>
          <w:b/>
        </w:rPr>
        <w:t xml:space="preserve">49 roles of required capacity (13 SDR, 27 AE, 9 SC)</w:t>
      </w:r>
      <w:r>
        <w:t xml:space="preserve">, hiring only the gap to current headcount</w:t>
      </w:r>
    </w:p>
    <w:bookmarkStart w:id="20" w:name="three-findings"/>
    <w:p>
      <w:pPr>
        <w:pStyle w:val="Heading3"/>
      </w:pPr>
      <w:r>
        <w:t xml:space="preserve">Three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Leads outran demos: a potential top-of-funnel bottleneck.</w:t>
      </w:r>
      <w:r>
        <w:t xml:space="preserve"> </w:t>
      </w:r>
      <w:r>
        <w:t xml:space="preserve">Leads grew 27%, but lead→demo fell from</w:t>
      </w:r>
      <w:r>
        <w:t xml:space="preserve"> </w:t>
      </w:r>
      <w:r>
        <w:rPr>
          <w:bCs/>
          <w:b/>
        </w:rPr>
        <w:t xml:space="preserve">31.2% to 28.2%</w:t>
      </w:r>
      <w:r>
        <w:t xml:space="preserve"> </w:t>
      </w:r>
      <w:r>
        <w:t xml:space="preserve">(a 10% relative drop), while demo→opp (−1%) and opp→win (−3%) held. The slip is largest in 1–50 (−3.5 pts) and 51–100 (−3.7 pts); Enterprise held. The cause is not proven: SDR capacity, speed-to-lead, lead quality and demo scheduling all fit.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51–100 has the strongest observed revenue yield.</w:t>
      </w:r>
      <w:r>
        <w:t xml:space="preserve"> </w:t>
      </w:r>
      <w:r>
        <w:rPr>
          <w:bCs/>
          <w:b/>
        </w:rPr>
        <w:t xml:space="preserve">$895 ARR per lead</w:t>
      </w:r>
      <w:r>
        <w:t xml:space="preserve"> </w:t>
      </w:r>
      <w:r>
        <w:t xml:space="preserve">vs $575 (101–500) and $548 (501+): it converts like 1–50 (9.6% vs 10.0% lead→win) at</w:t>
      </w:r>
      <w:r>
        <w:t xml:space="preserve"> </w:t>
      </w:r>
      <w:r>
        <w:rPr>
          <w:bCs/>
          <w:b/>
        </w:rPr>
        <w:t xml:space="preserve">2.5× the ARR per logo</w:t>
      </w:r>
      <w:r>
        <w:t xml:space="preserve">. This is yield, not ROI; there is no cost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Growth is moving upmarket, where conversion halves.</w:t>
      </w:r>
      <w:r>
        <w:t xml:space="preserve"> </w:t>
      </w:r>
      <w:r>
        <w:t xml:space="preserve">101+ employees produce</w:t>
      </w:r>
      <w:r>
        <w:t xml:space="preserve"> </w:t>
      </w:r>
      <w:r>
        <w:rPr>
          <w:bCs/>
          <w:b/>
        </w:rPr>
        <w:t xml:space="preserve">57% of ARR</w:t>
      </w:r>
      <w:r>
        <w:t xml:space="preserve">, growing 36% (101–500) and 58% (501+). Lead→win falls to 4.6% and 2.4% and demos per logo rise from 3.7 to 5.6–7.8: complex buying that needs SC support. The 1–10 bucket is shrinking and low value.</w:t>
      </w:r>
    </w:p>
    <w:bookmarkEnd w:id="20"/>
    <w:bookmarkStart w:id="21" w:name="segmentation"/>
    <w:p>
      <w:pPr>
        <w:pStyle w:val="Heading3"/>
      </w:pPr>
      <w:r>
        <w:t xml:space="preserve">Segmentation</w:t>
      </w:r>
    </w:p>
    <w:p>
      <w:pPr>
        <w:pStyle w:val="FirstParagraph"/>
      </w:pPr>
      <w:r>
        <w:t xml:space="preserve">Each boundary sits where the data changes: ARR per logo jumps at 50, conversion halves at 100 and halves again at 500.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 1–50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SDR + AE; self-scheduling for 1–10; SC by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Emerging MM 51–100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SDR + AE; routed first; shared SC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MM 101–500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SDR + AE; SC on about half of 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501+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SDR + AE + SC on every deal</w:t>
            </w:r>
          </w:p>
        </w:tc>
      </w:tr>
    </w:tbl>
    <w:p>
      <w:pPr>
        <w:pStyle w:val="BodyText"/>
      </w:pPr>
      <w:r>
        <w:t xml:space="preserve">Alternatives tested:</w:t>
      </w:r>
      <w:r>
        <w:t xml:space="preserve"> </w:t>
      </w:r>
      <w:r>
        <w:rPr>
          <w:bCs/>
          <w:b/>
        </w:rPr>
        <w:t xml:space="preserve">1–100 / 101–500 / 501+</w:t>
      </w:r>
      <w:r>
        <w:t xml:space="preserve"> </w:t>
      </w:r>
      <w:r>
        <w:t xml:space="preserve">mixes $3.0K and $9.3K deals in one AE queue;</w:t>
      </w:r>
      <w:r>
        <w:t xml:space="preserve"> </w:t>
      </w:r>
      <w:r>
        <w:rPr>
          <w:bCs/>
          <w:b/>
        </w:rPr>
        <w:t xml:space="preserve">1–50 / 51–500 / 501+</w:t>
      </w:r>
      <w:r>
        <w:t xml:space="preserve"> </w:t>
      </w:r>
      <w:r>
        <w:t xml:space="preserve">mixes 9.6% and 4.6% lead→win in one team.</w:t>
      </w:r>
    </w:p>
    <w:bookmarkEnd w:id="21"/>
    <w:bookmarkStart w:id="22" w:name="Xdf223a31cf8280c3c5f86e096aa496d22702442"/>
    <w:p>
      <w:pPr>
        <w:pStyle w:val="Heading3"/>
      </w:pPr>
      <w:r>
        <w:t xml:space="preserve">Staffing (required capacity at Aug–Oct 2021 demand)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(shared pool)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Run-rate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$12.31M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Sizing.</w:t>
      </w:r>
      <w:r>
        <w:t xml:space="preserve"> </w:t>
      </w:r>
      <w:r>
        <w:t xml:space="preserve">Each role is workload ÷ (illustrative capacity × 85% utilization), rounded up. The shared SC pool rounds up the combined need of segments under 500.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hiring plan.</w:t>
      </w:r>
      <w:r>
        <w:t xml:space="preserve"> </w:t>
      </w:r>
      <w:r>
        <w:t xml:space="preserve">Current headcount is unknown, so this is required capacity. Compare it to today’s team and hire the gap.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Upside sensitivity.</w:t>
      </w:r>
      <w:r>
        <w:t xml:space="preserve"> </w:t>
      </w:r>
      <w:r>
        <w:t xml:space="preserve">If lead→demo recovers to Feb–Jul levels, demos rise about 36 a month, adding</w:t>
      </w:r>
      <w:r>
        <w:t xml:space="preserve"> </w:t>
      </w:r>
      <w:r>
        <w:rPr>
          <w:bCs/>
          <w:b/>
        </w:rPr>
        <w:t xml:space="preserve">+$0.86M ARR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+1 Core MM AE</w:t>
      </w:r>
      <w:r>
        <w:t xml:space="preserve"> </w:t>
      </w:r>
      <w:r>
        <w:t xml:space="preserve">(50 roles). This is a scenario, not a forecast.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Optional illustrative cost:</w:t>
      </w:r>
      <w:r>
        <w:t xml:space="preserve"> </w:t>
      </w:r>
      <w:r>
        <w:t xml:space="preserve">about $10.6M a year fully loaded (appendix only; not ROI).</w:t>
      </w:r>
    </w:p>
    <w:bookmarkEnd w:id="22"/>
    <w:bookmarkStart w:id="23" w:name="recommendations-and-next-90-days"/>
    <w:p>
      <w:pPr>
        <w:pStyle w:val="Heading3"/>
      </w:pPr>
      <w:r>
        <w:t xml:space="preserve">Recommendations and next 90 days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Diagnose lead→demo before adding pipeline spend or SDRs.</w:t>
      </w:r>
      <w:r>
        <w:t xml:space="preserve"> </w:t>
      </w:r>
      <w:r>
        <w:t xml:space="preserve">30 days: instrument speed-to-lead and audit leads that never booked. 60 days: pilot an SLA and self-scheduling in 1–50 and 51–100.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Organize to four segments and three motions.</w:t>
      </w:r>
      <w:r>
        <w:t xml:space="preserve"> </w:t>
      </w:r>
      <w:r>
        <w:t xml:space="preserve">Route 51–100 leads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Staff to required capacity and hire only the gap.</w:t>
      </w:r>
      <w:r>
        <w:t xml:space="preserve"> </w:t>
      </w:r>
      <w:r>
        <w:t xml:space="preserve">At 90 days, add the upside AE only if lead→demo recovers.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Invest upmarket with discipline.</w:t>
      </w:r>
      <w:r>
        <w:t xml:space="preserve"> </w:t>
      </w:r>
      <w:r>
        <w:t xml:space="preserve">SC support for 101+, no Enterprise expansion until win rates improve, and no new headcount for 1–10.</w:t>
      </w:r>
    </w:p>
    <w:p>
      <w:pPr>
        <w:pStyle w:val="FirstParagraph"/>
      </w:pPr>
      <w:r>
        <w:rPr>
          <w:bCs/>
          <w:b/>
        </w:rPr>
        <w:t xml:space="preserve">Key limitations:</w:t>
      </w:r>
      <w:r>
        <w:t xml:space="preserve"> </w:t>
      </w:r>
      <w:r>
        <w:t xml:space="preserve">no headcount or cost data; same-month ratios, not cohorts; one year only, so the Nov–Dec dip is unconfirmed as seasonal; 101–500 is a single wide bucket. All figures reconcile to the Excel model.</w:t>
      </w:r>
    </w:p>
    <w:bookmarkEnd w:id="23"/>
    <w:sectPr>
      <w:pgMar w:bottom="576" w:left="864" w:right="864" w:top="57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/>
    </w:pPr>
    <w:rPr>
      <w:rFonts w:ascii="Calibri" w:hAnsi="Calibri"/>
      <w:sz w:val="19"/>
    </w:rPr>
  </w:style>
  <w:style w:styleId="BodyText" w:type="paragraph">
    <w:name w:val="Body Text"/>
    <w:basedOn w:val="Normal"/>
    <w:link w:val="BodyTextChar"/>
    <w:pPr>
      <w:spacing w:after="60" w:before="0"/>
    </w:pPr>
    <w:qFormat/>
    <w:rPr>
      <w:rFonts w:ascii="Calibri" w:hAnsi="Calibri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  <w:rPr>
      <w:rFonts w:ascii="Calibri" w:hAnsi="Calibri"/>
      <w:sz w:val="19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4B1D3F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0"/>
      <w:jc w:val="center"/>
    </w:pPr>
    <w:rPr>
      <w:rFonts w:ascii="Calibri" w:hAnsi="Calibri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New-Business Segmentation and Sales Staffing: Executive Summary</dc:title>
  <dc:creator/>
  <cp:keywords/>
  <dcterms:created xsi:type="dcterms:W3CDTF">2026-10-14T03:34:32Z</dcterms:created>
  <dcterms:modified xsi:type="dcterms:W3CDTF">2026-10-14T03:34:32Z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Rippling Revenue Strategy &amp; Operations case study (fictional dataset, Feb-2021 to Jan-2022)</vt:lpwstr>
  </property>
</Properties>
</file>