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Save The Date Business Plan</w:t>
      </w:r>
    </w:p>
    <w:p>
      <w:pPr>
        <w:pStyle w:val="Subtitle"/>
      </w:pPr>
      <w:r>
        <w:rPr>
          <w:sz w:val="20"/>
        </w:rPr>
        <w:t>Version 1.0 | 12 October 2026 | Planning horizon October 2026 to April 2027</w:t>
      </w:r>
    </w:p>
    <w:p>
      <w:r>
        <w:rPr>
          <w:b w:val="0"/>
        </w:rPr>
        <w:t>This document defines the proposed Save The Date business, its complete product direction, commercial assumptions, validation programme and a realistic three to six month endorsement preparation roadmap. It is written for the founder, prospective planner partners and business reviewers. It should be read with the Product Requirements Document and Technical Requirements Document of the same version.</w:t>
      </w:r>
    </w:p>
    <w:p>
      <w:r>
        <w:rPr>
          <w:b w:val="0"/>
        </w:rPr>
        <w:t>Save The Date will turn a website built for Adeola and Joshua into a service for other couples. Each wedding will have one continuing website for information, blog updates, RSVPs and memories, supported by a separate invitation design studio and event admission tools. The proposed distinguishing workflow connects an approved wedding concept to consistent website and invitation designs and a structured brief for a human planner. This is a hypothesis to test, rather than a proven innovation claim.</w:t>
      </w:r>
    </w:p>
    <w:p>
      <w:pPr>
        <w:pStyle w:val="Heading1"/>
      </w:pPr>
      <w:r>
        <w:t>1 Executive decision</w:t>
      </w:r>
    </w:p>
    <w:p>
      <w:r>
        <w:rPr>
          <w:b w:val="0"/>
        </w:rPr>
        <w:t>Proceed with a focused, UK-led pilot rather than attempting a complete wedding marketplace in the first release. The initial product should cover the journey from publishing wedding details and generating invitations to confirming guests, admitting them and collecting wedding memories. Include a bounded AI creative planning assistant because validating that workflow is important to both product differentiation and endorsement readiness.</w:t>
      </w:r>
    </w:p>
    <w:p>
      <w:r>
        <w:rPr>
          <w:b w:val="0"/>
        </w:rPr>
        <w:t>The business must be worth operating beyond an immigration application. The founder has stated that immigration is a major motivation and immediate commercialisation is secondary. The recommended response is to test willingness to pay and sustainable operating costs while building something useful. A permanently subsidised personal project would require a different funding model and would weaken the proposed venture case.</w:t>
      </w:r>
    </w:p>
    <w:p>
      <w:r>
        <w:rPr>
          <w:b w:val="0"/>
        </w:rPr>
        <w:t>Do not claim endorsement eligibility based on a feature list. The first application decision should be evidence-led, at month three if there is unusually strong validation, otherwise nearer month six. The submission window is approximately January to April 2027; endorsement preparation and visa processing are separate timelines.</w:t>
      </w:r>
    </w:p>
    <w:p>
      <w:pPr>
        <w:pStyle w:val="Heading1"/>
      </w:pPr>
      <w:r>
        <w:t>2 Evidence and assumptions</w:t>
      </w:r>
    </w:p>
    <w:p>
      <w:r>
        <w:rPr>
          <w:b w:val="0"/>
        </w:rPr>
        <w:t>The supplied source-code description dated 11 October 2026 establishes an existing single-wedding implementation with public announcements, media galleries, administrator pass management, scanning and image upload. This document does not independently audit the repository or live deployment. The description does not establish customer demand, revenue, production reliability or delivery success.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344"/>
      </w:tblGrid>
      <w:tr>
        <w:trPr>
          <w:cantSplit/>
          <w:tblHeader/>
        </w:trPr>
        <w:tc>
          <w:tcPr>
            <w:tcW w:type="dxa" w:w="2736"/>
            <w:vAlign w:val="center"/>
            <w:tcMar>
              <w:top w:w="90" w:type="dxa"/>
              <w:left w:w="90" w:type="dxa"/>
              <w:bottom w:w="90" w:type="dxa"/>
              <w:right w:w="90" w:type="dxa"/>
            </w:tcMar>
            <w:shd w:fill="E8EDF2"/>
          </w:tcPr>
          <w:p>
            <w:pPr>
              <w:spacing w:after="40" w:before="40" w:line="250" w:lineRule="auto"/>
            </w:pPr>
            <w:r>
              <w:rPr>
                <w:b/>
                <w:sz w:val="18"/>
              </w:rPr>
              <w:t>Classification</w:t>
            </w:r>
          </w:p>
        </w:tc>
        <w:tc>
          <w:tcPr>
            <w:tcW w:type="dxa" w:w="7344"/>
            <w:vAlign w:val="center"/>
            <w:tcMar>
              <w:top w:w="90" w:type="dxa"/>
              <w:left w:w="90" w:type="dxa"/>
              <w:bottom w:w="90" w:type="dxa"/>
              <w:right w:w="90" w:type="dxa"/>
            </w:tcMar>
            <w:shd w:fill="E8EDF2"/>
          </w:tcPr>
          <w:p>
            <w:pPr>
              <w:spacing w:after="40" w:before="40" w:line="250" w:lineRule="auto"/>
            </w:pPr>
            <w:r>
              <w:rPr>
                <w:b/>
                <w:sz w:val="18"/>
              </w:rPr>
              <w:t>Current position</w:t>
            </w:r>
          </w:p>
        </w:tc>
      </w:tr>
      <w:tr>
        <w:trPr>
          <w:cantSplit/>
        </w:trPr>
        <w:tc>
          <w:tcPr>
            <w:tcW w:type="dxa" w:w="2736"/>
            <w:vAlign w:val="center"/>
            <w:tcMar>
              <w:top w:w="90" w:type="dxa"/>
              <w:left w:w="90" w:type="dxa"/>
              <w:bottom w:w="90" w:type="dxa"/>
              <w:right w:w="90" w:type="dxa"/>
            </w:tcMar>
          </w:tcPr>
          <w:p>
            <w:pPr>
              <w:spacing w:after="40" w:before="40" w:line="250" w:lineRule="auto"/>
            </w:pPr>
            <w:r>
              <w:rPr>
                <w:b w:val="0"/>
                <w:sz w:val="18"/>
              </w:rPr>
              <w:t>Reported existing capability</w:t>
            </w:r>
          </w:p>
        </w:tc>
        <w:tc>
          <w:tcPr>
            <w:tcW w:type="dxa" w:w="7344"/>
            <w:vAlign w:val="center"/>
            <w:tcMar>
              <w:top w:w="90" w:type="dxa"/>
              <w:left w:w="90" w:type="dxa"/>
              <w:bottom w:w="90" w:type="dxa"/>
              <w:right w:w="90" w:type="dxa"/>
            </w:tcMar>
          </w:tcPr>
          <w:p>
            <w:pPr>
              <w:spacing w:after="40" w:before="40" w:line="250" w:lineRule="auto"/>
            </w:pPr>
            <w:r>
              <w:rPr>
                <w:b w:val="0"/>
                <w:sz w:val="18"/>
              </w:rPr>
              <w:t>Next.js wedding site, fixed announcement routes, photo and video collections, staff authentication, pass issue and redemption, email integration</w:t>
            </w:r>
          </w:p>
        </w:tc>
      </w:tr>
      <w:tr>
        <w:trPr>
          <w:cantSplit/>
        </w:trPr>
        <w:tc>
          <w:tcPr>
            <w:tcW w:type="dxa" w:w="2736"/>
            <w:vAlign w:val="center"/>
            <w:tcMar>
              <w:top w:w="90" w:type="dxa"/>
              <w:left w:w="90" w:type="dxa"/>
              <w:bottom w:w="90" w:type="dxa"/>
              <w:right w:w="90" w:type="dxa"/>
            </w:tcMar>
            <w:shd w:fill="F7F8FA"/>
          </w:tcPr>
          <w:p>
            <w:pPr>
              <w:spacing w:after="40" w:before="40" w:line="250" w:lineRule="auto"/>
            </w:pPr>
            <w:r>
              <w:rPr>
                <w:b w:val="0"/>
                <w:sz w:val="18"/>
              </w:rPr>
              <w:t>Agreed product requirement</w:t>
            </w:r>
          </w:p>
        </w:tc>
        <w:tc>
          <w:tcPr>
            <w:tcW w:type="dxa" w:w="7344"/>
            <w:vAlign w:val="center"/>
            <w:tcMar>
              <w:top w:w="90" w:type="dxa"/>
              <w:left w:w="90" w:type="dxa"/>
              <w:bottom w:w="90" w:type="dxa"/>
              <w:right w:w="90" w:type="dxa"/>
            </w:tcMar>
            <w:shd w:fill="F7F8FA"/>
          </w:tcPr>
          <w:p>
            <w:pPr>
              <w:spacing w:after="40" w:before="40" w:line="250" w:lineRule="auto"/>
            </w:pPr>
            <w:r>
              <w:rPr>
                <w:b w:val="0"/>
                <w:sz w:val="18"/>
              </w:rPr>
              <w:t>Reusable couple websites, editable blog with media, guest uploads, invitation templates with granular colour control, JPEG/PDF export, AI planning and mood boards</w:t>
            </w:r>
          </w:p>
        </w:tc>
      </w:tr>
      <w:tr>
        <w:trPr>
          <w:cantSplit/>
        </w:trPr>
        <w:tc>
          <w:tcPr>
            <w:tcW w:type="dxa" w:w="2736"/>
            <w:vAlign w:val="center"/>
            <w:tcMar>
              <w:top w:w="90" w:type="dxa"/>
              <w:left w:w="90" w:type="dxa"/>
              <w:bottom w:w="90" w:type="dxa"/>
              <w:right w:w="90" w:type="dxa"/>
            </w:tcMar>
          </w:tcPr>
          <w:p>
            <w:pPr>
              <w:spacing w:after="40" w:before="40" w:line="250" w:lineRule="auto"/>
            </w:pPr>
            <w:r>
              <w:rPr>
                <w:b w:val="0"/>
                <w:sz w:val="18"/>
              </w:rPr>
              <w:t>Proposed implementation decision</w:t>
            </w:r>
          </w:p>
        </w:tc>
        <w:tc>
          <w:tcPr>
            <w:tcW w:type="dxa" w:w="7344"/>
            <w:vAlign w:val="center"/>
            <w:tcMar>
              <w:top w:w="90" w:type="dxa"/>
              <w:left w:w="90" w:type="dxa"/>
              <w:bottom w:w="90" w:type="dxa"/>
              <w:right w:w="90" w:type="dxa"/>
            </w:tcMar>
          </w:tcPr>
          <w:p>
            <w:pPr>
              <w:spacing w:after="40" w:before="40" w:line="250" w:lineRule="auto"/>
            </w:pPr>
            <w:r>
              <w:rPr>
                <w:b w:val="0"/>
                <w:sz w:val="18"/>
              </w:rPr>
              <w:t>Incremental Next.js and NestJS monorepo with separate workers and provider adapters</w:t>
            </w:r>
          </w:p>
        </w:tc>
      </w:tr>
      <w:tr>
        <w:trPr>
          <w:cantSplit/>
        </w:trPr>
        <w:tc>
          <w:tcPr>
            <w:tcW w:type="dxa" w:w="2736"/>
            <w:vAlign w:val="center"/>
            <w:tcMar>
              <w:top w:w="90" w:type="dxa"/>
              <w:left w:w="90" w:type="dxa"/>
              <w:bottom w:w="90" w:type="dxa"/>
              <w:right w:w="90" w:type="dxa"/>
            </w:tcMar>
            <w:shd w:fill="F7F8FA"/>
          </w:tcPr>
          <w:p>
            <w:pPr>
              <w:spacing w:after="40" w:before="40" w:line="250" w:lineRule="auto"/>
            </w:pPr>
            <w:r>
              <w:rPr>
                <w:b w:val="0"/>
                <w:sz w:val="18"/>
              </w:rPr>
              <w:t>Unvalidated business hypothesis</w:t>
            </w:r>
          </w:p>
        </w:tc>
        <w:tc>
          <w:tcPr>
            <w:tcW w:type="dxa" w:w="7344"/>
            <w:vAlign w:val="center"/>
            <w:tcMar>
              <w:top w:w="90" w:type="dxa"/>
              <w:left w:w="90" w:type="dxa"/>
              <w:bottom w:w="90" w:type="dxa"/>
              <w:right w:w="90" w:type="dxa"/>
            </w:tcMar>
            <w:shd w:fill="F7F8FA"/>
          </w:tcPr>
          <w:p>
            <w:pPr>
              <w:spacing w:after="40" w:before="40" w:line="250" w:lineRule="auto"/>
            </w:pPr>
            <w:r>
              <w:rPr>
                <w:b w:val="0"/>
                <w:sz w:val="18"/>
              </w:rPr>
              <w:t>Couples and planners will pay for the connected creative planning and wedding operations workflow</w:t>
            </w:r>
          </w:p>
        </w:tc>
      </w:tr>
      <w:tr>
        <w:trPr>
          <w:cantSplit/>
        </w:trPr>
        <w:tc>
          <w:tcPr>
            <w:tcW w:type="dxa" w:w="2736"/>
            <w:vAlign w:val="center"/>
            <w:tcMar>
              <w:top w:w="90" w:type="dxa"/>
              <w:left w:w="90" w:type="dxa"/>
              <w:bottom w:w="90" w:type="dxa"/>
              <w:right w:w="90" w:type="dxa"/>
            </w:tcMar>
          </w:tcPr>
          <w:p>
            <w:pPr>
              <w:spacing w:after="40" w:before="40" w:line="250" w:lineRule="auto"/>
            </w:pPr>
            <w:r>
              <w:rPr>
                <w:b w:val="0"/>
                <w:sz w:val="18"/>
              </w:rPr>
              <w:t>Unknown</w:t>
            </w:r>
          </w:p>
        </w:tc>
        <w:tc>
          <w:tcPr>
            <w:tcW w:type="dxa" w:w="7344"/>
            <w:vAlign w:val="center"/>
            <w:tcMar>
              <w:top w:w="90" w:type="dxa"/>
              <w:left w:w="90" w:type="dxa"/>
              <w:bottom w:w="90" w:type="dxa"/>
              <w:right w:w="90" w:type="dxa"/>
            </w:tcMar>
          </w:tcPr>
          <w:p>
            <w:pPr>
              <w:spacing w:after="40" w:before="40" w:line="250" w:lineRule="auto"/>
            </w:pPr>
            <w:r>
              <w:rPr>
                <w:b w:val="0"/>
                <w:sz w:val="18"/>
              </w:rPr>
              <w:t>Founder weekly capacity, incorporation, available capital, selected vendors, pilot commitments and exact competitive gaps</w:t>
            </w:r>
          </w:p>
        </w:tc>
      </w:tr>
    </w:tbl>
    <w:p>
      <w:pPr>
        <w:spacing w:after="40"/>
      </w:pPr>
    </w:p>
    <w:p>
      <w:r>
        <w:rPr>
          <w:b w:val="0"/>
        </w:rPr>
        <w:t>Financial numbers, pricing, recruitment targets and performance goals below are planning assumptions. They are not actual results, quotes, immigration thresholds or commitments. Replace them with evidence as the pilot progresses.</w:t>
      </w:r>
    </w:p>
    <w:p>
      <w:pPr>
        <w:pStyle w:val="Heading1"/>
      </w:pPr>
      <w:r>
        <w:t>3 Customer problem and opportunity</w:t>
      </w:r>
    </w:p>
    <w:p>
      <w:r>
        <w:rPr>
          <w:b w:val="0"/>
        </w:rPr>
        <w:t>Couples often work across a website, messaging groups, a design tool, guest spreadsheets, cloud media folders and a planner's documents. The proposed problem is the repeated transfer of names, dates, venues, colour choices and guest decisions between those tools. In multi-ceremony weddings, different people may be invited to different events, making a single undifferentiated guest list inadequate.</w:t>
      </w:r>
    </w:p>
    <w:p>
      <w:r>
        <w:rPr>
          <w:b w:val="0"/>
        </w:rPr>
        <w:t>The founder's own wedding is a useful origin story and a working demonstration, but it is a sample of one. Interviews must establish which problems recur, which are costly enough to solve and which existing products already solve adequately. Start by documenting real workflows and recent mistakes, rather than asking whether people like the idea.</w:t>
      </w:r>
    </w:p>
    <w:p>
      <w:r>
        <w:rPr>
          <w:b w:val="0"/>
        </w:rPr>
        <w:t>The initial audience is UK-based couples organising multiple wedding events, including diaspora and multicultural weddings with international guests. This is a proposed first segment, not a claim that every cultural wedding has the same needs. The service should also work for single-ceremony weddings and should not prescribe traditions based on ethnicity, nationality or religion.</w:t>
      </w:r>
    </w:p>
    <w:p>
      <w:r>
        <w:rPr>
          <w:b w:val="0"/>
        </w:rPr>
        <w:t>Secondary users are independent planners, photographers and event security teams. Planners are potential recurring customers and distribution partners. Guests are participants rather than the primary paying audience.</w:t>
      </w:r>
    </w:p>
    <w:p>
      <w:pPr>
        <w:pStyle w:val="Heading1"/>
      </w:pPr>
      <w:r>
        <w:t>4 Product proposition</w:t>
      </w:r>
    </w:p>
    <w:p>
      <w:r>
        <w:rPr>
          <w:b w:val="0"/>
        </w:rPr>
        <w:t>The couple creates a wedding workspace, enters events and selects a theme. They publish a wedding website at a stable address such as example.test/w/adeola-and-joshua. They then use a separate invitation studio to produce cards that draw from those event details and link back to the website for information and RSVP. The website continues to host blog posts, guest contributions and professional media after the wedding.</w:t>
      </w:r>
    </w:p>
    <w:p>
      <w:r>
        <w:rPr>
          <w:b w:val="0"/>
        </w:rPr>
        <w:t>The card is dynamic while it is being configured: changes to the underlying event and design appear in the current preview. A downloaded JPEG or PDF is a dated snapshot and cannot update after it is sent. A QR code and written URL connect that snapshot to current information. A JPEG QR code does not become a clickable link simply because it is pictured; a PDF should contain a real hyperlink as well.</w:t>
      </w:r>
    </w:p>
    <w:p>
      <w:r>
        <w:rPr>
          <w:b w:val="0"/>
        </w:rPr>
        <w:t>The AI assistant helps the couple describe preferences and constraints, proposes colours and themes, creates a mood board and prepares a planner handoff. The couple approves each change. A professional planner still checks feasibility, sourcing, budget and cultural suitability. The AI does not claim to book vendors, verify venue availability or turn a generated image into a real supplier quote.</w:t>
      </w:r>
    </w:p>
    <w:p>
      <w:pPr>
        <w:pStyle w:val="Heading1"/>
      </w:pPr>
      <w:r>
        <w:t>5 Complete feature portfolio</w:t>
      </w:r>
    </w:p>
    <w:p>
      <w:pPr>
        <w:pStyle w:val="Heading2"/>
      </w:pPr>
      <w:r>
        <w:t>5.1 Wedding workspace and website</w:t>
      </w:r>
    </w:p>
    <w:p>
      <w:r>
        <w:rPr>
          <w:b w:val="0"/>
        </w:rPr>
        <w:t>Every wedding has its own settings, members, events, content, palette, guest list and media. Both partners can manage the workspace. Website templates provide responsive layouts for the couple's story, date, schedules, venues, directions, dress codes, travel guidance, FAQ, gifting instructions, RSVP and media. Sections can be enabled and reordered within supported layouts.</w:t>
      </w:r>
    </w:p>
    <w:p>
      <w:r>
        <w:rPr>
          <w:b w:val="0"/>
        </w:rPr>
        <w:t>The stable website address serves the entire lifecycle. Before the wedding it emphasises information and RSVP. During the wedding it emphasises current directions and memory collection. Afterwards it emphasises thanks, photographs and films. Couples control the transition and can keep information visible; the system must not remove content merely because a date has passed. Persistence is subject to an explicit retention and service policy, rather than a promise of free perpetual storage.</w:t>
      </w:r>
    </w:p>
    <w:p>
      <w:pPr>
        <w:pStyle w:val="Heading2"/>
      </w:pPr>
      <w:r>
        <w:t>5.2 Blog and updates</w:t>
      </w:r>
    </w:p>
    <w:p>
      <w:r>
        <w:rPr>
          <w:b w:val="0"/>
        </w:rPr>
        <w:t>Couples create their own posts with formatted text, images, videos, captions and cover media. Draft and published states replace hardcoded announcements. Posts can announce venue decisions, colours, engagement films, schedule changes and thank-you messages. Published posts live under the same website. A story-style view may later summarise blog entries, but the accessible article list remains the primary MVP experience.</w:t>
      </w:r>
    </w:p>
    <w:p>
      <w:pPr>
        <w:pStyle w:val="Heading2"/>
      </w:pPr>
      <w:r>
        <w:t>5.3 Invitation studio</w:t>
      </w:r>
    </w:p>
    <w:p>
      <w:r>
        <w:rPr>
          <w:b w:val="0"/>
        </w:rPr>
        <w:t>Launch with four polished invitation families and two website themes. Suggested design families are Royal Elegance, Modern Minimal, Floral Romance and Heritage Geometry. The last should use properly licensed, carefully selected design references, without claiming to represent all African traditions. Expand to eight to twelve invitations only after the renderer and usability are reliable.</w:t>
      </w:r>
    </w:p>
    <w:p>
      <w:r>
        <w:rPr>
          <w:b w:val="0"/>
        </w:rPr>
        <w:t>Cards support background, primary, secondary, accent and per-text-group colours; curated fonts; bounded text sizing; supported alignment and layout variants; wording; photo crop and focal point; optional ornaments; and optional website QR code. A wedding palette supplies defaults while individual cards retain explicit overrides. Produce different cards for traditional, civil, religious and reception events. Generic cards are required; guest-personalised batch cards follow after the core pilot.</w:t>
      </w:r>
    </w:p>
    <w:p>
      <w:pPr>
        <w:pStyle w:val="Heading2"/>
      </w:pPr>
      <w:r>
        <w:t>5.4 Guests RSVPs and admission</w:t>
      </w:r>
    </w:p>
    <w:p>
      <w:r>
        <w:rPr>
          <w:b w:val="0"/>
        </w:rPr>
        <w:t>Couples manage guests, households, event eligibility and allowed plus ones. Guests respond for the events they can attend, using a private invitation link or code. Couples see attendance and necessary dietary or accessibility responses. Public website visitors may request an invitation but do not obtain an admission pass automatically.</w:t>
      </w:r>
    </w:p>
    <w:p>
      <w:r>
        <w:rPr>
          <w:b w:val="0"/>
        </w:rPr>
        <w:t>Optional entry-pass controls support event capacity, manual approval or automatic issue after an eligible RSVP, download or email delivery, revocation, reissue, camera scanning and manual code entry. Each confirmed attendee receives a separate event pass in the MVP. Concurrent scans must admit that person once. Security staff see only the event admission data required for their task.</w:t>
      </w:r>
    </w:p>
    <w:p>
      <w:pPr>
        <w:pStyle w:val="Heading2"/>
      </w:pPr>
      <w:r>
        <w:t>5.5 Media and memories</w:t>
      </w:r>
    </w:p>
    <w:p>
      <w:r>
        <w:rPr>
          <w:b w:val="0"/>
        </w:rPr>
        <w:t>Couples organise photographs and films into custom albums rather than six fixed collections. Guests upload through the same wedding website without installing an app. Upload permissions, quotas, moderation and visibility protect the couple's gallery. Guest uploads are private until approved. Images, video previews, captions, ordering and album cover selection support long-term browsing. A couple can download their data and originals before archive expiry.</w:t>
      </w:r>
    </w:p>
    <w:p>
      <w:pPr>
        <w:pStyle w:val="Heading2"/>
      </w:pPr>
      <w:r>
        <w:t>5.6 AI concepts and planner handoff</w:t>
      </w:r>
    </w:p>
    <w:p>
      <w:r>
        <w:rPr>
          <w:b w:val="0"/>
        </w:rPr>
        <w:t>The assistant gathers style references, preferred and excluded colours, ceremonies, approximate guest count, spending envelope, location and practical constraints. It proposes structured concepts with palette roles, hex values, font suggestions, decor guidance, open questions and assumptions. Mood boards combine owned or licensed references and optionally generated imagery, clearly distinguishing each source.</w:t>
      </w:r>
    </w:p>
    <w:p>
      <w:r>
        <w:rPr>
          <w:b w:val="0"/>
        </w:rPr>
        <w:t>An approved concept can update the wedding theme after a change preview. Invitations with explicit overrides retain those overrides. The planner receives a PDF and structured export containing the brief, chosen palette, event-specific differences, reference sources, constraints and unresolved decisions. The first release uses a bounded chat and concept workflow rather than an autonomous agent making changes without approval.</w:t>
      </w:r>
    </w:p>
    <w:p>
      <w:pPr>
        <w:pStyle w:val="Heading2"/>
      </w:pPr>
      <w:r>
        <w:t>5.7 Future planning and collaboration</w:t>
      </w:r>
    </w:p>
    <w:p>
      <w:r>
        <w:rPr>
          <w:b w:val="0"/>
        </w:rPr>
        <w:t>Later releases may add planning checklists, task owners, reminders, budget versus actual spending, supplier records, quote comparisons, payment milestones, seating charts, meal counts, wedding-day run sheets and planner collaboration across multiple weddings. Keep these as independent increments with validation gates. The MVP assistant may suggest draft checklist items, but it does not require a full task-management or budgeting product.</w:t>
      </w:r>
    </w:p>
    <w:p>
      <w:r>
        <w:rPr>
          <w:b w:val="0"/>
        </w:rPr>
        <w:t>Longer-term possibilities include verified vendor discovery and booking, registries and gifting payments, travel and accommodation integrations, multilingual publishing, custom domains, native mobile applications, privacy-preserving offline admission and a freeform card editor. These require separate economic, legal and operational assessment. A generic vendor page or outgoing registry link must not be presented as a working marketplace or payment system.</w:t>
      </w:r>
    </w:p>
    <w:p>
      <w:pPr>
        <w:pStyle w:val="Heading1"/>
      </w:pPr>
      <w:r>
        <w:t>6 Competitive context and differentiation</w:t>
      </w:r>
    </w:p>
    <w:p>
      <w:r>
        <w:rPr>
          <w:b w:val="0"/>
        </w:rPr>
        <w:t>Joy publicly offers wedding websites, invitations and multi-event RSVP with household and plus-one controls [B1]. Vowesta publicly advertises an AI planner, design studio, website, invitations and guest photo sharing [B2]. These are provider claims from their own pages, not results of a hands-on audit. They demonstrate that combining AI with wedding tools is already a competitive area.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032"/>
      </w:tblGrid>
      <w:tr>
        <w:trPr>
          <w:cantSplit/>
          <w:tblHeader/>
        </w:trPr>
        <w:tc>
          <w:tcPr>
            <w:tcW w:type="dxa" w:w="2376"/>
            <w:vAlign w:val="center"/>
            <w:tcMar>
              <w:top w:w="90" w:type="dxa"/>
              <w:left w:w="90" w:type="dxa"/>
              <w:bottom w:w="90" w:type="dxa"/>
              <w:right w:w="90" w:type="dxa"/>
            </w:tcMar>
            <w:shd w:fill="E8EDF2"/>
          </w:tcPr>
          <w:p>
            <w:pPr>
              <w:spacing w:after="40" w:before="40" w:line="250" w:lineRule="auto"/>
            </w:pPr>
            <w:r>
              <w:rPr>
                <w:b/>
                <w:sz w:val="18"/>
              </w:rPr>
              <w:t>Alternative</w:t>
            </w:r>
          </w:p>
        </w:tc>
        <w:tc>
          <w:tcPr>
            <w:tcW w:type="dxa" w:w="3672"/>
            <w:vAlign w:val="center"/>
            <w:tcMar>
              <w:top w:w="90" w:type="dxa"/>
              <w:left w:w="90" w:type="dxa"/>
              <w:bottom w:w="90" w:type="dxa"/>
              <w:right w:w="90" w:type="dxa"/>
            </w:tcMar>
            <w:shd w:fill="E8EDF2"/>
          </w:tcPr>
          <w:p>
            <w:pPr>
              <w:spacing w:after="40" w:before="40" w:line="250" w:lineRule="auto"/>
            </w:pPr>
            <w:r>
              <w:rPr>
                <w:b/>
                <w:sz w:val="18"/>
              </w:rPr>
              <w:t>What to investigate</w:t>
            </w:r>
          </w:p>
        </w:tc>
        <w:tc>
          <w:tcPr>
            <w:tcW w:type="dxa" w:w="4032"/>
            <w:vAlign w:val="center"/>
            <w:tcMar>
              <w:top w:w="90" w:type="dxa"/>
              <w:left w:w="90" w:type="dxa"/>
              <w:bottom w:w="90" w:type="dxa"/>
              <w:right w:w="90" w:type="dxa"/>
            </w:tcMar>
            <w:shd w:fill="E8EDF2"/>
          </w:tcPr>
          <w:p>
            <w:pPr>
              <w:spacing w:after="40" w:before="40" w:line="250" w:lineRule="auto"/>
            </w:pPr>
            <w:r>
              <w:rPr>
                <w:b/>
                <w:sz w:val="18"/>
              </w:rPr>
              <w:t>Proposed Save The Date test</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Established wedding platforms</w:t>
            </w:r>
          </w:p>
        </w:tc>
        <w:tc>
          <w:tcPr>
            <w:tcW w:type="dxa" w:w="3672"/>
            <w:vAlign w:val="center"/>
            <w:tcMar>
              <w:top w:w="90" w:type="dxa"/>
              <w:left w:w="90" w:type="dxa"/>
              <w:bottom w:w="90" w:type="dxa"/>
              <w:right w:w="90" w:type="dxa"/>
            </w:tcMar>
          </w:tcPr>
          <w:p>
            <w:pPr>
              <w:spacing w:after="40" w:before="40" w:line="250" w:lineRule="auto"/>
            </w:pPr>
            <w:r>
              <w:rPr>
                <w:b w:val="0"/>
                <w:sz w:val="18"/>
              </w:rPr>
              <w:t>Theme controls, multi-event access, gallery privacy and export limits</w:t>
            </w:r>
          </w:p>
        </w:tc>
        <w:tc>
          <w:tcPr>
            <w:tcW w:type="dxa" w:w="4032"/>
            <w:vAlign w:val="center"/>
            <w:tcMar>
              <w:top w:w="90" w:type="dxa"/>
              <w:left w:w="90" w:type="dxa"/>
              <w:bottom w:w="90" w:type="dxa"/>
              <w:right w:w="90" w:type="dxa"/>
            </w:tcMar>
          </w:tcPr>
          <w:p>
            <w:pPr>
              <w:spacing w:after="40" w:before="40" w:line="250" w:lineRule="auto"/>
            </w:pPr>
            <w:r>
              <w:rPr>
                <w:b w:val="0"/>
                <w:sz w:val="18"/>
              </w:rPr>
              <w:t>Can the connected workflow remove measurable manual transfer work</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AI wedding platforms</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Structured outputs, planner briefs, approval and revision controls</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Does the brief contain actionable constraints rather than generic inspiration</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Design tools</w:t>
            </w:r>
          </w:p>
        </w:tc>
        <w:tc>
          <w:tcPr>
            <w:tcW w:type="dxa" w:w="3672"/>
            <w:vAlign w:val="center"/>
            <w:tcMar>
              <w:top w:w="90" w:type="dxa"/>
              <w:left w:w="90" w:type="dxa"/>
              <w:bottom w:w="90" w:type="dxa"/>
              <w:right w:w="90" w:type="dxa"/>
            </w:tcMar>
          </w:tcPr>
          <w:p>
            <w:pPr>
              <w:spacing w:after="40" w:before="40" w:line="250" w:lineRule="auto"/>
            </w:pPr>
            <w:r>
              <w:rPr>
                <w:b w:val="0"/>
                <w:sz w:val="18"/>
              </w:rPr>
              <w:t>Card customisation, export quality, data refresh</w:t>
            </w:r>
          </w:p>
        </w:tc>
        <w:tc>
          <w:tcPr>
            <w:tcW w:type="dxa" w:w="4032"/>
            <w:vAlign w:val="center"/>
            <w:tcMar>
              <w:top w:w="90" w:type="dxa"/>
              <w:left w:w="90" w:type="dxa"/>
              <w:bottom w:w="90" w:type="dxa"/>
              <w:right w:w="90" w:type="dxa"/>
            </w:tcMar>
          </w:tcPr>
          <w:p>
            <w:pPr>
              <w:spacing w:after="40" w:before="40" w:line="250" w:lineRule="auto"/>
            </w:pPr>
            <w:r>
              <w:rPr>
                <w:b w:val="0"/>
                <w:sz w:val="18"/>
              </w:rPr>
              <w:t>Can users make a comparable card faster using saved wedding data</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Generic AI plus spreadsheets</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Creative flexibility and practical coordination</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Does persistent approved context reduce contradictions across ceremonies</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Planner-led manual workflow</w:t>
            </w:r>
          </w:p>
        </w:tc>
        <w:tc>
          <w:tcPr>
            <w:tcW w:type="dxa" w:w="3672"/>
            <w:vAlign w:val="center"/>
            <w:tcMar>
              <w:top w:w="90" w:type="dxa"/>
              <w:left w:w="90" w:type="dxa"/>
              <w:bottom w:w="90" w:type="dxa"/>
              <w:right w:w="90" w:type="dxa"/>
            </w:tcMar>
          </w:tcPr>
          <w:p>
            <w:pPr>
              <w:spacing w:after="40" w:before="40" w:line="250" w:lineRule="auto"/>
            </w:pPr>
            <w:r>
              <w:rPr>
                <w:b w:val="0"/>
                <w:sz w:val="18"/>
              </w:rPr>
              <w:t>Brief preparation, change tracking and guest coordination</w:t>
            </w:r>
          </w:p>
        </w:tc>
        <w:tc>
          <w:tcPr>
            <w:tcW w:type="dxa" w:w="4032"/>
            <w:vAlign w:val="center"/>
            <w:tcMar>
              <w:top w:w="90" w:type="dxa"/>
              <w:left w:w="90" w:type="dxa"/>
              <w:bottom w:w="90" w:type="dxa"/>
              <w:right w:w="90" w:type="dxa"/>
            </w:tcMar>
          </w:tcPr>
          <w:p>
            <w:pPr>
              <w:spacing w:after="40" w:before="40" w:line="250" w:lineRule="auto"/>
            </w:pPr>
            <w:r>
              <w:rPr>
                <w:b w:val="0"/>
                <w:sz w:val="18"/>
              </w:rPr>
              <w:t>Will planners reuse and pay for the workflow across clients</w:t>
            </w:r>
          </w:p>
        </w:tc>
      </w:tr>
    </w:tbl>
    <w:p>
      <w:pPr>
        <w:spacing w:after="40"/>
      </w:pPr>
    </w:p>
    <w:p>
      <w:r>
        <w:rPr>
          <w:b w:val="0"/>
        </w:rPr>
        <w:t>The strongest candidate for differentiation is an approved, revisioned wedding concept that connects ceremony-specific constraints, reusable visual themes, invitation exports and planner handoff. Multi-event RSVP alone is not new. Templates alone are not new. AI colour suggestions alone are not new. The venture needs evidence that its particular execution produces a competitive advantage that matters to customers.</w:t>
      </w:r>
    </w:p>
    <w:p>
      <w:r>
        <w:rPr>
          <w:b w:val="0"/>
        </w:rPr>
        <w:t>Potential defensibility includes an excellent template and constraint system, a tested planner-brief schema, distribution through planners and accumulated permissioned evidence about which concepts become feasible plans. Do not describe API access to an AI model as proprietary technology. Do not claim patents, unique datasets or exclusive partnerships that do not exist.</w:t>
      </w:r>
    </w:p>
    <w:p>
      <w:pPr>
        <w:pStyle w:val="Heading1"/>
      </w:pPr>
      <w:r>
        <w:t>7 Business model and pricing experiments</w:t>
      </w:r>
    </w:p>
    <w:p>
      <w:r>
        <w:rPr>
          <w:b w:val="0"/>
        </w:rPr>
        <w:t>Test a per-wedding purchase because weddings are episodic. Offer a free preview so couples can judge templates before paying. A paid plan can include the published site, invitation exports, guest management, bounded media storage and a defined archive term. Charge separately for additional storage or generation credits only after users understand the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032"/>
      </w:tblGrid>
      <w:tr>
        <w:trPr>
          <w:cantSplit/>
          <w:tblHeader/>
        </w:trPr>
        <w:tc>
          <w:tcPr>
            <w:tcW w:type="dxa" w:w="2376"/>
            <w:vAlign w:val="center"/>
            <w:tcMar>
              <w:top w:w="90" w:type="dxa"/>
              <w:left w:w="90" w:type="dxa"/>
              <w:bottom w:w="90" w:type="dxa"/>
              <w:right w:w="90" w:type="dxa"/>
            </w:tcMar>
            <w:shd w:fill="E8EDF2"/>
          </w:tcPr>
          <w:p>
            <w:pPr>
              <w:spacing w:after="40" w:before="40" w:line="250" w:lineRule="auto"/>
            </w:pPr>
            <w:r>
              <w:rPr>
                <w:b/>
                <w:sz w:val="18"/>
              </w:rPr>
              <w:t>Experiment</w:t>
            </w:r>
          </w:p>
        </w:tc>
        <w:tc>
          <w:tcPr>
            <w:tcW w:type="dxa" w:w="3672"/>
            <w:vAlign w:val="center"/>
            <w:tcMar>
              <w:top w:w="90" w:type="dxa"/>
              <w:left w:w="90" w:type="dxa"/>
              <w:bottom w:w="90" w:type="dxa"/>
              <w:right w:w="90" w:type="dxa"/>
            </w:tcMar>
            <w:shd w:fill="E8EDF2"/>
          </w:tcPr>
          <w:p>
            <w:pPr>
              <w:spacing w:after="40" w:before="40" w:line="250" w:lineRule="auto"/>
            </w:pPr>
            <w:r>
              <w:rPr>
                <w:b/>
                <w:sz w:val="18"/>
              </w:rPr>
              <w:t>Illustrative price</w:t>
            </w:r>
          </w:p>
        </w:tc>
        <w:tc>
          <w:tcPr>
            <w:tcW w:type="dxa" w:w="4032"/>
            <w:vAlign w:val="center"/>
            <w:tcMar>
              <w:top w:w="90" w:type="dxa"/>
              <w:left w:w="90" w:type="dxa"/>
              <w:bottom w:w="90" w:type="dxa"/>
              <w:right w:w="90" w:type="dxa"/>
            </w:tcMar>
            <w:shd w:fill="E8EDF2"/>
          </w:tcPr>
          <w:p>
            <w:pPr>
              <w:spacing w:after="40" w:before="40" w:line="250" w:lineRule="auto"/>
            </w:pPr>
            <w:r>
              <w:rPr>
                <w:b/>
                <w:sz w:val="18"/>
              </w:rPr>
              <w:t>What must be tested</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Couple package</w:t>
            </w:r>
          </w:p>
        </w:tc>
        <w:tc>
          <w:tcPr>
            <w:tcW w:type="dxa" w:w="3672"/>
            <w:vAlign w:val="center"/>
            <w:tcMar>
              <w:top w:w="90" w:type="dxa"/>
              <w:left w:w="90" w:type="dxa"/>
              <w:bottom w:w="90" w:type="dxa"/>
              <w:right w:w="90" w:type="dxa"/>
            </w:tcMar>
          </w:tcPr>
          <w:p>
            <w:pPr>
              <w:spacing w:after="40" w:before="40" w:line="250" w:lineRule="auto"/>
            </w:pPr>
            <w:r>
              <w:rPr>
                <w:b w:val="0"/>
                <w:sz w:val="18"/>
              </w:rPr>
              <w:t>£79 per wedding for a stated service term</w:t>
            </w:r>
          </w:p>
        </w:tc>
        <w:tc>
          <w:tcPr>
            <w:tcW w:type="dxa" w:w="4032"/>
            <w:vAlign w:val="center"/>
            <w:tcMar>
              <w:top w:w="90" w:type="dxa"/>
              <w:left w:w="90" w:type="dxa"/>
              <w:bottom w:w="90" w:type="dxa"/>
              <w:right w:w="90" w:type="dxa"/>
            </w:tcMar>
          </w:tcPr>
          <w:p>
            <w:pPr>
              <w:spacing w:after="40" w:before="40" w:line="250" w:lineRule="auto"/>
            </w:pPr>
            <w:r>
              <w:rPr>
                <w:b w:val="0"/>
                <w:sz w:val="18"/>
              </w:rPr>
              <w:t>Conversion versus free alternatives and willingness to pay</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Expanded package</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£149 with greater storage and additional creative exports</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Incremental value and actual cost to serve</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Planner plan</w:t>
            </w:r>
          </w:p>
        </w:tc>
        <w:tc>
          <w:tcPr>
            <w:tcW w:type="dxa" w:w="3672"/>
            <w:vAlign w:val="center"/>
            <w:tcMar>
              <w:top w:w="90" w:type="dxa"/>
              <w:left w:w="90" w:type="dxa"/>
              <w:bottom w:w="90" w:type="dxa"/>
              <w:right w:w="90" w:type="dxa"/>
            </w:tcMar>
          </w:tcPr>
          <w:p>
            <w:pPr>
              <w:spacing w:after="40" w:before="40" w:line="250" w:lineRule="auto"/>
            </w:pPr>
            <w:r>
              <w:rPr>
                <w:b w:val="0"/>
                <w:sz w:val="18"/>
              </w:rPr>
              <w:t>£49 per month with three active weddings and pooled limits</w:t>
            </w:r>
          </w:p>
        </w:tc>
        <w:tc>
          <w:tcPr>
            <w:tcW w:type="dxa" w:w="4032"/>
            <w:vAlign w:val="center"/>
            <w:tcMar>
              <w:top w:w="90" w:type="dxa"/>
              <w:left w:w="90" w:type="dxa"/>
              <w:bottom w:w="90" w:type="dxa"/>
              <w:right w:w="90" w:type="dxa"/>
            </w:tcMar>
          </w:tcPr>
          <w:p>
            <w:pPr>
              <w:spacing w:after="40" w:before="40" w:line="250" w:lineRule="auto"/>
            </w:pPr>
            <w:r>
              <w:rPr>
                <w:b w:val="0"/>
                <w:sz w:val="18"/>
              </w:rPr>
              <w:t>Repeat usage, client throughput and acquisition efficiency</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Archive extension</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Price not yet set</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Renewal demand and storage plus retrieval cost</w:t>
            </w:r>
          </w:p>
        </w:tc>
      </w:tr>
    </w:tbl>
    <w:p>
      <w:pPr>
        <w:spacing w:after="40"/>
      </w:pPr>
    </w:p>
    <w:p>
      <w:r>
        <w:rPr>
          <w:b w:val="0"/>
        </w:rPr>
        <w:t>These are proposed test prices, not launch prices. State VAT treatment before selling. Paid plans must not imply unlimited AI, video or lifetime storage. During the first pilot, use manual invoices or payment links and a server-managed entitlement record; an integrated checkout is not a prerequisite for learning.</w:t>
      </w:r>
    </w:p>
    <w:p>
      <w:r>
        <w:rPr>
          <w:b w:val="0"/>
        </w:rPr>
        <w:t>Avoid wedding gift transaction fees and marketplace commissions in the initial financial case. They introduce payment and supply-side complexity and have not been requested as core MVP capabilities. Founder time and support must be accounted for even if early cash spending is low.</w:t>
      </w:r>
    </w:p>
    <w:p>
      <w:pPr>
        <w:pStyle w:val="Heading1"/>
      </w:pPr>
      <w:r>
        <w:t>8 Market sizing and launch strategy</w:t>
      </w:r>
    </w:p>
    <w:p>
      <w:r>
        <w:rPr>
          <w:b w:val="0"/>
        </w:rPr>
        <w:t>No verified total addressable market number is asserted here. Before endorsement, obtain current UK marriage and civil partnership statistics and build a bottom-up estimate. The relevant serviceable market is the portion organising weddings with the targeted coordination needs and willingness to use a paid product. Overseas demand should be counted separately rather than inflating the UK opportunity.</w:t>
      </w:r>
    </w:p>
    <w:p>
      <w:r>
        <w:rPr>
          <w:b w:val="0"/>
        </w:rPr>
        <w:t>Use this model: reachable annual weddings × share with target workflow × reachable channel penetration × paid conversion × realised package price. Report each assumption, source and range. Planner revenue should use active planners × paid adoption × months retained, with no double counting of weddings charged through a planner plan.</w:t>
      </w:r>
    </w:p>
    <w:p>
      <w:r>
        <w:rPr>
          <w:b w:val="0"/>
        </w:rPr>
        <w:t>Recruit the first cohort through founder networks, community introductions and direct planner conversations. Participation and testimonials require permission. Do not assume church or diaspora networks automatically become customers. Use the founder's website as a demonstration and anonymise private guest information.</w:t>
      </w:r>
    </w:p>
    <w:p>
      <w:r>
        <w:rPr>
          <w:b w:val="0"/>
        </w:rPr>
        <w:t>Initial channels are planner referrals, useful demonstrations of the invitation-to-RSVP workflow and published case studies. Explore photographers as a post-wedding media channel. Delay paid acquisition until activation, gross contribution and support load are measured. The planner channel is attractive if one acquired planner brings repeat weddings, but that must be shown rather than assumed.</w:t>
      </w:r>
    </w:p>
    <w:p>
      <w:pPr>
        <w:pStyle w:val="Heading1"/>
      </w:pPr>
      <w:r>
        <w:t>9 Validation programme</w:t>
      </w:r>
    </w:p>
    <w:p>
      <w:pPr>
        <w:pStyle w:val="Heading2"/>
      </w:pPr>
      <w:r>
        <w:t>9.1 Discovery</w:t>
      </w:r>
    </w:p>
    <w:p>
      <w:r>
        <w:rPr>
          <w:b w:val="0"/>
        </w:rPr>
        <w:t>Over the first four weeks, target fifteen couple interviews and eight planner or event-operations interviews. Ask about the last wedding they organised, tools used, invitation edits, guest-list mistakes, media collection, brief handoff and money already spent. Record anonymised findings, frequency, severity and existing alternatives. This target is a research sample, not a statutory endorsement threshold.</w:t>
      </w:r>
    </w:p>
    <w:p>
      <w:pPr>
        <w:pStyle w:val="Heading2"/>
      </w:pPr>
      <w:r>
        <w:t>9.2 Prototype comparison</w:t>
      </w:r>
    </w:p>
    <w:p>
      <w:r>
        <w:rPr>
          <w:b w:val="0"/>
        </w:rPr>
        <w:t>Ask six couples to publish details and create a card without guided rescue. Measure task completion, time, export quality and confusion over static versus current details. Ask five planners to assess the proposed concept brief against their own intake document. Where possible, compare the same task with the participant's usual tools and report sample size and limitations.</w:t>
      </w:r>
    </w:p>
    <w:p>
      <w:pPr>
        <w:pStyle w:val="Heading2"/>
      </w:pPr>
      <w:r>
        <w:t>9.3 Operational pilot</w:t>
      </w:r>
    </w:p>
    <w:p>
      <w:r>
        <w:rPr>
          <w:b w:val="0"/>
        </w:rPr>
        <w:t>Recruit five to ten unrelated weddings, including different ceremony structures. At least two should test RSVP and real admission where the schedule permits; other participants can test planning and exports while their weddings are further away. Simulated scanning is engineering evidence, not customer adoption evidence. Include at least three UK-based couples and two UK planner relationships as a recruitment target.</w:t>
      </w:r>
    </w:p>
    <w:p>
      <w:pPr>
        <w:pStyle w:val="Heading2"/>
      </w:pPr>
      <w:r>
        <w:t>9.4 Commercial and innovation gates</w:t>
      </w:r>
    </w:p>
    <w:p>
      <w:r>
        <w:rPr>
          <w:b w:val="0"/>
        </w:rPr>
        <w:t>Proposed go criteria by month six: at least five active pilot weddings; three payments or credible documented paid commitments from unrelated customers; three planners finding the brief usable with only minor edits; and a measurable reduction in repeated setup work for at least five paired workflows. Aim for a median reduction of 30 percent as a directional experiment, not a market-wide claim.</w:t>
      </w:r>
    </w:p>
    <w:p>
      <w:r>
        <w:rPr>
          <w:b w:val="0"/>
        </w:rPr>
        <w:t>If users only value free templates, revise the pricing or segment. If planners must rebuild every brief, revise the schema and constraints. If existing competitors provide an equivalent workflow, narrow the proposition or reconsider the endorsement route. Negative findings belong in the evidence record.</w:t>
      </w:r>
    </w:p>
    <w:p>
      <w:pPr>
        <w:pStyle w:val="Heading1"/>
      </w:pPr>
      <w:r>
        <w:t>10 Delivery and endorsement roadmap</w:t>
      </w:r>
    </w:p>
    <w:p>
      <w:r>
        <w:rPr>
          <w:b w:val="0"/>
        </w:rPr>
        <w:t>The planning baseline is one engineer-founder working about thirty hours a week, with occasional design and planner input. Over twenty-four weeks this is roughly 720 hours. Interviews, support, documentation and endorsement preparation consume part of that time. If the founder can provide only fifteen hours a week, either extend the timeline or obtain funded engineering help; the calendar should not compress verification to compensate.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312"/>
        <w:gridCol w:w="3240"/>
        <w:gridCol w:w="1728"/>
      </w:tblGrid>
      <w:tr>
        <w:trPr>
          <w:cantSplit/>
          <w:tblHeader/>
        </w:trPr>
        <w:tc>
          <w:tcPr>
            <w:tcW w:type="dxa" w:w="1800"/>
            <w:vAlign w:val="center"/>
            <w:tcMar>
              <w:top w:w="90" w:type="dxa"/>
              <w:left w:w="90" w:type="dxa"/>
              <w:bottom w:w="90" w:type="dxa"/>
              <w:right w:w="90" w:type="dxa"/>
            </w:tcMar>
            <w:shd w:fill="E8EDF2"/>
          </w:tcPr>
          <w:p>
            <w:pPr>
              <w:spacing w:after="40" w:before="40" w:line="250" w:lineRule="auto"/>
            </w:pPr>
            <w:r>
              <w:rPr>
                <w:b/>
                <w:sz w:val="18"/>
              </w:rPr>
              <w:t>Period</w:t>
            </w:r>
          </w:p>
        </w:tc>
        <w:tc>
          <w:tcPr>
            <w:tcW w:type="dxa" w:w="3312"/>
            <w:vAlign w:val="center"/>
            <w:tcMar>
              <w:top w:w="90" w:type="dxa"/>
              <w:left w:w="90" w:type="dxa"/>
              <w:bottom w:w="90" w:type="dxa"/>
              <w:right w:w="90" w:type="dxa"/>
            </w:tcMar>
            <w:shd w:fill="E8EDF2"/>
          </w:tcPr>
          <w:p>
            <w:pPr>
              <w:spacing w:after="40" w:before="40" w:line="250" w:lineRule="auto"/>
            </w:pPr>
            <w:r>
              <w:rPr>
                <w:b/>
                <w:sz w:val="18"/>
              </w:rPr>
              <w:t>Product delivery</w:t>
            </w:r>
          </w:p>
        </w:tc>
        <w:tc>
          <w:tcPr>
            <w:tcW w:type="dxa" w:w="3240"/>
            <w:vAlign w:val="center"/>
            <w:tcMar>
              <w:top w:w="90" w:type="dxa"/>
              <w:left w:w="90" w:type="dxa"/>
              <w:bottom w:w="90" w:type="dxa"/>
              <w:right w:w="90" w:type="dxa"/>
            </w:tcMar>
            <w:shd w:fill="E8EDF2"/>
          </w:tcPr>
          <w:p>
            <w:pPr>
              <w:spacing w:after="40" w:before="40" w:line="250" w:lineRule="auto"/>
            </w:pPr>
            <w:r>
              <w:rPr>
                <w:b/>
                <w:sz w:val="18"/>
              </w:rPr>
              <w:t>Validation and business work</w:t>
            </w:r>
          </w:p>
        </w:tc>
        <w:tc>
          <w:tcPr>
            <w:tcW w:type="dxa" w:w="1728"/>
            <w:vAlign w:val="center"/>
            <w:tcMar>
              <w:top w:w="90" w:type="dxa"/>
              <w:left w:w="90" w:type="dxa"/>
              <w:bottom w:w="90" w:type="dxa"/>
              <w:right w:w="90" w:type="dxa"/>
            </w:tcMar>
            <w:shd w:fill="E8EDF2"/>
          </w:tcPr>
          <w:p>
            <w:pPr>
              <w:spacing w:after="40" w:before="40" w:line="250" w:lineRule="auto"/>
            </w:pPr>
            <w:r>
              <w:rPr>
                <w:b/>
                <w:sz w:val="18"/>
              </w:rPr>
              <w:t>Decision gate</w:t>
            </w:r>
          </w:p>
        </w:tc>
      </w:tr>
      <w:tr>
        <w:trPr>
          <w:cantSplit/>
        </w:trPr>
        <w:tc>
          <w:tcPr>
            <w:tcW w:type="dxa" w:w="1800"/>
            <w:vAlign w:val="center"/>
            <w:tcMar>
              <w:top w:w="90" w:type="dxa"/>
              <w:left w:w="90" w:type="dxa"/>
              <w:bottom w:w="90" w:type="dxa"/>
              <w:right w:w="90" w:type="dxa"/>
            </w:tcMar>
          </w:tcPr>
          <w:p>
            <w:pPr>
              <w:spacing w:after="40" w:before="40" w:line="250" w:lineRule="auto"/>
            </w:pPr>
            <w:r>
              <w:rPr>
                <w:b w:val="0"/>
                <w:sz w:val="18"/>
              </w:rPr>
              <w:t>Weeks 1 to 4 Oct to Nov 2026</w:t>
            </w:r>
          </w:p>
        </w:tc>
        <w:tc>
          <w:tcPr>
            <w:tcW w:type="dxa" w:w="3312"/>
            <w:vAlign w:val="center"/>
            <w:tcMar>
              <w:top w:w="90" w:type="dxa"/>
              <w:left w:w="90" w:type="dxa"/>
              <w:bottom w:w="90" w:type="dxa"/>
              <w:right w:w="90" w:type="dxa"/>
            </w:tcMar>
          </w:tcPr>
          <w:p>
            <w:pPr>
              <w:spacing w:after="40" w:before="40" w:line="250" w:lineRule="auto"/>
            </w:pPr>
            <w:r>
              <w:rPr>
                <w:b w:val="0"/>
                <w:sz w:val="18"/>
              </w:rPr>
              <w:t>Audit existing code; tenancy and identity; event model; wireframes</w:t>
            </w:r>
          </w:p>
        </w:tc>
        <w:tc>
          <w:tcPr>
            <w:tcW w:type="dxa" w:w="3240"/>
            <w:vAlign w:val="center"/>
            <w:tcMar>
              <w:top w:w="90" w:type="dxa"/>
              <w:left w:w="90" w:type="dxa"/>
              <w:bottom w:w="90" w:type="dxa"/>
              <w:right w:w="90" w:type="dxa"/>
            </w:tcMar>
          </w:tcPr>
          <w:p>
            <w:pPr>
              <w:spacing w:after="40" w:before="40" w:line="250" w:lineRule="auto"/>
            </w:pPr>
            <w:r>
              <w:rPr>
                <w:b w:val="0"/>
                <w:sz w:val="18"/>
              </w:rPr>
              <w:t>Discovery interviews; competitor task audit; capacity and funding plan</w:t>
            </w:r>
          </w:p>
        </w:tc>
        <w:tc>
          <w:tcPr>
            <w:tcW w:type="dxa" w:w="1728"/>
            <w:vAlign w:val="center"/>
            <w:tcMar>
              <w:top w:w="90" w:type="dxa"/>
              <w:left w:w="90" w:type="dxa"/>
              <w:bottom w:w="90" w:type="dxa"/>
              <w:right w:w="90" w:type="dxa"/>
            </w:tcMar>
          </w:tcPr>
          <w:p>
            <w:pPr>
              <w:spacing w:after="40" w:before="40" w:line="250" w:lineRule="auto"/>
            </w:pPr>
            <w:r>
              <w:rPr>
                <w:b w:val="0"/>
                <w:sz w:val="18"/>
              </w:rPr>
              <w:t>Segment and scope agreed</w:t>
            </w:r>
          </w:p>
        </w:tc>
      </w:tr>
      <w:tr>
        <w:trPr>
          <w:cantSplit/>
        </w:trPr>
        <w:tc>
          <w:tcPr>
            <w:tcW w:type="dxa" w:w="1800"/>
            <w:vAlign w:val="center"/>
            <w:tcMar>
              <w:top w:w="90" w:type="dxa"/>
              <w:left w:w="90" w:type="dxa"/>
              <w:bottom w:w="90" w:type="dxa"/>
              <w:right w:w="90" w:type="dxa"/>
            </w:tcMar>
            <w:shd w:fill="F7F8FA"/>
          </w:tcPr>
          <w:p>
            <w:pPr>
              <w:spacing w:after="40" w:before="40" w:line="250" w:lineRule="auto"/>
            </w:pPr>
            <w:r>
              <w:rPr>
                <w:b w:val="0"/>
                <w:sz w:val="18"/>
              </w:rPr>
              <w:t>Weeks 5 to 8 Nov to Dec 2026</w:t>
            </w:r>
          </w:p>
        </w:tc>
        <w:tc>
          <w:tcPr>
            <w:tcW w:type="dxa" w:w="3312"/>
            <w:vAlign w:val="center"/>
            <w:tcMar>
              <w:top w:w="90" w:type="dxa"/>
              <w:left w:w="90" w:type="dxa"/>
              <w:bottom w:w="90" w:type="dxa"/>
              <w:right w:w="90" w:type="dxa"/>
            </w:tcMar>
            <w:shd w:fill="F7F8FA"/>
          </w:tcPr>
          <w:p>
            <w:pPr>
              <w:spacing w:after="40" w:before="40" w:line="250" w:lineRule="auto"/>
            </w:pPr>
            <w:r>
              <w:rPr>
                <w:b w:val="0"/>
                <w:sz w:val="18"/>
              </w:rPr>
              <w:t>Website themes; blog; invitation editor and first export</w:t>
            </w:r>
          </w:p>
        </w:tc>
        <w:tc>
          <w:tcPr>
            <w:tcW w:type="dxa" w:w="3240"/>
            <w:vAlign w:val="center"/>
            <w:tcMar>
              <w:top w:w="90" w:type="dxa"/>
              <w:left w:w="90" w:type="dxa"/>
              <w:bottom w:w="90" w:type="dxa"/>
              <w:right w:w="90" w:type="dxa"/>
            </w:tcMar>
            <w:shd w:fill="F7F8FA"/>
          </w:tcPr>
          <w:p>
            <w:pPr>
              <w:spacing w:after="40" w:before="40" w:line="250" w:lineRule="auto"/>
            </w:pPr>
            <w:r>
              <w:rPr>
                <w:b w:val="0"/>
                <w:sz w:val="18"/>
              </w:rPr>
              <w:t>Six usability sessions; planner brief prototype; price tests</w:t>
            </w:r>
          </w:p>
        </w:tc>
        <w:tc>
          <w:tcPr>
            <w:tcW w:type="dxa" w:w="1728"/>
            <w:vAlign w:val="center"/>
            <w:tcMar>
              <w:top w:w="90" w:type="dxa"/>
              <w:left w:w="90" w:type="dxa"/>
              <w:bottom w:w="90" w:type="dxa"/>
              <w:right w:w="90" w:type="dxa"/>
            </w:tcMar>
            <w:shd w:fill="F7F8FA"/>
          </w:tcPr>
          <w:p>
            <w:pPr>
              <w:spacing w:after="40" w:before="40" w:line="250" w:lineRule="auto"/>
            </w:pPr>
            <w:r>
              <w:rPr>
                <w:b w:val="0"/>
                <w:sz w:val="18"/>
              </w:rPr>
              <w:t>Core workflow works without rescue</w:t>
            </w:r>
          </w:p>
        </w:tc>
      </w:tr>
      <w:tr>
        <w:trPr>
          <w:cantSplit/>
        </w:trPr>
        <w:tc>
          <w:tcPr>
            <w:tcW w:type="dxa" w:w="1800"/>
            <w:vAlign w:val="center"/>
            <w:tcMar>
              <w:top w:w="90" w:type="dxa"/>
              <w:left w:w="90" w:type="dxa"/>
              <w:bottom w:w="90" w:type="dxa"/>
              <w:right w:w="90" w:type="dxa"/>
            </w:tcMar>
          </w:tcPr>
          <w:p>
            <w:pPr>
              <w:spacing w:after="40" w:before="40" w:line="250" w:lineRule="auto"/>
            </w:pPr>
            <w:r>
              <w:rPr>
                <w:b w:val="0"/>
                <w:sz w:val="18"/>
              </w:rPr>
              <w:t>Weeks 9 to 12 Dec 2026 to Jan 2027</w:t>
            </w:r>
          </w:p>
        </w:tc>
        <w:tc>
          <w:tcPr>
            <w:tcW w:type="dxa" w:w="3312"/>
            <w:vAlign w:val="center"/>
            <w:tcMar>
              <w:top w:w="90" w:type="dxa"/>
              <w:left w:w="90" w:type="dxa"/>
              <w:bottom w:w="90" w:type="dxa"/>
              <w:right w:w="90" w:type="dxa"/>
            </w:tcMar>
          </w:tcPr>
          <w:p>
            <w:pPr>
              <w:spacing w:after="40" w:before="40" w:line="250" w:lineRule="auto"/>
            </w:pPr>
            <w:r>
              <w:rPr>
                <w:b w:val="0"/>
                <w:sz w:val="18"/>
              </w:rPr>
              <w:t>RSVP; pass controls; gallery moderation; initial AI concept and brief</w:t>
            </w:r>
          </w:p>
        </w:tc>
        <w:tc>
          <w:tcPr>
            <w:tcW w:type="dxa" w:w="3240"/>
            <w:vAlign w:val="center"/>
            <w:tcMar>
              <w:top w:w="90" w:type="dxa"/>
              <w:left w:w="90" w:type="dxa"/>
              <w:bottom w:w="90" w:type="dxa"/>
              <w:right w:w="90" w:type="dxa"/>
            </w:tcMar>
          </w:tcPr>
          <w:p>
            <w:pPr>
              <w:spacing w:after="40" w:before="40" w:line="250" w:lineRule="auto"/>
            </w:pPr>
            <w:r>
              <w:rPr>
                <w:b w:val="0"/>
                <w:sz w:val="18"/>
              </w:rPr>
              <w:t>First pilots; capacity and race tests; gather permissions and commitments</w:t>
            </w:r>
          </w:p>
        </w:tc>
        <w:tc>
          <w:tcPr>
            <w:tcW w:type="dxa" w:w="1728"/>
            <w:vAlign w:val="center"/>
            <w:tcMar>
              <w:top w:w="90" w:type="dxa"/>
              <w:left w:w="90" w:type="dxa"/>
              <w:bottom w:w="90" w:type="dxa"/>
              <w:right w:w="90" w:type="dxa"/>
            </w:tcMar>
          </w:tcPr>
          <w:p>
            <w:pPr>
              <w:spacing w:after="40" w:before="40" w:line="250" w:lineRule="auto"/>
            </w:pPr>
            <w:r>
              <w:rPr>
                <w:b w:val="0"/>
                <w:sz w:val="18"/>
              </w:rPr>
              <w:t>Three month submission only if evidence is already strong</w:t>
            </w:r>
          </w:p>
        </w:tc>
      </w:tr>
      <w:tr>
        <w:trPr>
          <w:cantSplit/>
        </w:trPr>
        <w:tc>
          <w:tcPr>
            <w:tcW w:type="dxa" w:w="1800"/>
            <w:vAlign w:val="center"/>
            <w:tcMar>
              <w:top w:w="90" w:type="dxa"/>
              <w:left w:w="90" w:type="dxa"/>
              <w:bottom w:w="90" w:type="dxa"/>
              <w:right w:w="90" w:type="dxa"/>
            </w:tcMar>
            <w:shd w:fill="F7F8FA"/>
          </w:tcPr>
          <w:p>
            <w:pPr>
              <w:spacing w:after="40" w:before="40" w:line="250" w:lineRule="auto"/>
            </w:pPr>
            <w:r>
              <w:rPr>
                <w:b w:val="0"/>
                <w:sz w:val="18"/>
              </w:rPr>
              <w:t>Weeks 13 to 16 Jan to Feb 2027</w:t>
            </w:r>
          </w:p>
        </w:tc>
        <w:tc>
          <w:tcPr>
            <w:tcW w:type="dxa" w:w="3312"/>
            <w:vAlign w:val="center"/>
            <w:tcMar>
              <w:top w:w="90" w:type="dxa"/>
              <w:left w:w="90" w:type="dxa"/>
              <w:bottom w:w="90" w:type="dxa"/>
              <w:right w:w="90" w:type="dxa"/>
            </w:tcMar>
            <w:shd w:fill="F7F8FA"/>
          </w:tcPr>
          <w:p>
            <w:pPr>
              <w:spacing w:after="40" w:before="40" w:line="250" w:lineRule="auto"/>
            </w:pPr>
            <w:r>
              <w:rPr>
                <w:b w:val="0"/>
                <w:sz w:val="18"/>
              </w:rPr>
              <w:t>AI mood board and approved theme application; reliability fixes</w:t>
            </w:r>
          </w:p>
        </w:tc>
        <w:tc>
          <w:tcPr>
            <w:tcW w:type="dxa" w:w="3240"/>
            <w:vAlign w:val="center"/>
            <w:tcMar>
              <w:top w:w="90" w:type="dxa"/>
              <w:left w:w="90" w:type="dxa"/>
              <w:bottom w:w="90" w:type="dxa"/>
              <w:right w:w="90" w:type="dxa"/>
            </w:tcMar>
            <w:shd w:fill="F7F8FA"/>
          </w:tcPr>
          <w:p>
            <w:pPr>
              <w:spacing w:after="40" w:before="40" w:line="250" w:lineRule="auto"/>
            </w:pPr>
            <w:r>
              <w:rPr>
                <w:b w:val="0"/>
                <w:sz w:val="18"/>
              </w:rPr>
              <w:t>Paired comparisons; planner feedback; first paid pilots</w:t>
            </w:r>
          </w:p>
        </w:tc>
        <w:tc>
          <w:tcPr>
            <w:tcW w:type="dxa" w:w="1728"/>
            <w:vAlign w:val="center"/>
            <w:tcMar>
              <w:top w:w="90" w:type="dxa"/>
              <w:left w:w="90" w:type="dxa"/>
              <w:bottom w:w="90" w:type="dxa"/>
              <w:right w:w="90" w:type="dxa"/>
            </w:tcMar>
            <w:shd w:fill="F7F8FA"/>
          </w:tcPr>
          <w:p>
            <w:pPr>
              <w:spacing w:after="40" w:before="40" w:line="250" w:lineRule="auto"/>
            </w:pPr>
            <w:r>
              <w:rPr>
                <w:b w:val="0"/>
                <w:sz w:val="18"/>
              </w:rPr>
              <w:t>Demonstrated customer advantage</w:t>
            </w:r>
          </w:p>
        </w:tc>
      </w:tr>
      <w:tr>
        <w:trPr>
          <w:cantSplit/>
        </w:trPr>
        <w:tc>
          <w:tcPr>
            <w:tcW w:type="dxa" w:w="1800"/>
            <w:vAlign w:val="center"/>
            <w:tcMar>
              <w:top w:w="90" w:type="dxa"/>
              <w:left w:w="90" w:type="dxa"/>
              <w:bottom w:w="90" w:type="dxa"/>
              <w:right w:w="90" w:type="dxa"/>
            </w:tcMar>
          </w:tcPr>
          <w:p>
            <w:pPr>
              <w:spacing w:after="40" w:before="40" w:line="250" w:lineRule="auto"/>
            </w:pPr>
            <w:r>
              <w:rPr>
                <w:b w:val="0"/>
                <w:sz w:val="18"/>
              </w:rPr>
              <w:t>Weeks 17 to 20 Feb to Mar 2027</w:t>
            </w:r>
          </w:p>
        </w:tc>
        <w:tc>
          <w:tcPr>
            <w:tcW w:type="dxa" w:w="3312"/>
            <w:vAlign w:val="center"/>
            <w:tcMar>
              <w:top w:w="90" w:type="dxa"/>
              <w:left w:w="90" w:type="dxa"/>
              <w:bottom w:w="90" w:type="dxa"/>
              <w:right w:w="90" w:type="dxa"/>
            </w:tcMar>
          </w:tcPr>
          <w:p>
            <w:pPr>
              <w:spacing w:after="40" w:before="40" w:line="250" w:lineRule="auto"/>
            </w:pPr>
            <w:r>
              <w:rPr>
                <w:b w:val="0"/>
                <w:sz w:val="18"/>
              </w:rPr>
              <w:t>Improve onboarding; exports; support tools; archive controls</w:t>
            </w:r>
          </w:p>
        </w:tc>
        <w:tc>
          <w:tcPr>
            <w:tcW w:type="dxa" w:w="3240"/>
            <w:vAlign w:val="center"/>
            <w:tcMar>
              <w:top w:w="90" w:type="dxa"/>
              <w:left w:w="90" w:type="dxa"/>
              <w:bottom w:w="90" w:type="dxa"/>
              <w:right w:w="90" w:type="dxa"/>
            </w:tcMar>
          </w:tcPr>
          <w:p>
            <w:pPr>
              <w:spacing w:after="40" w:before="40" w:line="250" w:lineRule="auto"/>
            </w:pPr>
            <w:r>
              <w:rPr>
                <w:b w:val="0"/>
                <w:sz w:val="18"/>
              </w:rPr>
              <w:t>Unit economics; UK channel evidence; three-year growth scenarios</w:t>
            </w:r>
          </w:p>
        </w:tc>
        <w:tc>
          <w:tcPr>
            <w:tcW w:type="dxa" w:w="1728"/>
            <w:vAlign w:val="center"/>
            <w:tcMar>
              <w:top w:w="90" w:type="dxa"/>
              <w:left w:w="90" w:type="dxa"/>
              <w:bottom w:w="90" w:type="dxa"/>
              <w:right w:w="90" w:type="dxa"/>
            </w:tcMar>
          </w:tcPr>
          <w:p>
            <w:pPr>
              <w:spacing w:after="40" w:before="40" w:line="250" w:lineRule="auto"/>
            </w:pPr>
            <w:r>
              <w:rPr>
                <w:b w:val="0"/>
                <w:sz w:val="18"/>
              </w:rPr>
              <w:t>Endorsement readiness assessment</w:t>
            </w:r>
          </w:p>
        </w:tc>
      </w:tr>
      <w:tr>
        <w:trPr>
          <w:cantSplit/>
        </w:trPr>
        <w:tc>
          <w:tcPr>
            <w:tcW w:type="dxa" w:w="1800"/>
            <w:vAlign w:val="center"/>
            <w:tcMar>
              <w:top w:w="90" w:type="dxa"/>
              <w:left w:w="90" w:type="dxa"/>
              <w:bottom w:w="90" w:type="dxa"/>
              <w:right w:w="90" w:type="dxa"/>
            </w:tcMar>
            <w:shd w:fill="F7F8FA"/>
          </w:tcPr>
          <w:p>
            <w:pPr>
              <w:spacing w:after="40" w:before="40" w:line="250" w:lineRule="auto"/>
            </w:pPr>
            <w:r>
              <w:rPr>
                <w:b w:val="0"/>
                <w:sz w:val="18"/>
              </w:rPr>
              <w:t>Weeks 21 to 24 Mar to Apr 2027</w:t>
            </w:r>
          </w:p>
        </w:tc>
        <w:tc>
          <w:tcPr>
            <w:tcW w:type="dxa" w:w="3312"/>
            <w:vAlign w:val="center"/>
            <w:tcMar>
              <w:top w:w="90" w:type="dxa"/>
              <w:left w:w="90" w:type="dxa"/>
              <w:bottom w:w="90" w:type="dxa"/>
              <w:right w:w="90" w:type="dxa"/>
            </w:tcMar>
            <w:shd w:fill="F7F8FA"/>
          </w:tcPr>
          <w:p>
            <w:pPr>
              <w:spacing w:after="40" w:before="40" w:line="250" w:lineRule="auto"/>
            </w:pPr>
            <w:r>
              <w:rPr>
                <w:b w:val="0"/>
                <w:sz w:val="18"/>
              </w:rPr>
              <w:t>Stabilise release; demonstrate provider portability</w:t>
            </w:r>
          </w:p>
        </w:tc>
        <w:tc>
          <w:tcPr>
            <w:tcW w:type="dxa" w:w="3240"/>
            <w:vAlign w:val="center"/>
            <w:tcMar>
              <w:top w:w="90" w:type="dxa"/>
              <w:left w:w="90" w:type="dxa"/>
              <w:bottom w:w="90" w:type="dxa"/>
              <w:right w:w="90" w:type="dxa"/>
            </w:tcMar>
            <w:shd w:fill="F7F8FA"/>
          </w:tcPr>
          <w:p>
            <w:pPr>
              <w:spacing w:after="40" w:before="40" w:line="250" w:lineRule="auto"/>
            </w:pPr>
            <w:r>
              <w:rPr>
                <w:b w:val="0"/>
                <w:sz w:val="18"/>
              </w:rPr>
              <w:t>Final evidence pack; approved endorser selection; submission if ready</w:t>
            </w:r>
          </w:p>
        </w:tc>
        <w:tc>
          <w:tcPr>
            <w:tcW w:type="dxa" w:w="1728"/>
            <w:vAlign w:val="center"/>
            <w:tcMar>
              <w:top w:w="90" w:type="dxa"/>
              <w:left w:w="90" w:type="dxa"/>
              <w:bottom w:w="90" w:type="dxa"/>
              <w:right w:w="90" w:type="dxa"/>
            </w:tcMar>
            <w:shd w:fill="F7F8FA"/>
          </w:tcPr>
          <w:p>
            <w:pPr>
              <w:spacing w:after="40" w:before="40" w:line="250" w:lineRule="auto"/>
            </w:pPr>
            <w:r>
              <w:rPr>
                <w:b w:val="0"/>
                <w:sz w:val="18"/>
              </w:rPr>
              <w:t>Apply or extend validation based on evidence</w:t>
            </w:r>
          </w:p>
        </w:tc>
      </w:tr>
    </w:tbl>
    <w:p>
      <w:pPr>
        <w:spacing w:after="40"/>
      </w:pPr>
    </w:p>
    <w:p>
      <w:r>
        <w:rPr>
          <w:b w:val="0"/>
        </w:rPr>
        <w:t>The twelve-week point is an early evidence review, not a promise to complete every MVP feature or secure endorsement. Seasonal wedding dates can prevent meaningful day-of-event results within the window. Select planning-stage pilots intentionally and be clear which evidence is live, simulated or still pending.</w:t>
      </w:r>
    </w:p>
    <w:p>
      <w:pPr>
        <w:pStyle w:val="Heading1"/>
      </w:pPr>
      <w:r>
        <w:t>11 Illustrative financial model</w:t>
      </w:r>
    </w:p>
    <w:p>
      <w:r>
        <w:rPr>
          <w:b w:val="0"/>
        </w:rPr>
        <w:t>Use a six-month operating budget of £12,000 as a working example, subject to actual quotes and available funds. This excludes founder salary, personal living costs, visa costs, healthcare surcharge, tax and any additional hiring. It is not a funding requirement or proof that the founder has this money.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344"/>
      </w:tblGrid>
      <w:tr>
        <w:trPr>
          <w:cantSplit/>
          <w:tblHeader/>
        </w:trPr>
        <w:tc>
          <w:tcPr>
            <w:tcW w:type="dxa" w:w="2736"/>
            <w:vAlign w:val="center"/>
            <w:tcMar>
              <w:top w:w="90" w:type="dxa"/>
              <w:left w:w="90" w:type="dxa"/>
              <w:bottom w:w="90" w:type="dxa"/>
              <w:right w:w="90" w:type="dxa"/>
            </w:tcMar>
            <w:shd w:fill="E8EDF2"/>
          </w:tcPr>
          <w:p>
            <w:pPr>
              <w:spacing w:after="40" w:before="40" w:line="250" w:lineRule="auto"/>
            </w:pPr>
            <w:r>
              <w:rPr>
                <w:b/>
                <w:sz w:val="18"/>
              </w:rPr>
              <w:t>Six month cost category</w:t>
            </w:r>
          </w:p>
        </w:tc>
        <w:tc>
          <w:tcPr>
            <w:tcW w:type="dxa" w:w="7344"/>
            <w:vAlign w:val="center"/>
            <w:tcMar>
              <w:top w:w="90" w:type="dxa"/>
              <w:left w:w="90" w:type="dxa"/>
              <w:bottom w:w="90" w:type="dxa"/>
              <w:right w:w="90" w:type="dxa"/>
            </w:tcMar>
            <w:shd w:fill="E8EDF2"/>
          </w:tcPr>
          <w:p>
            <w:pPr>
              <w:spacing w:after="40" w:before="40" w:line="250" w:lineRule="auto"/>
            </w:pPr>
            <w:r>
              <w:rPr>
                <w:b/>
                <w:sz w:val="18"/>
              </w:rPr>
              <w:t>Assumed amount</w:t>
            </w:r>
          </w:p>
        </w:tc>
      </w:tr>
      <w:tr>
        <w:trPr>
          <w:cantSplit/>
        </w:trPr>
        <w:tc>
          <w:tcPr>
            <w:tcW w:type="dxa" w:w="2736"/>
            <w:vAlign w:val="center"/>
            <w:tcMar>
              <w:top w:w="90" w:type="dxa"/>
              <w:left w:w="90" w:type="dxa"/>
              <w:bottom w:w="90" w:type="dxa"/>
              <w:right w:w="90" w:type="dxa"/>
            </w:tcMar>
          </w:tcPr>
          <w:p>
            <w:pPr>
              <w:spacing w:after="40" w:before="40" w:line="250" w:lineRule="auto"/>
            </w:pPr>
            <w:r>
              <w:rPr>
                <w:b w:val="0"/>
                <w:sz w:val="18"/>
              </w:rPr>
              <w:t>Hosting media email AI and monitoring</w:t>
            </w:r>
          </w:p>
        </w:tc>
        <w:tc>
          <w:tcPr>
            <w:tcW w:type="dxa" w:w="7344"/>
            <w:vAlign w:val="center"/>
            <w:tcMar>
              <w:top w:w="90" w:type="dxa"/>
              <w:left w:w="90" w:type="dxa"/>
              <w:bottom w:w="90" w:type="dxa"/>
              <w:right w:w="90" w:type="dxa"/>
            </w:tcMar>
          </w:tcPr>
          <w:p>
            <w:pPr>
              <w:spacing w:after="40" w:before="40" w:line="250" w:lineRule="auto"/>
            </w:pPr>
            <w:r>
              <w:rPr>
                <w:b w:val="0"/>
                <w:sz w:val="18"/>
              </w:rPr>
              <w:t>£1,200</w:t>
            </w:r>
          </w:p>
        </w:tc>
      </w:tr>
      <w:tr>
        <w:trPr>
          <w:cantSplit/>
        </w:trPr>
        <w:tc>
          <w:tcPr>
            <w:tcW w:type="dxa" w:w="2736"/>
            <w:vAlign w:val="center"/>
            <w:tcMar>
              <w:top w:w="90" w:type="dxa"/>
              <w:left w:w="90" w:type="dxa"/>
              <w:bottom w:w="90" w:type="dxa"/>
              <w:right w:w="90" w:type="dxa"/>
            </w:tcMar>
            <w:shd w:fill="F7F8FA"/>
          </w:tcPr>
          <w:p>
            <w:pPr>
              <w:spacing w:after="40" w:before="40" w:line="250" w:lineRule="auto"/>
            </w:pPr>
            <w:r>
              <w:rPr>
                <w:b w:val="0"/>
                <w:sz w:val="18"/>
              </w:rPr>
              <w:t>Template design and asset licences</w:t>
            </w:r>
          </w:p>
        </w:tc>
        <w:tc>
          <w:tcPr>
            <w:tcW w:type="dxa" w:w="7344"/>
            <w:vAlign w:val="center"/>
            <w:tcMar>
              <w:top w:w="90" w:type="dxa"/>
              <w:left w:w="90" w:type="dxa"/>
              <w:bottom w:w="90" w:type="dxa"/>
              <w:right w:w="90" w:type="dxa"/>
            </w:tcMar>
            <w:shd w:fill="F7F8FA"/>
          </w:tcPr>
          <w:p>
            <w:pPr>
              <w:spacing w:after="40" w:before="40" w:line="250" w:lineRule="auto"/>
            </w:pPr>
            <w:r>
              <w:rPr>
                <w:b w:val="0"/>
                <w:sz w:val="18"/>
              </w:rPr>
              <w:t>£1,500</w:t>
            </w:r>
          </w:p>
        </w:tc>
      </w:tr>
      <w:tr>
        <w:trPr>
          <w:cantSplit/>
        </w:trPr>
        <w:tc>
          <w:tcPr>
            <w:tcW w:type="dxa" w:w="2736"/>
            <w:vAlign w:val="center"/>
            <w:tcMar>
              <w:top w:w="90" w:type="dxa"/>
              <w:left w:w="90" w:type="dxa"/>
              <w:bottom w:w="90" w:type="dxa"/>
              <w:right w:w="90" w:type="dxa"/>
            </w:tcMar>
          </w:tcPr>
          <w:p>
            <w:pPr>
              <w:spacing w:after="40" w:before="40" w:line="250" w:lineRule="auto"/>
            </w:pPr>
            <w:r>
              <w:rPr>
                <w:b w:val="0"/>
                <w:sz w:val="18"/>
              </w:rPr>
              <w:t>Research pilot support and acquisition tests</w:t>
            </w:r>
          </w:p>
        </w:tc>
        <w:tc>
          <w:tcPr>
            <w:tcW w:type="dxa" w:w="7344"/>
            <w:vAlign w:val="center"/>
            <w:tcMar>
              <w:top w:w="90" w:type="dxa"/>
              <w:left w:w="90" w:type="dxa"/>
              <w:bottom w:w="90" w:type="dxa"/>
              <w:right w:w="90" w:type="dxa"/>
            </w:tcMar>
          </w:tcPr>
          <w:p>
            <w:pPr>
              <w:spacing w:after="40" w:before="40" w:line="250" w:lineRule="auto"/>
            </w:pPr>
            <w:r>
              <w:rPr>
                <w:b w:val="0"/>
                <w:sz w:val="18"/>
              </w:rPr>
              <w:t>£1,000</w:t>
            </w:r>
          </w:p>
        </w:tc>
      </w:tr>
      <w:tr>
        <w:trPr>
          <w:cantSplit/>
        </w:trPr>
        <w:tc>
          <w:tcPr>
            <w:tcW w:type="dxa" w:w="2736"/>
            <w:vAlign w:val="center"/>
            <w:tcMar>
              <w:top w:w="90" w:type="dxa"/>
              <w:left w:w="90" w:type="dxa"/>
              <w:bottom w:w="90" w:type="dxa"/>
              <w:right w:w="90" w:type="dxa"/>
            </w:tcMar>
            <w:shd w:fill="F7F8FA"/>
          </w:tcPr>
          <w:p>
            <w:pPr>
              <w:spacing w:after="40" w:before="40" w:line="250" w:lineRule="auto"/>
            </w:pPr>
            <w:r>
              <w:rPr>
                <w:b w:val="0"/>
                <w:sz w:val="18"/>
              </w:rPr>
              <w:t>Accounting business setup and legal or privacy review</w:t>
            </w:r>
          </w:p>
        </w:tc>
        <w:tc>
          <w:tcPr>
            <w:tcW w:type="dxa" w:w="7344"/>
            <w:vAlign w:val="center"/>
            <w:tcMar>
              <w:top w:w="90" w:type="dxa"/>
              <w:left w:w="90" w:type="dxa"/>
              <w:bottom w:w="90" w:type="dxa"/>
              <w:right w:w="90" w:type="dxa"/>
            </w:tcMar>
            <w:shd w:fill="F7F8FA"/>
          </w:tcPr>
          <w:p>
            <w:pPr>
              <w:spacing w:after="40" w:before="40" w:line="250" w:lineRule="auto"/>
            </w:pPr>
            <w:r>
              <w:rPr>
                <w:b w:val="0"/>
                <w:sz w:val="18"/>
              </w:rPr>
              <w:t>£1,300</w:t>
            </w:r>
          </w:p>
        </w:tc>
      </w:tr>
      <w:tr>
        <w:trPr>
          <w:cantSplit/>
        </w:trPr>
        <w:tc>
          <w:tcPr>
            <w:tcW w:type="dxa" w:w="2736"/>
            <w:vAlign w:val="center"/>
            <w:tcMar>
              <w:top w:w="90" w:type="dxa"/>
              <w:left w:w="90" w:type="dxa"/>
              <w:bottom w:w="90" w:type="dxa"/>
              <w:right w:w="90" w:type="dxa"/>
            </w:tcMar>
          </w:tcPr>
          <w:p>
            <w:pPr>
              <w:spacing w:after="40" w:before="40" w:line="250" w:lineRule="auto"/>
            </w:pPr>
            <w:r>
              <w:rPr>
                <w:b w:val="0"/>
                <w:sz w:val="18"/>
              </w:rPr>
              <w:t>Specialist engineering and security help</w:t>
            </w:r>
          </w:p>
        </w:tc>
        <w:tc>
          <w:tcPr>
            <w:tcW w:type="dxa" w:w="7344"/>
            <w:vAlign w:val="center"/>
            <w:tcMar>
              <w:top w:w="90" w:type="dxa"/>
              <w:left w:w="90" w:type="dxa"/>
              <w:bottom w:w="90" w:type="dxa"/>
              <w:right w:w="90" w:type="dxa"/>
            </w:tcMar>
          </w:tcPr>
          <w:p>
            <w:pPr>
              <w:spacing w:after="40" w:before="40" w:line="250" w:lineRule="auto"/>
            </w:pPr>
            <w:r>
              <w:rPr>
                <w:b w:val="0"/>
                <w:sz w:val="18"/>
              </w:rPr>
              <w:t>£4,000</w:t>
            </w:r>
          </w:p>
        </w:tc>
      </w:tr>
      <w:tr>
        <w:trPr>
          <w:cantSplit/>
        </w:trPr>
        <w:tc>
          <w:tcPr>
            <w:tcW w:type="dxa" w:w="2736"/>
            <w:vAlign w:val="center"/>
            <w:tcMar>
              <w:top w:w="90" w:type="dxa"/>
              <w:left w:w="90" w:type="dxa"/>
              <w:bottom w:w="90" w:type="dxa"/>
              <w:right w:w="90" w:type="dxa"/>
            </w:tcMar>
            <w:shd w:fill="F7F8FA"/>
          </w:tcPr>
          <w:p>
            <w:pPr>
              <w:spacing w:after="40" w:before="40" w:line="250" w:lineRule="auto"/>
            </w:pPr>
            <w:r>
              <w:rPr>
                <w:b w:val="0"/>
                <w:sz w:val="18"/>
              </w:rPr>
              <w:t>Contingency</w:t>
            </w:r>
          </w:p>
        </w:tc>
        <w:tc>
          <w:tcPr>
            <w:tcW w:type="dxa" w:w="7344"/>
            <w:vAlign w:val="center"/>
            <w:tcMar>
              <w:top w:w="90" w:type="dxa"/>
              <w:left w:w="90" w:type="dxa"/>
              <w:bottom w:w="90" w:type="dxa"/>
              <w:right w:w="90" w:type="dxa"/>
            </w:tcMar>
            <w:shd w:fill="F7F8FA"/>
          </w:tcPr>
          <w:p>
            <w:pPr>
              <w:spacing w:after="40" w:before="40" w:line="250" w:lineRule="auto"/>
            </w:pPr>
            <w:r>
              <w:rPr>
                <w:b w:val="0"/>
                <w:sz w:val="18"/>
              </w:rPr>
              <w:t>£3,000</w:t>
            </w:r>
          </w:p>
        </w:tc>
      </w:tr>
      <w:tr>
        <w:trPr>
          <w:cantSplit/>
        </w:trPr>
        <w:tc>
          <w:tcPr>
            <w:tcW w:type="dxa" w:w="2736"/>
            <w:vAlign w:val="center"/>
            <w:tcMar>
              <w:top w:w="90" w:type="dxa"/>
              <w:left w:w="90" w:type="dxa"/>
              <w:bottom w:w="90" w:type="dxa"/>
              <w:right w:w="90" w:type="dxa"/>
            </w:tcMar>
          </w:tcPr>
          <w:p>
            <w:pPr>
              <w:spacing w:after="40" w:before="40" w:line="250" w:lineRule="auto"/>
            </w:pPr>
            <w:r>
              <w:rPr>
                <w:b w:val="0"/>
                <w:sz w:val="18"/>
              </w:rPr>
              <w:t>Total</w:t>
            </w:r>
          </w:p>
        </w:tc>
        <w:tc>
          <w:tcPr>
            <w:tcW w:type="dxa" w:w="7344"/>
            <w:vAlign w:val="center"/>
            <w:tcMar>
              <w:top w:w="90" w:type="dxa"/>
              <w:left w:w="90" w:type="dxa"/>
              <w:bottom w:w="90" w:type="dxa"/>
              <w:right w:w="90" w:type="dxa"/>
            </w:tcMar>
          </w:tcPr>
          <w:p>
            <w:pPr>
              <w:spacing w:after="40" w:before="40" w:line="250" w:lineRule="auto"/>
            </w:pPr>
            <w:r>
              <w:rPr>
                <w:b w:val="0"/>
                <w:sz w:val="18"/>
              </w:rPr>
              <w:t>£12,000</w:t>
            </w:r>
          </w:p>
        </w:tc>
      </w:tr>
    </w:tbl>
    <w:p>
      <w:pPr>
        <w:spacing w:after="40"/>
      </w:pPr>
    </w:p>
    <w:p>
      <w:r>
        <w:rPr>
          <w:b w:val="0"/>
        </w:rPr>
        <w:t>Illustrative monthly cash spending is £1,200, £1,800, £2,200, £2,200, £2,400 and £2,200. Illustrative monthly pilot receipts are £0, £0, £158, £237, £395 and £592, totalling £1,382. With £12,000 opening cash, month-end balances would be £10,800, £9,000, £6,958, £4,995, £2,990 and £1,382. The receipts are an upside planning assumption; if none arrive, all £12,000 is spent. Secure further runway before the end of the pilot.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312"/>
        <w:gridCol w:w="3240"/>
        <w:gridCol w:w="1728"/>
      </w:tblGrid>
      <w:tr>
        <w:trPr>
          <w:cantSplit/>
          <w:tblHeader/>
        </w:trPr>
        <w:tc>
          <w:tcPr>
            <w:tcW w:type="dxa" w:w="1800"/>
            <w:vAlign w:val="center"/>
            <w:tcMar>
              <w:top w:w="90" w:type="dxa"/>
              <w:left w:w="90" w:type="dxa"/>
              <w:bottom w:w="90" w:type="dxa"/>
              <w:right w:w="90" w:type="dxa"/>
            </w:tcMar>
            <w:shd w:fill="E8EDF2"/>
          </w:tcPr>
          <w:p>
            <w:pPr>
              <w:spacing w:after="40" w:before="40" w:line="250" w:lineRule="auto"/>
            </w:pPr>
            <w:r>
              <w:rPr>
                <w:b/>
                <w:sz w:val="18"/>
              </w:rPr>
              <w:t>Scenario variable</w:t>
            </w:r>
          </w:p>
        </w:tc>
        <w:tc>
          <w:tcPr>
            <w:tcW w:type="dxa" w:w="3312"/>
            <w:vAlign w:val="center"/>
            <w:tcMar>
              <w:top w:w="90" w:type="dxa"/>
              <w:left w:w="90" w:type="dxa"/>
              <w:bottom w:w="90" w:type="dxa"/>
              <w:right w:w="90" w:type="dxa"/>
            </w:tcMar>
            <w:shd w:fill="E8EDF2"/>
          </w:tcPr>
          <w:p>
            <w:pPr>
              <w:spacing w:after="40" w:before="40" w:line="250" w:lineRule="auto"/>
            </w:pPr>
            <w:r>
              <w:rPr>
                <w:b/>
                <w:sz w:val="18"/>
              </w:rPr>
              <w:t>Year 1</w:t>
            </w:r>
          </w:p>
        </w:tc>
        <w:tc>
          <w:tcPr>
            <w:tcW w:type="dxa" w:w="3240"/>
            <w:vAlign w:val="center"/>
            <w:tcMar>
              <w:top w:w="90" w:type="dxa"/>
              <w:left w:w="90" w:type="dxa"/>
              <w:bottom w:w="90" w:type="dxa"/>
              <w:right w:w="90" w:type="dxa"/>
            </w:tcMar>
            <w:shd w:fill="E8EDF2"/>
          </w:tcPr>
          <w:p>
            <w:pPr>
              <w:spacing w:after="40" w:before="40" w:line="250" w:lineRule="auto"/>
            </w:pPr>
            <w:r>
              <w:rPr>
                <w:b/>
                <w:sz w:val="18"/>
              </w:rPr>
              <w:t>Year 2</w:t>
            </w:r>
          </w:p>
        </w:tc>
        <w:tc>
          <w:tcPr>
            <w:tcW w:type="dxa" w:w="1728"/>
            <w:vAlign w:val="center"/>
            <w:tcMar>
              <w:top w:w="90" w:type="dxa"/>
              <w:left w:w="90" w:type="dxa"/>
              <w:bottom w:w="90" w:type="dxa"/>
              <w:right w:w="90" w:type="dxa"/>
            </w:tcMar>
            <w:shd w:fill="E8EDF2"/>
          </w:tcPr>
          <w:p>
            <w:pPr>
              <w:spacing w:after="40" w:before="40" w:line="250" w:lineRule="auto"/>
            </w:pPr>
            <w:r>
              <w:rPr>
                <w:b/>
                <w:sz w:val="18"/>
              </w:rPr>
              <w:t>Year 3</w:t>
            </w:r>
          </w:p>
        </w:tc>
      </w:tr>
      <w:tr>
        <w:trPr>
          <w:cantSplit/>
        </w:trPr>
        <w:tc>
          <w:tcPr>
            <w:tcW w:type="dxa" w:w="1800"/>
            <w:vAlign w:val="center"/>
            <w:tcMar>
              <w:top w:w="90" w:type="dxa"/>
              <w:left w:w="90" w:type="dxa"/>
              <w:bottom w:w="90" w:type="dxa"/>
              <w:right w:w="90" w:type="dxa"/>
            </w:tcMar>
          </w:tcPr>
          <w:p>
            <w:pPr>
              <w:spacing w:after="40" w:before="40" w:line="250" w:lineRule="auto"/>
            </w:pPr>
            <w:r>
              <w:rPr>
                <w:b w:val="0"/>
                <w:sz w:val="18"/>
              </w:rPr>
              <w:t>Direct paid weddings</w:t>
            </w:r>
          </w:p>
        </w:tc>
        <w:tc>
          <w:tcPr>
            <w:tcW w:type="dxa" w:w="3312"/>
            <w:vAlign w:val="center"/>
            <w:tcMar>
              <w:top w:w="90" w:type="dxa"/>
              <w:left w:w="90" w:type="dxa"/>
              <w:bottom w:w="90" w:type="dxa"/>
              <w:right w:w="90" w:type="dxa"/>
            </w:tcMar>
          </w:tcPr>
          <w:p>
            <w:pPr>
              <w:spacing w:after="40" w:before="40" w:line="250" w:lineRule="auto"/>
            </w:pPr>
            <w:r>
              <w:rPr>
                <w:b w:val="0"/>
                <w:sz w:val="18"/>
              </w:rPr>
              <w:t>100</w:t>
            </w:r>
          </w:p>
        </w:tc>
        <w:tc>
          <w:tcPr>
            <w:tcW w:type="dxa" w:w="3240"/>
            <w:vAlign w:val="center"/>
            <w:tcMar>
              <w:top w:w="90" w:type="dxa"/>
              <w:left w:w="90" w:type="dxa"/>
              <w:bottom w:w="90" w:type="dxa"/>
              <w:right w:w="90" w:type="dxa"/>
            </w:tcMar>
          </w:tcPr>
          <w:p>
            <w:pPr>
              <w:spacing w:after="40" w:before="40" w:line="250" w:lineRule="auto"/>
            </w:pPr>
            <w:r>
              <w:rPr>
                <w:b w:val="0"/>
                <w:sz w:val="18"/>
              </w:rPr>
              <w:t>400</w:t>
            </w:r>
          </w:p>
        </w:tc>
        <w:tc>
          <w:tcPr>
            <w:tcW w:type="dxa" w:w="1728"/>
            <w:vAlign w:val="center"/>
            <w:tcMar>
              <w:top w:w="90" w:type="dxa"/>
              <w:left w:w="90" w:type="dxa"/>
              <w:bottom w:w="90" w:type="dxa"/>
              <w:right w:w="90" w:type="dxa"/>
            </w:tcMar>
          </w:tcPr>
          <w:p>
            <w:pPr>
              <w:spacing w:after="40" w:before="40" w:line="250" w:lineRule="auto"/>
            </w:pPr>
            <w:r>
              <w:rPr>
                <w:b w:val="0"/>
                <w:sz w:val="18"/>
              </w:rPr>
              <w:t>1,000</w:t>
            </w:r>
          </w:p>
        </w:tc>
      </w:tr>
      <w:tr>
        <w:trPr>
          <w:cantSplit/>
        </w:trPr>
        <w:tc>
          <w:tcPr>
            <w:tcW w:type="dxa" w:w="1800"/>
            <w:vAlign w:val="center"/>
            <w:tcMar>
              <w:top w:w="90" w:type="dxa"/>
              <w:left w:w="90" w:type="dxa"/>
              <w:bottom w:w="90" w:type="dxa"/>
              <w:right w:w="90" w:type="dxa"/>
            </w:tcMar>
            <w:shd w:fill="F7F8FA"/>
          </w:tcPr>
          <w:p>
            <w:pPr>
              <w:spacing w:after="40" w:before="40" w:line="250" w:lineRule="auto"/>
            </w:pPr>
            <w:r>
              <w:rPr>
                <w:b w:val="0"/>
                <w:sz w:val="18"/>
              </w:rPr>
              <w:t>Average direct package receipt</w:t>
            </w:r>
          </w:p>
        </w:tc>
        <w:tc>
          <w:tcPr>
            <w:tcW w:type="dxa" w:w="3312"/>
            <w:vAlign w:val="center"/>
            <w:tcMar>
              <w:top w:w="90" w:type="dxa"/>
              <w:left w:w="90" w:type="dxa"/>
              <w:bottom w:w="90" w:type="dxa"/>
              <w:right w:w="90" w:type="dxa"/>
            </w:tcMar>
            <w:shd w:fill="F7F8FA"/>
          </w:tcPr>
          <w:p>
            <w:pPr>
              <w:spacing w:after="40" w:before="40" w:line="250" w:lineRule="auto"/>
            </w:pPr>
            <w:r>
              <w:rPr>
                <w:b w:val="0"/>
                <w:sz w:val="18"/>
              </w:rPr>
              <w:t>£99</w:t>
            </w:r>
          </w:p>
        </w:tc>
        <w:tc>
          <w:tcPr>
            <w:tcW w:type="dxa" w:w="3240"/>
            <w:vAlign w:val="center"/>
            <w:tcMar>
              <w:top w:w="90" w:type="dxa"/>
              <w:left w:w="90" w:type="dxa"/>
              <w:bottom w:w="90" w:type="dxa"/>
              <w:right w:w="90" w:type="dxa"/>
            </w:tcMar>
            <w:shd w:fill="F7F8FA"/>
          </w:tcPr>
          <w:p>
            <w:pPr>
              <w:spacing w:after="40" w:before="40" w:line="250" w:lineRule="auto"/>
            </w:pPr>
            <w:r>
              <w:rPr>
                <w:b w:val="0"/>
                <w:sz w:val="18"/>
              </w:rPr>
              <w:t>£109</w:t>
            </w:r>
          </w:p>
        </w:tc>
        <w:tc>
          <w:tcPr>
            <w:tcW w:type="dxa" w:w="1728"/>
            <w:vAlign w:val="center"/>
            <w:tcMar>
              <w:top w:w="90" w:type="dxa"/>
              <w:left w:w="90" w:type="dxa"/>
              <w:bottom w:w="90" w:type="dxa"/>
              <w:right w:w="90" w:type="dxa"/>
            </w:tcMar>
            <w:shd w:fill="F7F8FA"/>
          </w:tcPr>
          <w:p>
            <w:pPr>
              <w:spacing w:after="40" w:before="40" w:line="250" w:lineRule="auto"/>
            </w:pPr>
            <w:r>
              <w:rPr>
                <w:b w:val="0"/>
                <w:sz w:val="18"/>
              </w:rPr>
              <w:t>£119</w:t>
            </w:r>
          </w:p>
        </w:tc>
      </w:tr>
      <w:tr>
        <w:trPr>
          <w:cantSplit/>
        </w:trPr>
        <w:tc>
          <w:tcPr>
            <w:tcW w:type="dxa" w:w="1800"/>
            <w:vAlign w:val="center"/>
            <w:tcMar>
              <w:top w:w="90" w:type="dxa"/>
              <w:left w:w="90" w:type="dxa"/>
              <w:bottom w:w="90" w:type="dxa"/>
              <w:right w:w="90" w:type="dxa"/>
            </w:tcMar>
          </w:tcPr>
          <w:p>
            <w:pPr>
              <w:spacing w:after="40" w:before="40" w:line="250" w:lineRule="auto"/>
            </w:pPr>
            <w:r>
              <w:rPr>
                <w:b w:val="0"/>
                <w:sz w:val="18"/>
              </w:rPr>
              <w:t>Average paid planner accounts</w:t>
            </w:r>
          </w:p>
        </w:tc>
        <w:tc>
          <w:tcPr>
            <w:tcW w:type="dxa" w:w="3312"/>
            <w:vAlign w:val="center"/>
            <w:tcMar>
              <w:top w:w="90" w:type="dxa"/>
              <w:left w:w="90" w:type="dxa"/>
              <w:bottom w:w="90" w:type="dxa"/>
              <w:right w:w="90" w:type="dxa"/>
            </w:tcMar>
          </w:tcPr>
          <w:p>
            <w:pPr>
              <w:spacing w:after="40" w:before="40" w:line="250" w:lineRule="auto"/>
            </w:pPr>
            <w:r>
              <w:rPr>
                <w:b w:val="0"/>
                <w:sz w:val="18"/>
              </w:rPr>
              <w:t>5</w:t>
            </w:r>
          </w:p>
        </w:tc>
        <w:tc>
          <w:tcPr>
            <w:tcW w:type="dxa" w:w="3240"/>
            <w:vAlign w:val="center"/>
            <w:tcMar>
              <w:top w:w="90" w:type="dxa"/>
              <w:left w:w="90" w:type="dxa"/>
              <w:bottom w:w="90" w:type="dxa"/>
              <w:right w:w="90" w:type="dxa"/>
            </w:tcMar>
          </w:tcPr>
          <w:p>
            <w:pPr>
              <w:spacing w:after="40" w:before="40" w:line="250" w:lineRule="auto"/>
            </w:pPr>
            <w:r>
              <w:rPr>
                <w:b w:val="0"/>
                <w:sz w:val="18"/>
              </w:rPr>
              <w:t>15</w:t>
            </w:r>
          </w:p>
        </w:tc>
        <w:tc>
          <w:tcPr>
            <w:tcW w:type="dxa" w:w="1728"/>
            <w:vAlign w:val="center"/>
            <w:tcMar>
              <w:top w:w="90" w:type="dxa"/>
              <w:left w:w="90" w:type="dxa"/>
              <w:bottom w:w="90" w:type="dxa"/>
              <w:right w:w="90" w:type="dxa"/>
            </w:tcMar>
          </w:tcPr>
          <w:p>
            <w:pPr>
              <w:spacing w:after="40" w:before="40" w:line="250" w:lineRule="auto"/>
            </w:pPr>
            <w:r>
              <w:rPr>
                <w:b w:val="0"/>
                <w:sz w:val="18"/>
              </w:rPr>
              <w:t>35</w:t>
            </w:r>
          </w:p>
        </w:tc>
      </w:tr>
      <w:tr>
        <w:trPr>
          <w:cantSplit/>
        </w:trPr>
        <w:tc>
          <w:tcPr>
            <w:tcW w:type="dxa" w:w="1800"/>
            <w:vAlign w:val="center"/>
            <w:tcMar>
              <w:top w:w="90" w:type="dxa"/>
              <w:left w:w="90" w:type="dxa"/>
              <w:bottom w:w="90" w:type="dxa"/>
              <w:right w:w="90" w:type="dxa"/>
            </w:tcMar>
            <w:shd w:fill="F7F8FA"/>
          </w:tcPr>
          <w:p>
            <w:pPr>
              <w:spacing w:after="40" w:before="40" w:line="250" w:lineRule="auto"/>
            </w:pPr>
            <w:r>
              <w:rPr>
                <w:b w:val="0"/>
                <w:sz w:val="18"/>
              </w:rPr>
              <w:t>Planner monthly price</w:t>
            </w:r>
          </w:p>
        </w:tc>
        <w:tc>
          <w:tcPr>
            <w:tcW w:type="dxa" w:w="3312"/>
            <w:vAlign w:val="center"/>
            <w:tcMar>
              <w:top w:w="90" w:type="dxa"/>
              <w:left w:w="90" w:type="dxa"/>
              <w:bottom w:w="90" w:type="dxa"/>
              <w:right w:w="90" w:type="dxa"/>
            </w:tcMar>
            <w:shd w:fill="F7F8FA"/>
          </w:tcPr>
          <w:p>
            <w:pPr>
              <w:spacing w:after="40" w:before="40" w:line="250" w:lineRule="auto"/>
            </w:pPr>
            <w:r>
              <w:rPr>
                <w:b w:val="0"/>
                <w:sz w:val="18"/>
              </w:rPr>
              <w:t>£49</w:t>
            </w:r>
          </w:p>
        </w:tc>
        <w:tc>
          <w:tcPr>
            <w:tcW w:type="dxa" w:w="3240"/>
            <w:vAlign w:val="center"/>
            <w:tcMar>
              <w:top w:w="90" w:type="dxa"/>
              <w:left w:w="90" w:type="dxa"/>
              <w:bottom w:w="90" w:type="dxa"/>
              <w:right w:w="90" w:type="dxa"/>
            </w:tcMar>
            <w:shd w:fill="F7F8FA"/>
          </w:tcPr>
          <w:p>
            <w:pPr>
              <w:spacing w:after="40" w:before="40" w:line="250" w:lineRule="auto"/>
            </w:pPr>
            <w:r>
              <w:rPr>
                <w:b w:val="0"/>
                <w:sz w:val="18"/>
              </w:rPr>
              <w:t>£59</w:t>
            </w:r>
          </w:p>
        </w:tc>
        <w:tc>
          <w:tcPr>
            <w:tcW w:type="dxa" w:w="1728"/>
            <w:vAlign w:val="center"/>
            <w:tcMar>
              <w:top w:w="90" w:type="dxa"/>
              <w:left w:w="90" w:type="dxa"/>
              <w:bottom w:w="90" w:type="dxa"/>
              <w:right w:w="90" w:type="dxa"/>
            </w:tcMar>
            <w:shd w:fill="F7F8FA"/>
          </w:tcPr>
          <w:p>
            <w:pPr>
              <w:spacing w:after="40" w:before="40" w:line="250" w:lineRule="auto"/>
            </w:pPr>
            <w:r>
              <w:rPr>
                <w:b w:val="0"/>
                <w:sz w:val="18"/>
              </w:rPr>
              <w:t>£69</w:t>
            </w:r>
          </w:p>
        </w:tc>
      </w:tr>
      <w:tr>
        <w:trPr>
          <w:cantSplit/>
        </w:trPr>
        <w:tc>
          <w:tcPr>
            <w:tcW w:type="dxa" w:w="1800"/>
            <w:vAlign w:val="center"/>
            <w:tcMar>
              <w:top w:w="90" w:type="dxa"/>
              <w:left w:w="90" w:type="dxa"/>
              <w:bottom w:w="90" w:type="dxa"/>
              <w:right w:w="90" w:type="dxa"/>
            </w:tcMar>
          </w:tcPr>
          <w:p>
            <w:pPr>
              <w:spacing w:after="40" w:before="40" w:line="250" w:lineRule="auto"/>
            </w:pPr>
            <w:r>
              <w:rPr>
                <w:b w:val="0"/>
                <w:sz w:val="18"/>
              </w:rPr>
              <w:t>Total revenue under these assumptions</w:t>
            </w:r>
          </w:p>
        </w:tc>
        <w:tc>
          <w:tcPr>
            <w:tcW w:type="dxa" w:w="3312"/>
            <w:vAlign w:val="center"/>
            <w:tcMar>
              <w:top w:w="90" w:type="dxa"/>
              <w:left w:w="90" w:type="dxa"/>
              <w:bottom w:w="90" w:type="dxa"/>
              <w:right w:w="90" w:type="dxa"/>
            </w:tcMar>
          </w:tcPr>
          <w:p>
            <w:pPr>
              <w:spacing w:after="40" w:before="40" w:line="250" w:lineRule="auto"/>
            </w:pPr>
            <w:r>
              <w:rPr>
                <w:b w:val="0"/>
                <w:sz w:val="18"/>
              </w:rPr>
              <w:t>£12,840</w:t>
            </w:r>
          </w:p>
        </w:tc>
        <w:tc>
          <w:tcPr>
            <w:tcW w:type="dxa" w:w="3240"/>
            <w:vAlign w:val="center"/>
            <w:tcMar>
              <w:top w:w="90" w:type="dxa"/>
              <w:left w:w="90" w:type="dxa"/>
              <w:bottom w:w="90" w:type="dxa"/>
              <w:right w:w="90" w:type="dxa"/>
            </w:tcMar>
          </w:tcPr>
          <w:p>
            <w:pPr>
              <w:spacing w:after="40" w:before="40" w:line="250" w:lineRule="auto"/>
            </w:pPr>
            <w:r>
              <w:rPr>
                <w:b w:val="0"/>
                <w:sz w:val="18"/>
              </w:rPr>
              <w:t>£54,220</w:t>
            </w:r>
          </w:p>
        </w:tc>
        <w:tc>
          <w:tcPr>
            <w:tcW w:type="dxa" w:w="1728"/>
            <w:vAlign w:val="center"/>
            <w:tcMar>
              <w:top w:w="90" w:type="dxa"/>
              <w:left w:w="90" w:type="dxa"/>
              <w:bottom w:w="90" w:type="dxa"/>
              <w:right w:w="90" w:type="dxa"/>
            </w:tcMar>
          </w:tcPr>
          <w:p>
            <w:pPr>
              <w:spacing w:after="40" w:before="40" w:line="250" w:lineRule="auto"/>
            </w:pPr>
            <w:r>
              <w:rPr>
                <w:b w:val="0"/>
                <w:sz w:val="18"/>
              </w:rPr>
              <w:t>£147,980</w:t>
            </w:r>
          </w:p>
        </w:tc>
      </w:tr>
    </w:tbl>
    <w:p>
      <w:pPr>
        <w:spacing w:after="40"/>
      </w:pPr>
    </w:p>
    <w:p>
      <w:r>
        <w:rPr>
          <w:b w:val="0"/>
        </w:rPr>
        <w:t>This is an arithmetic scenario, not a sales forecast. Planner accounts are average active paid accounts over each twelve-month period; their included weddings are excluded from direct paid wedding counts. It does not establish profitability. At an illustrative 30 percent variable cost ratio, contribution before fixed costs and founder pay is £8,988, £37,954 and £103,586 respectively. Replace that ratio with measured storage, AI, export, support and delivery costs.</w:t>
      </w:r>
    </w:p>
    <w:p>
      <w:r>
        <w:rPr>
          <w:b w:val="0"/>
        </w:rPr>
        <w:t>For a £99 wedding package and £30 variable cost, contribution is £69. If acquisition costs £25, £44 remains toward fixed costs. At £2,000 monthly fixed costs, about forty-six equivalent new weddings a month are needed under that simplified mix. Annual first-year revenue above will not fund a full-time founder salary plus a substantial team. A sustainable growth plan needs better channel performance, repeat planner revenue, adequate capital or reduced fixed costs.</w:t>
      </w:r>
    </w:p>
    <w:p>
      <w:r>
        <w:rPr>
          <w:b w:val="0"/>
        </w:rPr>
        <w:t>Stress-test half the conversion, twice the AI and video costs, lower archive renewal and more support. Maintain separate business cash, immigration spending and personal runway. Do not treat any minimum personal maintenance funds as available operating capital.</w:t>
      </w:r>
    </w:p>
    <w:p>
      <w:pPr>
        <w:pStyle w:val="Heading1"/>
      </w:pPr>
      <w:r>
        <w:t>12 Operations trust and intellectual property</w:t>
      </w:r>
    </w:p>
    <w:p>
      <w:r>
        <w:rPr>
          <w:b w:val="0"/>
        </w:rPr>
        <w:t>The founder owns product delivery and evidence collection. Add a planner adviser and a designer on bounded engagements if funded. Establish ownership or licence rights for templates, fonts, photographs and any commissioned code. Registering a brand or acquiring a domain does not prove technical innovation.</w:t>
      </w:r>
    </w:p>
    <w:p>
      <w:r>
        <w:rPr>
          <w:b w:val="0"/>
        </w:rPr>
        <w:t>Publish transparent terms covering service duration, media limits, guest uploads, moderation, deletion, archives and refunds. Determine controller and processor responsibilities for wedding guest data and complete a data-protection assessment before launch. Dietary or accessibility answers can reveal sensitive information and should be optional, limited and protected. The ICO expects privacy to be built into product design and defaults [B5]. Compliance depends on actual operations, not this document alone.</w:t>
      </w:r>
    </w:p>
    <w:p>
      <w:r>
        <w:rPr>
          <w:b w:val="0"/>
        </w:rPr>
        <w:t>Use incident procedures, backups, access logging and tested recovery. Never sell or reuse guest media for AI training without an appropriate lawful arrangement. Guest-upload consent, rights reporting and takedown processes need product support. Confirm third-party international-transfer arrangements when selecting providers.</w:t>
      </w:r>
    </w:p>
    <w:p>
      <w:pPr>
        <w:pStyle w:val="Heading1"/>
      </w:pPr>
      <w:r>
        <w:t>13 Innovator Founder preparation</w:t>
      </w:r>
    </w:p>
    <w:p>
      <w:r>
        <w:rPr>
          <w:b w:val="0"/>
        </w:rPr>
        <w:t>The current Immigration Rules require an endorsed innovative, viable and scalable venture, an instrumental founder with a day-to-day role, a realistic plan matched to resources, and structured plans for growth and job creation [B3]. The proposed UK business needs genuine commercial intent and cannot rely on the immigration motivation alone. This plan is an evidence-building strategy and does not establish that Save The Date qualifies.</w:t>
      </w:r>
    </w:p>
    <w:p>
      <w:r>
        <w:rPr>
          <w:b w:val="0"/>
        </w:rPr>
        <w:t>Map innovation to measured workflow advantages and a current competitor comparison; viability to the prototype, founder contribution, customer demand and credible funding; and scalability to repeatable onboarding, planner distribution and a resource-backed growth plan. Global users can be part of the strategy, but the UK operating plan should identify customers, activities and economic benefit here.</w:t>
      </w:r>
    </w:p>
    <w:p>
      <w:r>
        <w:rPr>
          <w:b w:val="0"/>
        </w:rPr>
        <w:t>An endorsement letter must be issued within the permitted period before the visa application, and the rules include continuing contact-point meetings. Confirm the current rules and approved endorser requirements immediately before submission [B3]. GOV.UK currently lists a £1,000 endorsement fee and £500 for each contact meeting, with at least two meetings during the stay; visa and healthcare costs are additional [B4]. Obtain actual fee and tax terms rather than treating those headline amounts as a complete family budget.</w:t>
      </w:r>
    </w:p>
    <w:p>
      <w:r>
        <w:rPr>
          <w:b w:val="0"/>
        </w:rPr>
        <w:t>Build an indexed evidence pack containing the founder narrative and contribution history; demo and architecture; anonymised interview findings; task comparisons; competitor audit; consented pilot results; paid commitments; business model; cost assumptions and funding evidence; market-sizing method; UK growth and hiring plan; risks; and the current roadmap. Every claim should link to evidence and state its date and limitations.</w:t>
      </w:r>
    </w:p>
    <w:p>
      <w:r>
        <w:rPr>
          <w:b w:val="0"/>
        </w:rPr>
        <w:t>Hiring should follow cash and workload: first a part-time support or operations role when event support becomes persistent; then additional engineering and planner success capability once recurring revenue or committed funding supports it. These are conditional plans, not existing jobs or guaranteed outcomes. Settlement has further business requirements and is not secured merely by initial endorsement.</w:t>
      </w:r>
    </w:p>
    <w:p>
      <w:pPr>
        <w:pStyle w:val="Heading1"/>
      </w:pPr>
      <w:r>
        <w:t>14 Principal risks and responses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4032"/>
      </w:tblGrid>
      <w:tr>
        <w:trPr>
          <w:cantSplit/>
          <w:tblHeader/>
        </w:trPr>
        <w:tc>
          <w:tcPr>
            <w:tcW w:type="dxa" w:w="2376"/>
            <w:vAlign w:val="center"/>
            <w:tcMar>
              <w:top w:w="90" w:type="dxa"/>
              <w:left w:w="90" w:type="dxa"/>
              <w:bottom w:w="90" w:type="dxa"/>
              <w:right w:w="90" w:type="dxa"/>
            </w:tcMar>
            <w:shd w:fill="E8EDF2"/>
          </w:tcPr>
          <w:p>
            <w:pPr>
              <w:spacing w:after="40" w:before="40" w:line="250" w:lineRule="auto"/>
            </w:pPr>
            <w:r>
              <w:rPr>
                <w:b/>
                <w:sz w:val="18"/>
              </w:rPr>
              <w:t>Risk</w:t>
            </w:r>
          </w:p>
        </w:tc>
        <w:tc>
          <w:tcPr>
            <w:tcW w:type="dxa" w:w="3672"/>
            <w:vAlign w:val="center"/>
            <w:tcMar>
              <w:top w:w="90" w:type="dxa"/>
              <w:left w:w="90" w:type="dxa"/>
              <w:bottom w:w="90" w:type="dxa"/>
              <w:right w:w="90" w:type="dxa"/>
            </w:tcMar>
            <w:shd w:fill="E8EDF2"/>
          </w:tcPr>
          <w:p>
            <w:pPr>
              <w:spacing w:after="40" w:before="40" w:line="250" w:lineRule="auto"/>
            </w:pPr>
            <w:r>
              <w:rPr>
                <w:b/>
                <w:sz w:val="18"/>
              </w:rPr>
              <w:t>Practical response</w:t>
            </w:r>
          </w:p>
        </w:tc>
        <w:tc>
          <w:tcPr>
            <w:tcW w:type="dxa" w:w="4032"/>
            <w:vAlign w:val="center"/>
            <w:tcMar>
              <w:top w:w="90" w:type="dxa"/>
              <w:left w:w="90" w:type="dxa"/>
              <w:bottom w:w="90" w:type="dxa"/>
              <w:right w:w="90" w:type="dxa"/>
            </w:tcMar>
            <w:shd w:fill="E8EDF2"/>
          </w:tcPr>
          <w:p>
            <w:pPr>
              <w:spacing w:after="40" w:before="40" w:line="250" w:lineRule="auto"/>
            </w:pPr>
            <w:r>
              <w:rPr>
                <w:b/>
                <w:sz w:val="18"/>
              </w:rPr>
              <w:t>Trigger to reconsider</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Crowded market and weak innovation</w:t>
            </w:r>
          </w:p>
        </w:tc>
        <w:tc>
          <w:tcPr>
            <w:tcW w:type="dxa" w:w="3672"/>
            <w:vAlign w:val="center"/>
            <w:tcMar>
              <w:top w:w="90" w:type="dxa"/>
              <w:left w:w="90" w:type="dxa"/>
              <w:bottom w:w="90" w:type="dxa"/>
              <w:right w:w="90" w:type="dxa"/>
            </w:tcMar>
          </w:tcPr>
          <w:p>
            <w:pPr>
              <w:spacing w:after="40" w:before="40" w:line="250" w:lineRule="auto"/>
            </w:pPr>
            <w:r>
              <w:rPr>
                <w:b w:val="0"/>
                <w:sz w:val="18"/>
              </w:rPr>
              <w:t>Benchmark complete tasks and test a narrow planner workflow</w:t>
            </w:r>
          </w:p>
        </w:tc>
        <w:tc>
          <w:tcPr>
            <w:tcW w:type="dxa" w:w="4032"/>
            <w:vAlign w:val="center"/>
            <w:tcMar>
              <w:top w:w="90" w:type="dxa"/>
              <w:left w:w="90" w:type="dxa"/>
              <w:bottom w:w="90" w:type="dxa"/>
              <w:right w:w="90" w:type="dxa"/>
            </w:tcMar>
          </w:tcPr>
          <w:p>
            <w:pPr>
              <w:spacing w:after="40" w:before="40" w:line="250" w:lineRule="auto"/>
            </w:pPr>
            <w:r>
              <w:rPr>
                <w:b w:val="0"/>
                <w:sz w:val="18"/>
              </w:rPr>
              <w:t>No meaningful advantage over tested alternatives</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Founder capacity below scope</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Keep four invitation families and two site themes; delay enhancements</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Persistent missed gates or unverified critical flows</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Free alternatives depress pricing</w:t>
            </w:r>
          </w:p>
        </w:tc>
        <w:tc>
          <w:tcPr>
            <w:tcW w:type="dxa" w:w="3672"/>
            <w:vAlign w:val="center"/>
            <w:tcMar>
              <w:top w:w="90" w:type="dxa"/>
              <w:left w:w="90" w:type="dxa"/>
              <w:bottom w:w="90" w:type="dxa"/>
              <w:right w:w="90" w:type="dxa"/>
            </w:tcMar>
          </w:tcPr>
          <w:p>
            <w:pPr>
              <w:spacing w:after="40" w:before="40" w:line="250" w:lineRule="auto"/>
            </w:pPr>
            <w:r>
              <w:rPr>
                <w:b w:val="0"/>
                <w:sz w:val="18"/>
              </w:rPr>
              <w:t>Test planner distribution and paid commitments early</w:t>
            </w:r>
          </w:p>
        </w:tc>
        <w:tc>
          <w:tcPr>
            <w:tcW w:type="dxa" w:w="4032"/>
            <w:vAlign w:val="center"/>
            <w:tcMar>
              <w:top w:w="90" w:type="dxa"/>
              <w:left w:w="90" w:type="dxa"/>
              <w:bottom w:w="90" w:type="dxa"/>
              <w:right w:w="90" w:type="dxa"/>
            </w:tcMar>
          </w:tcPr>
          <w:p>
            <w:pPr>
              <w:spacing w:after="40" w:before="40" w:line="250" w:lineRule="auto"/>
            </w:pPr>
            <w:r>
              <w:rPr>
                <w:b w:val="0"/>
                <w:sz w:val="18"/>
              </w:rPr>
              <w:t>No willingness to pay outside personal network</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AI makes impractical concepts</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Record constraints assumptions and human approval</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Planners repeatedly reject briefs</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Admission failure at an event</w:t>
            </w:r>
          </w:p>
        </w:tc>
        <w:tc>
          <w:tcPr>
            <w:tcW w:type="dxa" w:w="3672"/>
            <w:vAlign w:val="center"/>
            <w:tcMar>
              <w:top w:w="90" w:type="dxa"/>
              <w:left w:w="90" w:type="dxa"/>
              <w:bottom w:w="90" w:type="dxa"/>
              <w:right w:w="90" w:type="dxa"/>
            </w:tcMar>
          </w:tcPr>
          <w:p>
            <w:pPr>
              <w:spacing w:after="40" w:before="40" w:line="250" w:lineRule="auto"/>
            </w:pPr>
            <w:r>
              <w:rPr>
                <w:b w:val="0"/>
                <w:sz w:val="18"/>
              </w:rPr>
              <w:t>Online atomic redemption tested under contention; connectivity plan</w:t>
            </w:r>
          </w:p>
        </w:tc>
        <w:tc>
          <w:tcPr>
            <w:tcW w:type="dxa" w:w="4032"/>
            <w:vAlign w:val="center"/>
            <w:tcMar>
              <w:top w:w="90" w:type="dxa"/>
              <w:left w:w="90" w:type="dxa"/>
              <w:bottom w:w="90" w:type="dxa"/>
              <w:right w:w="90" w:type="dxa"/>
            </w:tcMar>
          </w:tcPr>
          <w:p>
            <w:pPr>
              <w:spacing w:after="40" w:before="40" w:line="250" w:lineRule="auto"/>
            </w:pPr>
            <w:r>
              <w:rPr>
                <w:b w:val="0"/>
                <w:sz w:val="18"/>
              </w:rPr>
              <w:t>Duplicate admission or unreliable internet</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Media costs exceed plan</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Quotas retention policy and measured per-wedding cost</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Variable cost erodes contribution</w:t>
            </w:r>
          </w:p>
        </w:tc>
      </w:tr>
      <w:tr>
        <w:trPr>
          <w:cantSplit/>
        </w:trPr>
        <w:tc>
          <w:tcPr>
            <w:tcW w:type="dxa" w:w="2376"/>
            <w:vAlign w:val="center"/>
            <w:tcMar>
              <w:top w:w="90" w:type="dxa"/>
              <w:left w:w="90" w:type="dxa"/>
              <w:bottom w:w="90" w:type="dxa"/>
              <w:right w:w="90" w:type="dxa"/>
            </w:tcMar>
          </w:tcPr>
          <w:p>
            <w:pPr>
              <w:spacing w:after="40" w:before="40" w:line="250" w:lineRule="auto"/>
            </w:pPr>
            <w:r>
              <w:rPr>
                <w:b w:val="0"/>
                <w:sz w:val="18"/>
              </w:rPr>
              <w:t>Privacy or upload abuse</w:t>
            </w:r>
          </w:p>
        </w:tc>
        <w:tc>
          <w:tcPr>
            <w:tcW w:type="dxa" w:w="3672"/>
            <w:vAlign w:val="center"/>
            <w:tcMar>
              <w:top w:w="90" w:type="dxa"/>
              <w:left w:w="90" w:type="dxa"/>
              <w:bottom w:w="90" w:type="dxa"/>
              <w:right w:w="90" w:type="dxa"/>
            </w:tcMar>
          </w:tcPr>
          <w:p>
            <w:pPr>
              <w:spacing w:after="40" w:before="40" w:line="250" w:lineRule="auto"/>
            </w:pPr>
            <w:r>
              <w:rPr>
                <w:b w:val="0"/>
                <w:sz w:val="18"/>
              </w:rPr>
              <w:t>Private defaults moderation deletion and scoped access</w:t>
            </w:r>
          </w:p>
        </w:tc>
        <w:tc>
          <w:tcPr>
            <w:tcW w:type="dxa" w:w="4032"/>
            <w:vAlign w:val="center"/>
            <w:tcMar>
              <w:top w:w="90" w:type="dxa"/>
              <w:left w:w="90" w:type="dxa"/>
              <w:bottom w:w="90" w:type="dxa"/>
              <w:right w:w="90" w:type="dxa"/>
            </w:tcMar>
          </w:tcPr>
          <w:p>
            <w:pPr>
              <w:spacing w:after="40" w:before="40" w:line="250" w:lineRule="auto"/>
            </w:pPr>
            <w:r>
              <w:rPr>
                <w:b w:val="0"/>
                <w:sz w:val="18"/>
              </w:rPr>
              <w:t>Uncontrolled exposure or repeated abuse</w:t>
            </w:r>
          </w:p>
        </w:tc>
      </w:tr>
      <w:tr>
        <w:trPr>
          <w:cantSplit/>
        </w:trPr>
        <w:tc>
          <w:tcPr>
            <w:tcW w:type="dxa" w:w="2376"/>
            <w:vAlign w:val="center"/>
            <w:tcMar>
              <w:top w:w="90" w:type="dxa"/>
              <w:left w:w="90" w:type="dxa"/>
              <w:bottom w:w="90" w:type="dxa"/>
              <w:right w:w="90" w:type="dxa"/>
            </w:tcMar>
            <w:shd w:fill="F7F8FA"/>
          </w:tcPr>
          <w:p>
            <w:pPr>
              <w:spacing w:after="40" w:before="40" w:line="250" w:lineRule="auto"/>
            </w:pPr>
            <w:r>
              <w:rPr>
                <w:b w:val="0"/>
                <w:sz w:val="18"/>
              </w:rPr>
              <w:t>Endorsement timeline pressure</w:t>
            </w:r>
          </w:p>
        </w:tc>
        <w:tc>
          <w:tcPr>
            <w:tcW w:type="dxa" w:w="3672"/>
            <w:vAlign w:val="center"/>
            <w:tcMar>
              <w:top w:w="90" w:type="dxa"/>
              <w:left w:w="90" w:type="dxa"/>
              <w:bottom w:w="90" w:type="dxa"/>
              <w:right w:w="90" w:type="dxa"/>
            </w:tcMar>
            <w:shd w:fill="F7F8FA"/>
          </w:tcPr>
          <w:p>
            <w:pPr>
              <w:spacing w:after="40" w:before="40" w:line="250" w:lineRule="auto"/>
            </w:pPr>
            <w:r>
              <w:rPr>
                <w:b w:val="0"/>
                <w:sz w:val="18"/>
              </w:rPr>
              <w:t>Apply only after evidence review; protect runway</w:t>
            </w:r>
          </w:p>
        </w:tc>
        <w:tc>
          <w:tcPr>
            <w:tcW w:type="dxa" w:w="4032"/>
            <w:vAlign w:val="center"/>
            <w:tcMar>
              <w:top w:w="90" w:type="dxa"/>
              <w:left w:w="90" w:type="dxa"/>
              <w:bottom w:w="90" w:type="dxa"/>
              <w:right w:w="90" w:type="dxa"/>
            </w:tcMar>
            <w:shd w:fill="F7F8FA"/>
          </w:tcPr>
          <w:p>
            <w:pPr>
              <w:spacing w:after="40" w:before="40" w:line="250" w:lineRule="auto"/>
            </w:pPr>
            <w:r>
              <w:rPr>
                <w:b w:val="0"/>
                <w:sz w:val="18"/>
              </w:rPr>
              <w:t>Product claims outpace evidence</w:t>
            </w:r>
          </w:p>
        </w:tc>
      </w:tr>
    </w:tbl>
    <w:p>
      <w:pPr>
        <w:spacing w:after="40"/>
      </w:pPr>
    </w:p>
    <w:p>
      <w:pPr>
        <w:pStyle w:val="Heading1"/>
      </w:pPr>
      <w:r>
        <w:t>15 Next decisions</w:t>
      </w:r>
    </w:p>
    <w:p>
      <w:r>
        <w:rPr>
          <w:b w:val="0"/>
        </w:rPr>
        <w:t>During week one, confirm weekly capacity, available operating funds, who the founder and owners are, launch geography, initial archive term and pilot recruitment route. Agree the MVP gates in the PRD before development starts. Choose hosting and database implementations only after reviewing their operational requirements; the TRD keeps those choices behind explicit interfaces.</w:t>
      </w:r>
    </w:p>
    <w:p>
      <w:pPr>
        <w:pStyle w:val="Heading1"/>
      </w:pPr>
      <w:r>
        <w:t>16 Sources and document boundaries</w:t>
      </w:r>
    </w:p>
    <w:p>
      <w:r>
        <w:rPr>
          <w:b w:val="0"/>
        </w:rPr>
        <w:t>References checked on 12 October 2026. Competitor pages are self-reported capabilities. Prices and rules may change; recheck before relying on them. The existing-app baseline comes from the supplied description, not these sources.</w:t>
      </w:r>
    </w:p>
    <w:p>
      <w:r>
        <w:rPr>
          <w:b w:val="0"/>
          <w:sz w:val="18"/>
        </w:rPr>
        <w:t>[B1] Joy Online RSVP https://withjoy.com/online-rsvp/</w:t>
      </w:r>
    </w:p>
    <w:p>
      <w:r>
        <w:rPr>
          <w:b w:val="0"/>
          <w:sz w:val="18"/>
        </w:rPr>
        <w:t>[B2] Vowesta product overview https://vowesta.com/</w:t>
      </w:r>
    </w:p>
    <w:p>
      <w:r>
        <w:rPr>
          <w:b w:val="0"/>
          <w:sz w:val="18"/>
        </w:rPr>
        <w:t>[B3] Home Office Immigration Rules Appendix Innovator Founder especially INNF 6 and 8 https://www.gov.uk/guidance/immigration-rules/immigration-rules-appendix-innovator-founder</w:t>
      </w:r>
    </w:p>
    <w:p>
      <w:r>
        <w:rPr>
          <w:b w:val="0"/>
          <w:sz w:val="18"/>
        </w:rPr>
        <w:t>[B4] GOV UK Innovator Founder visa overview https://www.gov.uk/innovator-founder-visa</w:t>
      </w:r>
    </w:p>
    <w:p>
      <w:r>
        <w:rPr>
          <w:b w:val="0"/>
          <w:sz w:val="18"/>
        </w:rPr>
        <w:t>[B5] ICO Data protection by design and by default https://ico.org.uk/for-organisations/uk-gdpr-guidance-and-resources/accountability-and-governance/guide-to-accountability-and-governance/data-protection-by-design-and-by-default</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Version 1.0  |  12 October 2026</w:t>
    </w:r>
    <w:r>
      <w:t xml:space="preserve">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SAVE THE DATE  |  BUSINESS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Save The Date Business Plan</dc:title>
  <dc:subject>Save The Date product and venture specification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