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0F1C" w14:textId="77777777" w:rsidR="009F6DEC" w:rsidRDefault="00101D4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FactSet fundamentals data set</w:t>
      </w:r>
    </w:p>
    <w:p w14:paraId="1D6587DB" w14:textId="77777777" w:rsidR="009F6DEC" w:rsidRDefault="009F6DEC"/>
    <w:p w14:paraId="5B199880" w14:textId="77777777" w:rsidR="009F6DEC" w:rsidRDefault="009F6DEC"/>
    <w:p w14:paraId="7FFC4C53" w14:textId="77777777" w:rsidR="009F6DEC" w:rsidRDefault="00101D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Columns in the data set</w:t>
      </w:r>
    </w:p>
    <w:p w14:paraId="0D090697" w14:textId="77777777" w:rsidR="009F6DEC" w:rsidRDefault="009F6DE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6DEC" w14:paraId="7A9B45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7AD7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557D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F6DEC" w14:paraId="4694E7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DAFC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FS_PERM_SEC_ID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C831" w14:textId="77777777" w:rsidR="009F6DEC" w:rsidRDefault="00101D47">
            <w:pPr>
              <w:widowControl w:val="0"/>
              <w:spacing w:line="240" w:lineRule="auto"/>
            </w:pPr>
            <w:r>
              <w:t xml:space="preserve">Unique key generated by </w:t>
            </w:r>
            <w:proofErr w:type="spellStart"/>
            <w:r>
              <w:t>factSet</w:t>
            </w:r>
            <w:proofErr w:type="spellEnd"/>
            <w:r>
              <w:t xml:space="preserve"> for each company</w:t>
            </w:r>
          </w:p>
        </w:tc>
      </w:tr>
      <w:tr w:rsidR="009F6DEC" w14:paraId="61A5B0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C319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8D11" w14:textId="77777777" w:rsidR="009F6DEC" w:rsidRDefault="00101D47">
            <w:pPr>
              <w:widowControl w:val="0"/>
              <w:spacing w:line="240" w:lineRule="auto"/>
            </w:pPr>
            <w:r>
              <w:t>S&amp;P’s company code. Not really a unique code. But we may need this later</w:t>
            </w:r>
          </w:p>
        </w:tc>
      </w:tr>
      <w:tr w:rsidR="009F6DEC" w14:paraId="52E7E4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90A4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AA16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ticker. May change with time</w:t>
            </w:r>
          </w:p>
        </w:tc>
      </w:tr>
      <w:tr w:rsidR="009F6DEC" w14:paraId="31C1F2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8D19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EXCOUNTRY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B260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Exchange on which the stock is traded. To be used to remove </w:t>
            </w:r>
            <w:proofErr w:type="spellStart"/>
            <w:r>
              <w:t>canadian</w:t>
            </w:r>
            <w:proofErr w:type="spellEnd"/>
            <w:r>
              <w:t xml:space="preserve"> stocks from data</w:t>
            </w:r>
          </w:p>
        </w:tc>
      </w:tr>
      <w:tr w:rsidR="009F6DEC" w14:paraId="0C9BDF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7746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PRIMARY_SEC_CODE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AFB8" w14:textId="77777777" w:rsidR="009F6DEC" w:rsidRDefault="00101D47">
            <w:pPr>
              <w:widowControl w:val="0"/>
              <w:spacing w:line="240" w:lineRule="auto"/>
            </w:pPr>
            <w:r>
              <w:t>Industry or sector. Provided by the commerce department</w:t>
            </w:r>
          </w:p>
        </w:tc>
      </w:tr>
      <w:tr w:rsidR="009F6DEC" w14:paraId="6FD21C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E514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ZIP_POSTAL_CODE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1EA2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Zip code of the firm’s HQ. Not expected to be used in modeling</w:t>
            </w:r>
          </w:p>
        </w:tc>
      </w:tr>
      <w:tr w:rsidR="009F6DEC" w14:paraId="165CCE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C11D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FF_COMPACT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5DC2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if firm is active. 0 if firm is active. Need to investigate how inactive firms have financial results</w:t>
            </w:r>
          </w:p>
        </w:tc>
      </w:tr>
      <w:tr w:rsidR="009F6DEC" w14:paraId="4F7542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2A43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FF_MKT_VAL_CURR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EF68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 cap of the firm. Relevant because analysis may be restricted to most valuable 500 stocks</w:t>
            </w:r>
          </w:p>
        </w:tc>
      </w:tr>
      <w:tr w:rsidR="009F6DEC" w14:paraId="51D74A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2A61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FF_IS_ADR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B27D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if stock is an ADR. May choose to ignore ADR’s</w:t>
            </w:r>
          </w:p>
        </w:tc>
      </w:tr>
      <w:tr w:rsidR="009F6DEC" w14:paraId="3673B7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F801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FF_SECAT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2949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Similar to FF_COMPACT. However 0 if stock is inactive (not the firm)</w:t>
            </w:r>
          </w:p>
        </w:tc>
      </w:tr>
      <w:tr w:rsidR="009F6DEC" w14:paraId="73F7CD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0C7" w14:textId="77777777" w:rsidR="009F6DEC" w:rsidRDefault="00101D4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C2D8" w14:textId="77777777" w:rsidR="009F6DEC" w:rsidRDefault="00101D47">
            <w:pPr>
              <w:widowControl w:val="0"/>
              <w:spacing w:line="240" w:lineRule="auto"/>
            </w:pPr>
            <w:r>
              <w:t>Date in YYYYMMDD format</w:t>
            </w:r>
          </w:p>
        </w:tc>
      </w:tr>
      <w:tr w:rsidR="009F6DEC" w14:paraId="5A0881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23E5" w14:textId="77777777" w:rsidR="009F6DEC" w:rsidRDefault="00101D47">
            <w:pPr>
              <w:widowControl w:val="0"/>
              <w:spacing w:line="240" w:lineRule="auto"/>
            </w:pPr>
            <w:r>
              <w:t>FF_COM_SHS_OUT_EPS_DIL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A87C" w14:textId="77777777" w:rsidR="009F6DEC" w:rsidRDefault="00101D47">
            <w:pPr>
              <w:widowControl w:val="0"/>
              <w:spacing w:line="240" w:lineRule="auto"/>
            </w:pPr>
            <w:r>
              <w:t>Total no. of diluted shares. This variable may be important to derive another ratio</w:t>
            </w:r>
          </w:p>
        </w:tc>
      </w:tr>
      <w:tr w:rsidR="009F6DEC" w14:paraId="3B23F3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4121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FF_RECEIV_ST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4A08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Account receivables. The intention is to use </w:t>
            </w:r>
            <w:proofErr w:type="spellStart"/>
            <w:r>
              <w:t>a</w:t>
            </w:r>
            <w:proofErr w:type="spellEnd"/>
            <w:r>
              <w:t xml:space="preserve"> account/receivable feature to study inventory build up</w:t>
            </w:r>
          </w:p>
        </w:tc>
      </w:tr>
      <w:tr w:rsidR="009F6DEC" w14:paraId="2C186B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5E43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FF_CURR_RATIO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2467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accounting ratio that indicates the cash liquidity situation at the firm</w:t>
            </w:r>
          </w:p>
        </w:tc>
      </w:tr>
      <w:tr w:rsidR="009F6DEC" w14:paraId="04A14D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26AB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FF_GROSS_MGN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4F3A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Gross margin = Gross profit / revenue</w:t>
            </w:r>
          </w:p>
        </w:tc>
      </w:tr>
      <w:tr w:rsidR="009F6DEC" w14:paraId="75040D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CA7E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FF_NET_MGN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16F1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 margin = Net income / revenue</w:t>
            </w:r>
          </w:p>
        </w:tc>
      </w:tr>
      <w:tr w:rsidR="009F6DEC" w14:paraId="412EC7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E5E0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FF_PBK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959F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Price/Book ratio</w:t>
            </w:r>
          </w:p>
        </w:tc>
      </w:tr>
      <w:tr w:rsidR="009F6DEC" w14:paraId="6151F0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68AE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FF_ROA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AED5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on total assets (an accounting ratio)</w:t>
            </w:r>
          </w:p>
        </w:tc>
      </w:tr>
      <w:tr w:rsidR="009F6DEC" w14:paraId="101485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F828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FF_ROE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EC07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on equity (very imp accounting ratio)</w:t>
            </w:r>
          </w:p>
        </w:tc>
      </w:tr>
      <w:tr w:rsidR="009F6DEC" w14:paraId="450AFA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6CCD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FF_ROTC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F9B2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on total capital (an accounting ratio)</w:t>
            </w:r>
          </w:p>
        </w:tc>
      </w:tr>
      <w:tr w:rsidR="009F6DEC" w14:paraId="593DA9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D81F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FF_LTD_COM_EQ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FC59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 term debt/equity</w:t>
            </w:r>
          </w:p>
        </w:tc>
      </w:tr>
      <w:tr w:rsidR="009F6DEC" w14:paraId="2EA464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B6A3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FF_DIL_PE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4D4D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 to Earnings ratio diluted</w:t>
            </w:r>
          </w:p>
        </w:tc>
      </w:tr>
      <w:tr w:rsidR="009F6DEC" w14:paraId="44EEC1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1B86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FF_PFCF_DIL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D499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 to free cash flow ratio</w:t>
            </w:r>
          </w:p>
        </w:tc>
      </w:tr>
      <w:tr w:rsidR="009F6DEC" w14:paraId="373CF9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D17F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FF_PSALES_DIL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BF8B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 to sales ratio</w:t>
            </w:r>
          </w:p>
        </w:tc>
      </w:tr>
      <w:tr w:rsidR="009F6DEC" w14:paraId="488290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6BB0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FF_SALES__PS_GR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0CB7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Sales growth in the last 1 year</w:t>
            </w:r>
          </w:p>
        </w:tc>
      </w:tr>
      <w:tr w:rsidR="009F6DEC" w14:paraId="6D5F27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53B9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FF_TAX_RATE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ED8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Tax rate of the firm</w:t>
            </w:r>
          </w:p>
        </w:tc>
      </w:tr>
      <w:tr w:rsidR="009F6DEC" w14:paraId="101CBE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F54C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FF_ZSCORE -- ALTMAN’S Z SCORE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4AE2" w14:textId="77777777" w:rsidR="009F6DEC" w:rsidRDefault="00101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Z score is a popular score used to comprehensively measure a firm’s financial strength</w:t>
            </w:r>
          </w:p>
        </w:tc>
      </w:tr>
    </w:tbl>
    <w:p w14:paraId="64CDC22F" w14:textId="77777777" w:rsidR="001857BF" w:rsidRDefault="001857BF"/>
    <w:sectPr w:rsidR="001857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6DEC"/>
    <w:rsid w:val="00101D47"/>
    <w:rsid w:val="001857BF"/>
    <w:rsid w:val="009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870A"/>
  <w15:docId w15:val="{863B34A3-D64A-4D0B-8E67-B5C964C7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joshnaanjani@gmail.com</cp:lastModifiedBy>
  <cp:revision>4</cp:revision>
  <dcterms:created xsi:type="dcterms:W3CDTF">2021-09-01T23:54:00Z</dcterms:created>
  <dcterms:modified xsi:type="dcterms:W3CDTF">2021-09-02T00:51:00Z</dcterms:modified>
</cp:coreProperties>
</file>