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5B6573"/>
          <w:sz w:val="18"/>
        </w:rPr>
        <w:t>SUPERVISED LEARNING  /  CLASSIFICATION</w:t>
      </w:r>
    </w:p>
    <w:p>
      <w:pPr>
        <w:pStyle w:val="Title"/>
      </w:pPr>
      <w:r>
        <w:t>Customer Churn</w:t>
        <w:br/>
        <w:t>Classification</w:t>
      </w:r>
    </w:p>
    <w:p>
      <w:pPr>
        <w:spacing w:after="160"/>
      </w:pPr>
      <w:r>
        <w:rPr>
          <w:color w:val="5B6573"/>
          <w:sz w:val="22"/>
        </w:rPr>
        <w:t>Project Report | Model comparison, cross-validation and test-set evaluation</w:t>
      </w:r>
    </w:p>
    <w:p>
      <w:pPr>
        <w:pStyle w:val="Heading1"/>
      </w:pPr>
      <w:r>
        <w:t>Executive summary</w:t>
      </w:r>
    </w:p>
    <w:p>
      <w:r>
        <w:t>This project compares three supervised classifiers for predicting whether a customer will churn. The provided CSV contains 5,880 customers, with churn represented in 49.29% of rows. Random Forest is the strongest candidate by mean five-fold cross-validation ROC-AUC (0.5031), but its held-out test ROC-AUC is 0.4982. This is essentially random ranking, so the current model is not suitable for deployment and the data should be investigated before making business decisions.</w:t>
      </w:r>
    </w:p>
    <w:p>
      <w:pPr>
        <w:pStyle w:val="Heading2"/>
      </w:pPr>
      <w:r>
        <w:t>Dataset profile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center"/>
            <w:shd w:fill="17365D"/>
          </w:tcPr>
          <w:p>
            <w:r>
              <w:rPr>
                <w:b/>
                <w:color w:val="FFFFFF"/>
                <w:sz w:val="18"/>
              </w:rPr>
              <w:t>Item</w:t>
            </w:r>
          </w:p>
        </w:tc>
        <w:tc>
          <w:tcPr>
            <w:tcW w:type="dxa" w:w="5083"/>
            <w:vAlign w:val="center"/>
            <w:shd w:fill="17365D"/>
          </w:tcPr>
          <w:p>
            <w:r>
              <w:rPr>
                <w:b/>
                <w:color w:val="FFFFFF"/>
                <w:sz w:val="18"/>
              </w:rPr>
              <w:t>Observed value</w:t>
            </w:r>
          </w:p>
        </w:tc>
      </w:tr>
      <w:tr>
        <w:trPr>
          <w:cantSplit/>
        </w:trPr>
        <w:tc>
          <w:tcPr>
            <w:tcW w:type="dxa" w:w="5083"/>
            <w:vAlign w:val="center"/>
          </w:tcPr>
          <w:p>
            <w:pPr>
              <w:spacing w:after="20" w:before="20"/>
            </w:pPr>
            <w:r>
              <w:rPr>
                <w:sz w:val="18"/>
              </w:rPr>
              <w:t>Rows</w:t>
            </w:r>
          </w:p>
        </w:tc>
        <w:tc>
          <w:tcPr>
            <w:tcW w:type="dxa" w:w="5083"/>
            <w:vAlign w:val="center"/>
          </w:tcPr>
          <w:p>
            <w:pPr>
              <w:spacing w:after="20" w:before="20"/>
            </w:pPr>
            <w:r>
              <w:rPr>
                <w:sz w:val="18"/>
              </w:rPr>
              <w:t>5,880 customer records</w:t>
            </w:r>
          </w:p>
        </w:tc>
      </w:tr>
      <w:tr>
        <w:trPr>
          <w:cantSplit/>
        </w:trPr>
        <w:tc>
          <w:tcPr>
            <w:tcW w:type="dxa" w:w="5083"/>
            <w:vAlign w:val="center"/>
            <w:shd w:fill="F3F6F9"/>
          </w:tcPr>
          <w:p>
            <w:pPr>
              <w:spacing w:after="20" w:before="20"/>
            </w:pPr>
            <w:r>
              <w:rPr>
                <w:sz w:val="18"/>
              </w:rPr>
              <w:t>Original columns</w:t>
            </w:r>
          </w:p>
        </w:tc>
        <w:tc>
          <w:tcPr>
            <w:tcW w:type="dxa" w:w="5083"/>
            <w:vAlign w:val="center"/>
            <w:shd w:fill="F3F6F9"/>
          </w:tcPr>
          <w:p>
            <w:pPr>
              <w:spacing w:after="20" w:before="20"/>
            </w:pPr>
            <w:r>
              <w:rPr>
                <w:sz w:val="18"/>
              </w:rPr>
              <w:t>21, including customerID and Churn</w:t>
            </w:r>
          </w:p>
        </w:tc>
      </w:tr>
      <w:tr>
        <w:trPr>
          <w:cantSplit/>
        </w:trPr>
        <w:tc>
          <w:tcPr>
            <w:tcW w:type="dxa" w:w="5083"/>
            <w:vAlign w:val="center"/>
          </w:tcPr>
          <w:p>
            <w:pPr>
              <w:spacing w:after="20" w:before="20"/>
            </w:pPr>
            <w:r>
              <w:rPr>
                <w:sz w:val="18"/>
              </w:rPr>
              <w:t>Model input features</w:t>
            </w:r>
          </w:p>
        </w:tc>
        <w:tc>
          <w:tcPr>
            <w:tcW w:type="dxa" w:w="5083"/>
            <w:vAlign w:val="center"/>
          </w:tcPr>
          <w:p>
            <w:pPr>
              <w:spacing w:after="20" w:before="20"/>
            </w:pPr>
            <w:r>
              <w:rPr>
                <w:sz w:val="18"/>
              </w:rPr>
              <w:t>19 after removing the identifier and target</w:t>
            </w:r>
          </w:p>
        </w:tc>
      </w:tr>
      <w:tr>
        <w:trPr>
          <w:cantSplit/>
        </w:trPr>
        <w:tc>
          <w:tcPr>
            <w:tcW w:type="dxa" w:w="5083"/>
            <w:vAlign w:val="center"/>
            <w:shd w:fill="F3F6F9"/>
          </w:tcPr>
          <w:p>
            <w:pPr>
              <w:spacing w:after="20" w:before="20"/>
            </w:pPr>
            <w:r>
              <w:rPr>
                <w:sz w:val="18"/>
              </w:rPr>
              <w:t>Feature types</w:t>
            </w:r>
          </w:p>
        </w:tc>
        <w:tc>
          <w:tcPr>
            <w:tcW w:type="dxa" w:w="5083"/>
            <w:vAlign w:val="center"/>
            <w:shd w:fill="F3F6F9"/>
          </w:tcPr>
          <w:p>
            <w:pPr>
              <w:spacing w:after="20" w:before="20"/>
            </w:pPr>
            <w:r>
              <w:rPr>
                <w:sz w:val="18"/>
              </w:rPr>
              <w:t>15 categorical and 4 numerical</w:t>
            </w:r>
          </w:p>
        </w:tc>
      </w:tr>
      <w:tr>
        <w:trPr>
          <w:cantSplit/>
        </w:trPr>
        <w:tc>
          <w:tcPr>
            <w:tcW w:type="dxa" w:w="5083"/>
            <w:vAlign w:val="center"/>
          </w:tcPr>
          <w:p>
            <w:pPr>
              <w:spacing w:after="20" w:before="20"/>
            </w:pPr>
            <w:r>
              <w:rPr>
                <w:sz w:val="18"/>
              </w:rPr>
              <w:t>Target distribution</w:t>
            </w:r>
          </w:p>
        </w:tc>
        <w:tc>
          <w:tcPr>
            <w:tcW w:type="dxa" w:w="5083"/>
            <w:vAlign w:val="center"/>
          </w:tcPr>
          <w:p>
            <w:pPr>
              <w:spacing w:after="20" w:before="20"/>
            </w:pPr>
            <w:r>
              <w:rPr>
                <w:sz w:val="18"/>
              </w:rPr>
              <w:t>2,898 churned (49.29%); 2,982 not churned (50.71%)</w:t>
            </w:r>
          </w:p>
        </w:tc>
      </w:tr>
      <w:tr>
        <w:trPr>
          <w:cantSplit/>
        </w:trPr>
        <w:tc>
          <w:tcPr>
            <w:tcW w:type="dxa" w:w="5083"/>
            <w:vAlign w:val="center"/>
            <w:shd w:fill="F3F6F9"/>
          </w:tcPr>
          <w:p>
            <w:pPr>
              <w:spacing w:after="20" w:before="20"/>
            </w:pPr>
            <w:r>
              <w:rPr>
                <w:sz w:val="18"/>
              </w:rPr>
              <w:t>Missing cells in supplied CSV</w:t>
            </w:r>
          </w:p>
        </w:tc>
        <w:tc>
          <w:tcPr>
            <w:tcW w:type="dxa" w:w="5083"/>
            <w:vAlign w:val="center"/>
            <w:shd w:fill="F3F6F9"/>
          </w:tcPr>
          <w:p>
            <w:pPr>
              <w:spacing w:after="20" w:before="20"/>
            </w:pPr>
            <w:r>
              <w:rPr>
                <w:sz w:val="18"/>
              </w:rPr>
              <w:t>0 observed before preprocessing</w:t>
            </w:r>
          </w:p>
        </w:tc>
      </w:tr>
    </w:tbl>
    <w:p>
      <w:pPr>
        <w:pStyle w:val="Heading2"/>
      </w:pPr>
      <w:r>
        <w:t>Method</w:t>
      </w:r>
    </w:p>
    <w:p>
      <w:pPr>
        <w:pStyle w:val="ListBullet"/>
        <w:spacing w:after="40"/>
      </w:pPr>
      <w:r>
        <w:t>Remove customerID and encode the target as 1 = Yes (churn), 0 = No (no churn).</w:t>
      </w:r>
    </w:p>
    <w:p>
      <w:pPr>
        <w:pStyle w:val="ListBullet"/>
        <w:spacing w:after="40"/>
      </w:pPr>
      <w:r>
        <w:t>Use a stratified 80/20 train/test split (random_state=42).</w:t>
      </w:r>
    </w:p>
    <w:p>
      <w:pPr>
        <w:pStyle w:val="ListBullet"/>
        <w:spacing w:after="40"/>
      </w:pPr>
      <w:r>
        <w:t>Within pipelines, impute missing values if present, one-hot encode categorical fields, and standardize numerical fields.</w:t>
      </w:r>
    </w:p>
    <w:p>
      <w:pPr>
        <w:pStyle w:val="ListBullet"/>
        <w:spacing w:after="40"/>
      </w:pPr>
      <w:r>
        <w:t>Compare Logistic Regression, Random Forest, and Gradient Boosting using five-fold stratified cross-validation on the training data.</w:t>
      </w:r>
    </w:p>
    <w:p>
      <w:pPr>
        <w:pStyle w:val="ListBullet"/>
        <w:spacing w:after="40"/>
      </w:pPr>
      <w:r>
        <w:t>Report Accuracy, Precision, Recall, F1-score, and ROC-AUC on the untouched test split; include a majority-class baseline for context.</w:t>
      </w:r>
    </w:p>
    <w:p>
      <w:r>
        <w:br w:type="page"/>
      </w:r>
    </w:p>
    <w:p>
      <w:pPr>
        <w:pStyle w:val="Heading1"/>
      </w:pPr>
      <w:r>
        <w:t>Evaluation results</w:t>
      </w:r>
    </w:p>
    <w:p>
      <w:r>
        <w:t>Held-out test-set performance. Values are rounded to four decimal places; “churn” is the positive class.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cantSplit/>
        </w:trPr>
        <w:tc>
          <w:tcPr>
            <w:tcW w:type="dxa" w:w="1694"/>
            <w:vAlign w:val="center"/>
            <w:shd w:fill="17365D"/>
          </w:tcPr>
          <w:p>
            <w:r>
              <w:rPr>
                <w:b/>
                <w:color w:val="FFFFFF"/>
                <w:sz w:val="16"/>
              </w:rPr>
              <w:t>Model</w:t>
            </w:r>
          </w:p>
        </w:tc>
        <w:tc>
          <w:tcPr>
            <w:tcW w:type="dxa" w:w="1694"/>
            <w:vAlign w:val="center"/>
            <w:shd w:fill="17365D"/>
          </w:tcPr>
          <w:p>
            <w:r>
              <w:rPr>
                <w:b/>
                <w:color w:val="FFFFFF"/>
                <w:sz w:val="16"/>
              </w:rPr>
              <w:t>Accuracy</w:t>
            </w:r>
          </w:p>
        </w:tc>
        <w:tc>
          <w:tcPr>
            <w:tcW w:type="dxa" w:w="1694"/>
            <w:vAlign w:val="center"/>
            <w:shd w:fill="17365D"/>
          </w:tcPr>
          <w:p>
            <w:r>
              <w:rPr>
                <w:b/>
                <w:color w:val="FFFFFF"/>
                <w:sz w:val="16"/>
              </w:rPr>
              <w:t>Precision</w:t>
            </w:r>
          </w:p>
        </w:tc>
        <w:tc>
          <w:tcPr>
            <w:tcW w:type="dxa" w:w="1694"/>
            <w:vAlign w:val="center"/>
            <w:shd w:fill="17365D"/>
          </w:tcPr>
          <w:p>
            <w:r>
              <w:rPr>
                <w:b/>
                <w:color w:val="FFFFFF"/>
                <w:sz w:val="16"/>
              </w:rPr>
              <w:t>Recall</w:t>
            </w:r>
          </w:p>
        </w:tc>
        <w:tc>
          <w:tcPr>
            <w:tcW w:type="dxa" w:w="1694"/>
            <w:vAlign w:val="center"/>
            <w:shd w:fill="17365D"/>
          </w:tcPr>
          <w:p>
            <w:r>
              <w:rPr>
                <w:b/>
                <w:color w:val="FFFFFF"/>
                <w:sz w:val="16"/>
              </w:rPr>
              <w:t>F1-score</w:t>
            </w:r>
          </w:p>
        </w:tc>
        <w:tc>
          <w:tcPr>
            <w:tcW w:type="dxa" w:w="1694"/>
            <w:vAlign w:val="center"/>
            <w:shd w:fill="17365D"/>
          </w:tcPr>
          <w:p>
            <w:r>
              <w:rPr>
                <w:b/>
                <w:color w:val="FFFFFF"/>
                <w:sz w:val="16"/>
              </w:rPr>
              <w:t>ROC-AUC</w:t>
            </w:r>
          </w:p>
        </w:tc>
      </w:tr>
      <w:tr>
        <w:trPr>
          <w:cantSplit/>
        </w:trPr>
        <w:tc>
          <w:tcPr>
            <w:tcW w:type="dxa" w:w="1694"/>
            <w:vAlign w:val="center"/>
          </w:tcPr>
          <w:p>
            <w:pPr>
              <w:spacing w:after="20" w:before="20"/>
            </w:pPr>
            <w:r>
              <w:rPr>
                <w:sz w:val="16"/>
              </w:rPr>
              <w:t>Logistic Regression</w:t>
            </w:r>
          </w:p>
        </w:tc>
        <w:tc>
          <w:tcPr>
            <w:tcW w:type="dxa" w:w="1694"/>
            <w:vAlign w:val="center"/>
          </w:tcPr>
          <w:p>
            <w:pPr>
              <w:spacing w:after="20" w:before="20"/>
            </w:pPr>
            <w:r>
              <w:rPr>
                <w:sz w:val="16"/>
              </w:rPr>
              <w:t>0.5009</w:t>
            </w:r>
          </w:p>
        </w:tc>
        <w:tc>
          <w:tcPr>
            <w:tcW w:type="dxa" w:w="1694"/>
            <w:vAlign w:val="center"/>
          </w:tcPr>
          <w:p>
            <w:pPr>
              <w:spacing w:after="20" w:before="20"/>
            </w:pPr>
            <w:r>
              <w:rPr>
                <w:sz w:val="16"/>
              </w:rPr>
              <w:t>0.4926</w:t>
            </w:r>
          </w:p>
        </w:tc>
        <w:tc>
          <w:tcPr>
            <w:tcW w:type="dxa" w:w="1694"/>
            <w:vAlign w:val="center"/>
          </w:tcPr>
          <w:p>
            <w:pPr>
              <w:spacing w:after="20" w:before="20"/>
            </w:pPr>
            <w:r>
              <w:rPr>
                <w:sz w:val="16"/>
              </w:rPr>
              <w:t>0.4000</w:t>
            </w:r>
          </w:p>
        </w:tc>
        <w:tc>
          <w:tcPr>
            <w:tcW w:type="dxa" w:w="1694"/>
            <w:vAlign w:val="center"/>
          </w:tcPr>
          <w:p>
            <w:pPr>
              <w:spacing w:after="20" w:before="20"/>
            </w:pPr>
            <w:r>
              <w:rPr>
                <w:sz w:val="16"/>
              </w:rPr>
              <w:t>0.4415</w:t>
            </w:r>
          </w:p>
        </w:tc>
        <w:tc>
          <w:tcPr>
            <w:tcW w:type="dxa" w:w="1694"/>
            <w:vAlign w:val="center"/>
          </w:tcPr>
          <w:p>
            <w:pPr>
              <w:spacing w:after="20" w:before="20"/>
            </w:pPr>
            <w:r>
              <w:rPr>
                <w:sz w:val="16"/>
              </w:rPr>
              <w:t>0.4748</w:t>
            </w:r>
          </w:p>
        </w:tc>
      </w:tr>
      <w:tr>
        <w:trPr>
          <w:cantSplit/>
        </w:trPr>
        <w:tc>
          <w:tcPr>
            <w:tcW w:type="dxa" w:w="1694"/>
            <w:vAlign w:val="center"/>
            <w:shd w:fill="F3F6F9"/>
          </w:tcPr>
          <w:p>
            <w:pPr>
              <w:spacing w:after="20" w:before="20"/>
            </w:pPr>
            <w:r>
              <w:rPr>
                <w:sz w:val="16"/>
              </w:rPr>
              <w:t>Random Forest</w:t>
            </w:r>
          </w:p>
        </w:tc>
        <w:tc>
          <w:tcPr>
            <w:tcW w:type="dxa" w:w="1694"/>
            <w:vAlign w:val="center"/>
            <w:shd w:fill="F3F6F9"/>
          </w:tcPr>
          <w:p>
            <w:pPr>
              <w:spacing w:after="20" w:before="20"/>
            </w:pPr>
            <w:r>
              <w:rPr>
                <w:sz w:val="16"/>
              </w:rPr>
              <w:t>0.5119</w:t>
            </w:r>
          </w:p>
        </w:tc>
        <w:tc>
          <w:tcPr>
            <w:tcW w:type="dxa" w:w="1694"/>
            <w:vAlign w:val="center"/>
            <w:shd w:fill="F3F6F9"/>
          </w:tcPr>
          <w:p>
            <w:pPr>
              <w:spacing w:after="20" w:before="20"/>
            </w:pPr>
            <w:r>
              <w:rPr>
                <w:sz w:val="16"/>
              </w:rPr>
              <w:t>0.5054</w:t>
            </w:r>
          </w:p>
        </w:tc>
        <w:tc>
          <w:tcPr>
            <w:tcW w:type="dxa" w:w="1694"/>
            <w:vAlign w:val="center"/>
            <w:shd w:fill="F3F6F9"/>
          </w:tcPr>
          <w:p>
            <w:pPr>
              <w:spacing w:after="20" w:before="20"/>
            </w:pPr>
            <w:r>
              <w:rPr>
                <w:sz w:val="16"/>
              </w:rPr>
              <w:t>0.4810</w:t>
            </w:r>
          </w:p>
        </w:tc>
        <w:tc>
          <w:tcPr>
            <w:tcW w:type="dxa" w:w="1694"/>
            <w:vAlign w:val="center"/>
            <w:shd w:fill="F3F6F9"/>
          </w:tcPr>
          <w:p>
            <w:pPr>
              <w:spacing w:after="20" w:before="20"/>
            </w:pPr>
            <w:r>
              <w:rPr>
                <w:sz w:val="16"/>
              </w:rPr>
              <w:t>0.4929</w:t>
            </w:r>
          </w:p>
        </w:tc>
        <w:tc>
          <w:tcPr>
            <w:tcW w:type="dxa" w:w="1694"/>
            <w:vAlign w:val="center"/>
            <w:shd w:fill="F3F6F9"/>
          </w:tcPr>
          <w:p>
            <w:pPr>
              <w:spacing w:after="20" w:before="20"/>
            </w:pPr>
            <w:r>
              <w:rPr>
                <w:sz w:val="16"/>
              </w:rPr>
              <w:t>0.4982</w:t>
            </w:r>
          </w:p>
        </w:tc>
      </w:tr>
      <w:tr>
        <w:trPr>
          <w:cantSplit/>
        </w:trPr>
        <w:tc>
          <w:tcPr>
            <w:tcW w:type="dxa" w:w="1694"/>
            <w:vAlign w:val="center"/>
          </w:tcPr>
          <w:p>
            <w:pPr>
              <w:spacing w:after="20" w:before="20"/>
            </w:pPr>
            <w:r>
              <w:rPr>
                <w:sz w:val="16"/>
              </w:rPr>
              <w:t>Gradient Boosting</w:t>
            </w:r>
          </w:p>
        </w:tc>
        <w:tc>
          <w:tcPr>
            <w:tcW w:type="dxa" w:w="1694"/>
            <w:vAlign w:val="center"/>
          </w:tcPr>
          <w:p>
            <w:pPr>
              <w:spacing w:after="20" w:before="20"/>
            </w:pPr>
            <w:r>
              <w:rPr>
                <w:sz w:val="16"/>
              </w:rPr>
              <w:t>0.4804</w:t>
            </w:r>
          </w:p>
        </w:tc>
        <w:tc>
          <w:tcPr>
            <w:tcW w:type="dxa" w:w="1694"/>
            <w:vAlign w:val="center"/>
          </w:tcPr>
          <w:p>
            <w:pPr>
              <w:spacing w:after="20" w:before="20"/>
            </w:pPr>
            <w:r>
              <w:rPr>
                <w:sz w:val="16"/>
              </w:rPr>
              <w:t>0.4721</w:t>
            </w:r>
          </w:p>
        </w:tc>
        <w:tc>
          <w:tcPr>
            <w:tcW w:type="dxa" w:w="1694"/>
            <w:vAlign w:val="center"/>
          </w:tcPr>
          <w:p>
            <w:pPr>
              <w:spacing w:after="20" w:before="20"/>
            </w:pPr>
            <w:r>
              <w:rPr>
                <w:sz w:val="16"/>
              </w:rPr>
              <w:t>0.4517</w:t>
            </w:r>
          </w:p>
        </w:tc>
        <w:tc>
          <w:tcPr>
            <w:tcW w:type="dxa" w:w="1694"/>
            <w:vAlign w:val="center"/>
          </w:tcPr>
          <w:p>
            <w:pPr>
              <w:spacing w:after="20" w:before="20"/>
            </w:pPr>
            <w:r>
              <w:rPr>
                <w:sz w:val="16"/>
              </w:rPr>
              <w:t>0.4617</w:t>
            </w:r>
          </w:p>
        </w:tc>
        <w:tc>
          <w:tcPr>
            <w:tcW w:type="dxa" w:w="1694"/>
            <w:vAlign w:val="center"/>
          </w:tcPr>
          <w:p>
            <w:pPr>
              <w:spacing w:after="20" w:before="20"/>
            </w:pPr>
            <w:r>
              <w:rPr>
                <w:sz w:val="16"/>
              </w:rPr>
              <w:t>0.4628</w:t>
            </w:r>
          </w:p>
        </w:tc>
      </w:tr>
      <w:tr>
        <w:trPr>
          <w:cantSplit/>
        </w:trPr>
        <w:tc>
          <w:tcPr>
            <w:tcW w:type="dxa" w:w="1694"/>
            <w:vAlign w:val="center"/>
            <w:shd w:fill="F3F6F9"/>
          </w:tcPr>
          <w:p>
            <w:pPr>
              <w:spacing w:after="20" w:before="20"/>
            </w:pPr>
            <w:r>
              <w:rPr>
                <w:sz w:val="16"/>
              </w:rPr>
              <w:t>Majority-class baseline</w:t>
            </w:r>
          </w:p>
        </w:tc>
        <w:tc>
          <w:tcPr>
            <w:tcW w:type="dxa" w:w="1694"/>
            <w:vAlign w:val="center"/>
            <w:shd w:fill="F3F6F9"/>
          </w:tcPr>
          <w:p>
            <w:pPr>
              <w:spacing w:after="20" w:before="20"/>
            </w:pPr>
            <w:r>
              <w:rPr>
                <w:sz w:val="16"/>
              </w:rPr>
              <w:t>0.5068</w:t>
            </w:r>
          </w:p>
        </w:tc>
        <w:tc>
          <w:tcPr>
            <w:tcW w:type="dxa" w:w="1694"/>
            <w:vAlign w:val="center"/>
            <w:shd w:fill="F3F6F9"/>
          </w:tcPr>
          <w:p>
            <w:pPr>
              <w:spacing w:after="20" w:before="20"/>
            </w:pPr>
            <w:r>
              <w:rPr>
                <w:sz w:val="16"/>
              </w:rPr>
              <w:t>0.0000</w:t>
            </w:r>
          </w:p>
        </w:tc>
        <w:tc>
          <w:tcPr>
            <w:tcW w:type="dxa" w:w="1694"/>
            <w:vAlign w:val="center"/>
            <w:shd w:fill="F3F6F9"/>
          </w:tcPr>
          <w:p>
            <w:pPr>
              <w:spacing w:after="20" w:before="20"/>
            </w:pPr>
            <w:r>
              <w:rPr>
                <w:sz w:val="16"/>
              </w:rPr>
              <w:t>0.0000</w:t>
            </w:r>
          </w:p>
        </w:tc>
        <w:tc>
          <w:tcPr>
            <w:tcW w:type="dxa" w:w="1694"/>
            <w:vAlign w:val="center"/>
            <w:shd w:fill="F3F6F9"/>
          </w:tcPr>
          <w:p>
            <w:pPr>
              <w:spacing w:after="20" w:before="20"/>
            </w:pPr>
            <w:r>
              <w:rPr>
                <w:sz w:val="16"/>
              </w:rPr>
              <w:t>0.0000</w:t>
            </w:r>
          </w:p>
        </w:tc>
        <w:tc>
          <w:tcPr>
            <w:tcW w:type="dxa" w:w="1694"/>
            <w:vAlign w:val="center"/>
            <w:shd w:fill="F3F6F9"/>
          </w:tcPr>
          <w:p>
            <w:pPr>
              <w:spacing w:after="20" w:before="20"/>
            </w:pPr>
            <w:r>
              <w:rPr>
                <w:sz w:val="16"/>
              </w:rPr>
              <w:t>0.5000</w:t>
            </w:r>
          </w:p>
        </w:tc>
      </w:tr>
    </w:tbl>
    <w:p>
      <w:pPr>
        <w:spacing w:before="120" w:after="20"/>
        <w:jc w:val="center"/>
      </w:pPr>
      <w:r>
        <w:drawing>
          <wp:inline xmlns:a="http://schemas.openxmlformats.org/drawingml/2006/main" xmlns:pic="http://schemas.openxmlformats.org/drawingml/2006/picture">
            <wp:extent cx="6080760" cy="3304984"/>
            <wp:docPr id="1" name="Picture 1"/>
            <wp:cNvGraphicFramePr>
              <a:graphicFrameLocks noChangeAspect="1"/>
            </wp:cNvGraphicFramePr>
            <a:graphic>
              <a:graphicData uri="http://schemas.openxmlformats.org/drawingml/2006/picture">
                <pic:pic>
                  <pic:nvPicPr>
                    <pic:cNvPr id="0" name="models_performance_comparison.png"/>
                    <pic:cNvPicPr/>
                  </pic:nvPicPr>
                  <pic:blipFill>
                    <a:blip r:embed="rId11"/>
                    <a:stretch>
                      <a:fillRect/>
                    </a:stretch>
                  </pic:blipFill>
                  <pic:spPr>
                    <a:xfrm>
                      <a:off x="0" y="0"/>
                      <a:ext cx="6080760" cy="3304984"/>
                    </a:xfrm>
                    <a:prstGeom prst="rect"/>
                  </pic:spPr>
                </pic:pic>
              </a:graphicData>
            </a:graphic>
          </wp:inline>
        </w:drawing>
      </w:r>
    </w:p>
    <w:p>
      <w:pPr>
        <w:spacing w:after="100"/>
        <w:jc w:val="center"/>
      </w:pPr>
      <w:r>
        <w:rPr>
          <w:i/>
          <w:color w:val="5B6573"/>
          <w:sz w:val="16"/>
        </w:rPr>
        <w:t>Figure 1. Comparison of test-set classification metrics for the three trained models.</w:t>
      </w:r>
    </w:p>
    <w:p>
      <w:pPr>
        <w:pStyle w:val="Heading2"/>
      </w:pPr>
      <w:r>
        <w:t>Cross-validation results</w:t>
      </w:r>
    </w:p>
    <w:p>
      <w:r>
        <w:t>Mean five-fold ROC-AUC on training data was 0.4869 for Logistic Regression, 0.5031 for Random Forest, and 0.4982 for Gradient Boosting. Random Forest ranks first among the three by this criterion, but the score is only marginally above 0.50 and its test ROC-AUC falls slightly below 0.50.</w:t>
      </w:r>
    </w:p>
    <w:p>
      <w:r>
        <w:br w:type="page"/>
      </w:r>
    </w:p>
    <w:p>
      <w:pPr>
        <w:pStyle w:val="Heading1"/>
      </w:pPr>
      <w:r>
        <w:t>ROC analysis and interpretation</w:t>
      </w:r>
    </w:p>
    <w:p>
      <w:pPr>
        <w:spacing w:after="20"/>
        <w:jc w:val="center"/>
      </w:pPr>
      <w:r>
        <w:drawing>
          <wp:inline xmlns:a="http://schemas.openxmlformats.org/drawingml/2006/main" xmlns:pic="http://schemas.openxmlformats.org/drawingml/2006/picture">
            <wp:extent cx="5303520" cy="4570351"/>
            <wp:docPr id="2" name="Picture 2"/>
            <wp:cNvGraphicFramePr>
              <a:graphicFrameLocks noChangeAspect="1"/>
            </wp:cNvGraphicFramePr>
            <a:graphic>
              <a:graphicData uri="http://schemas.openxmlformats.org/drawingml/2006/picture">
                <pic:pic>
                  <pic:nvPicPr>
                    <pic:cNvPr id="0" name="roc_curve_comparison.png"/>
                    <pic:cNvPicPr/>
                  </pic:nvPicPr>
                  <pic:blipFill>
                    <a:blip r:embed="rId12"/>
                    <a:stretch>
                      <a:fillRect/>
                    </a:stretch>
                  </pic:blipFill>
                  <pic:spPr>
                    <a:xfrm>
                      <a:off x="0" y="0"/>
                      <a:ext cx="5303520" cy="4570351"/>
                    </a:xfrm>
                    <a:prstGeom prst="rect"/>
                  </pic:spPr>
                </pic:pic>
              </a:graphicData>
            </a:graphic>
          </wp:inline>
        </w:drawing>
      </w:r>
    </w:p>
    <w:p>
      <w:pPr>
        <w:spacing w:after="100"/>
        <w:jc w:val="center"/>
      </w:pPr>
      <w:r>
        <w:rPr>
          <w:i/>
          <w:color w:val="5B6573"/>
          <w:sz w:val="16"/>
        </w:rPr>
        <w:t>Figure 2. Test-set ROC curves. The dashed diagonal represents random ranking (ROC-AUC = 0.50).</w:t>
      </w:r>
    </w:p>
    <w:p>
      <w:pPr>
        <w:pStyle w:val="Heading2"/>
      </w:pPr>
      <w:r>
        <w:t>What the results mean</w:t>
      </w:r>
    </w:p>
    <w:p>
      <w:r>
        <w:t>The model curves lie close to the random-ranking diagonal. Random Forest reaches 51.19% accuracy, only about 0.51 percentage points above the majority-class baseline (50.68%), while its ROC-AUC is 0.4982. The other two models are below the 0.50 ROC-AUC reference on the test set. These metrics do not establish that the supplied features predict churn reliably.</w:t>
      </w:r>
    </w:p>
    <w:p>
      <w:pPr>
        <w:pStyle w:val="Heading2"/>
      </w:pPr>
      <w:r>
        <w:t>Limitations and recommended next checks</w:t>
      </w:r>
    </w:p>
    <w:p>
      <w:pPr>
        <w:pStyle w:val="ListBullet"/>
        <w:spacing w:after="40"/>
      </w:pPr>
      <w:r>
        <w:t>Verify the dataset source and the meaning of the target; check that churn labels are correct and aligned with each customer row.</w:t>
      </w:r>
    </w:p>
    <w:p>
      <w:pPr>
        <w:pStyle w:val="ListBullet"/>
        <w:spacing w:after="40"/>
      </w:pPr>
      <w:r>
        <w:t>Review feature definitions, collection timing, and potential data-generation or label-shuffling issues. The supplied files do not state the dataset provenance.</w:t>
      </w:r>
    </w:p>
    <w:p>
      <w:pPr>
        <w:pStyle w:val="ListBullet"/>
        <w:spacing w:after="40"/>
      </w:pPr>
      <w:r>
        <w:t>Explore more informative features and tune model settings only after data validity has been checked. Keep model selection inside cross-validation.</w:t>
      </w:r>
    </w:p>
    <w:p>
      <w:pPr>
        <w:pStyle w:val="ListBullet"/>
        <w:spacing w:after="40"/>
      </w:pPr>
      <w:r>
        <w:t>Do not treat feature importance as causal evidence or deploy this candidate until performance improves on independent data.</w:t>
      </w:r>
    </w:p>
    <w:p>
      <w:r>
        <w:br w:type="page"/>
      </w:r>
    </w:p>
    <w:p>
      <w:pPr>
        <w:pStyle w:val="Heading1"/>
      </w:pPr>
      <w:r>
        <w:t>Reproducibility and project files</w:t>
      </w:r>
    </w:p>
    <w:p>
      <w:r>
        <w:t>From the project directory, create and activate a virtual environment, install requirements, then run the notebook or script.</w:t>
      </w:r>
    </w:p>
    <w:p>
      <w:pPr>
        <w:spacing w:after="40"/>
      </w:pPr>
      <w:r>
        <w:rPr>
          <w:b/>
          <w:color w:val="17365D"/>
        </w:rPr>
        <w:t>Setup and run commands</w:t>
      </w:r>
    </w:p>
    <w:p>
      <w:pPr>
        <w:pStyle w:val="ListBullet"/>
        <w:spacing w:after="20"/>
      </w:pPr>
      <w:r>
        <w:rPr>
          <w:rFonts w:ascii="Consolas" w:hAnsi="Consolas"/>
          <w:sz w:val="17"/>
        </w:rPr>
        <w:t>py -m venv .venv</w:t>
      </w:r>
    </w:p>
    <w:p>
      <w:pPr>
        <w:pStyle w:val="ListBullet"/>
        <w:spacing w:after="20"/>
      </w:pPr>
      <w:r>
        <w:rPr>
          <w:rFonts w:ascii="Aptos" w:hAnsi="Aptos"/>
          <w:sz w:val="17"/>
        </w:rPr>
        <w:t>.\.venv\Scripts\Activate.ps1  (Windows PowerShell)  |  source .venv/bin/activate  (macOS/Linux)</w:t>
      </w:r>
    </w:p>
    <w:p>
      <w:pPr>
        <w:pStyle w:val="ListBullet"/>
        <w:spacing w:after="20"/>
      </w:pPr>
      <w:r>
        <w:rPr>
          <w:rFonts w:ascii="Consolas" w:hAnsi="Consolas"/>
          <w:sz w:val="17"/>
        </w:rPr>
        <w:t>python -m pip install -r requirements.txt</w:t>
      </w:r>
    </w:p>
    <w:p>
      <w:pPr>
        <w:pStyle w:val="ListBullet"/>
        <w:spacing w:after="20"/>
      </w:pPr>
      <w:r>
        <w:rPr>
          <w:rFonts w:ascii="Consolas" w:hAnsi="Consolas"/>
          <w:sz w:val="17"/>
        </w:rPr>
        <w:t>jupyter notebook  -&gt; open Customer_Churn_Classification.ipynb and run all cells</w:t>
      </w:r>
    </w:p>
    <w:p>
      <w:pPr>
        <w:pStyle w:val="ListBullet"/>
        <w:spacing w:after="20"/>
      </w:pPr>
      <w:r>
        <w:rPr>
          <w:rFonts w:ascii="Consolas" w:hAnsi="Consolas"/>
          <w:sz w:val="17"/>
        </w:rPr>
        <w:t>python run_analysis.py  (regenerates metrics and plots in artifacts/)</w:t>
      </w:r>
    </w:p>
    <w:p>
      <w:pPr>
        <w:pStyle w:val="Heading2"/>
      </w:pPr>
      <w:r>
        <w:t>Included code and supporting files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center"/>
            <w:shd w:fill="17365D"/>
          </w:tcPr>
          <w:p>
            <w:r>
              <w:rPr>
                <w:b/>
                <w:color w:val="FFFFFF"/>
                <w:sz w:val="16"/>
              </w:rPr>
              <w:t>Resource</w:t>
            </w:r>
          </w:p>
        </w:tc>
        <w:tc>
          <w:tcPr>
            <w:tcW w:type="dxa" w:w="5083"/>
            <w:vAlign w:val="center"/>
            <w:shd w:fill="17365D"/>
          </w:tcPr>
          <w:p>
            <w:r>
              <w:rPr>
                <w:b/>
                <w:color w:val="FFFFFF"/>
                <w:sz w:val="16"/>
              </w:rPr>
              <w:t>File / folder</w:t>
            </w:r>
          </w:p>
        </w:tc>
      </w:tr>
      <w:tr>
        <w:trPr>
          <w:cantSplit/>
        </w:trPr>
        <w:tc>
          <w:tcPr>
            <w:tcW w:type="dxa" w:w="5083"/>
            <w:vAlign w:val="center"/>
          </w:tcPr>
          <w:p>
            <w:pPr>
              <w:spacing w:after="20" w:before="20"/>
            </w:pPr>
            <w:r>
              <w:rPr>
                <w:sz w:val="16"/>
              </w:rPr>
              <w:t>Full notebook, code, outputs and plots</w:t>
            </w:r>
          </w:p>
        </w:tc>
        <w:tc>
          <w:tcPr>
            <w:tcW w:type="dxa" w:w="5083"/>
            <w:vAlign w:val="center"/>
          </w:tcPr>
          <w:p>
            <w:pPr>
              <w:spacing w:after="20" w:before="20"/>
            </w:pPr>
            <w:r>
              <w:rPr>
                <w:sz w:val="16"/>
              </w:rPr>
              <w:t>Customer_Churn_Classification.ipynb</w:t>
            </w:r>
          </w:p>
        </w:tc>
      </w:tr>
      <w:tr>
        <w:trPr>
          <w:cantSplit/>
        </w:trPr>
        <w:tc>
          <w:tcPr>
            <w:tcW w:type="dxa" w:w="5083"/>
            <w:vAlign w:val="center"/>
            <w:shd w:fill="F3F6F9"/>
          </w:tcPr>
          <w:p>
            <w:pPr>
              <w:spacing w:after="20" w:before="20"/>
            </w:pPr>
            <w:r>
              <w:rPr>
                <w:sz w:val="16"/>
              </w:rPr>
              <w:t>Command-line reproducible analysis</w:t>
            </w:r>
          </w:p>
        </w:tc>
        <w:tc>
          <w:tcPr>
            <w:tcW w:type="dxa" w:w="5083"/>
            <w:vAlign w:val="center"/>
            <w:shd w:fill="F3F6F9"/>
          </w:tcPr>
          <w:p>
            <w:pPr>
              <w:spacing w:after="20" w:before="20"/>
            </w:pPr>
            <w:r>
              <w:rPr>
                <w:sz w:val="16"/>
              </w:rPr>
              <w:t>run_analysis.py</w:t>
            </w:r>
          </w:p>
        </w:tc>
      </w:tr>
      <w:tr>
        <w:trPr>
          <w:cantSplit/>
        </w:trPr>
        <w:tc>
          <w:tcPr>
            <w:tcW w:type="dxa" w:w="5083"/>
            <w:vAlign w:val="center"/>
          </w:tcPr>
          <w:p>
            <w:pPr>
              <w:spacing w:after="20" w:before="20"/>
            </w:pPr>
            <w:r>
              <w:rPr>
                <w:sz w:val="16"/>
              </w:rPr>
              <w:t>Input dataset</w:t>
            </w:r>
          </w:p>
        </w:tc>
        <w:tc>
          <w:tcPr>
            <w:tcW w:type="dxa" w:w="5083"/>
            <w:vAlign w:val="center"/>
          </w:tcPr>
          <w:p>
            <w:pPr>
              <w:spacing w:after="20" w:before="20"/>
            </w:pPr>
            <w:r>
              <w:rPr>
                <w:sz w:val="16"/>
              </w:rPr>
              <w:t>customer_churn_data.csv</w:t>
            </w:r>
          </w:p>
        </w:tc>
      </w:tr>
      <w:tr>
        <w:trPr>
          <w:cantSplit/>
        </w:trPr>
        <w:tc>
          <w:tcPr>
            <w:tcW w:type="dxa" w:w="5083"/>
            <w:vAlign w:val="center"/>
            <w:shd w:fill="F3F6F9"/>
          </w:tcPr>
          <w:p>
            <w:pPr>
              <w:spacing w:after="20" w:before="20"/>
            </w:pPr>
            <w:r>
              <w:rPr>
                <w:sz w:val="16"/>
              </w:rPr>
              <w:t>Metrics, ROC, confusion matrices and charts</w:t>
            </w:r>
          </w:p>
        </w:tc>
        <w:tc>
          <w:tcPr>
            <w:tcW w:type="dxa" w:w="5083"/>
            <w:vAlign w:val="center"/>
            <w:shd w:fill="F3F6F9"/>
          </w:tcPr>
          <w:p>
            <w:pPr>
              <w:spacing w:after="20" w:before="20"/>
            </w:pPr>
            <w:r>
              <w:rPr>
                <w:sz w:val="16"/>
              </w:rPr>
              <w:t>artifacts/</w:t>
            </w:r>
          </w:p>
        </w:tc>
      </w:tr>
      <w:tr>
        <w:trPr>
          <w:cantSplit/>
        </w:trPr>
        <w:tc>
          <w:tcPr>
            <w:tcW w:type="dxa" w:w="5083"/>
            <w:vAlign w:val="center"/>
          </w:tcPr>
          <w:p>
            <w:pPr>
              <w:spacing w:after="20" w:before="20"/>
            </w:pPr>
            <w:r>
              <w:rPr>
                <w:sz w:val="16"/>
              </w:rPr>
              <w:t>Setup commands and repository instructions</w:t>
            </w:r>
          </w:p>
        </w:tc>
        <w:tc>
          <w:tcPr>
            <w:tcW w:type="dxa" w:w="5083"/>
            <w:vAlign w:val="center"/>
          </w:tcPr>
          <w:p>
            <w:pPr>
              <w:spacing w:after="20" w:before="20"/>
            </w:pPr>
            <w:r>
              <w:rPr>
                <w:sz w:val="16"/>
              </w:rPr>
              <w:t>README.md</w:t>
            </w:r>
          </w:p>
        </w:tc>
      </w:tr>
      <w:tr>
        <w:trPr>
          <w:cantSplit/>
        </w:trPr>
        <w:tc>
          <w:tcPr>
            <w:tcW w:type="dxa" w:w="5083"/>
            <w:vAlign w:val="center"/>
            <w:shd w:fill="F3F6F9"/>
          </w:tcPr>
          <w:p>
            <w:pPr>
              <w:spacing w:after="20" w:before="20"/>
            </w:pPr>
            <w:r>
              <w:rPr>
                <w:sz w:val="16"/>
              </w:rPr>
              <w:t>Expanded project notes</w:t>
            </w:r>
          </w:p>
        </w:tc>
        <w:tc>
          <w:tcPr>
            <w:tcW w:type="dxa" w:w="5083"/>
            <w:vAlign w:val="center"/>
            <w:shd w:fill="F3F6F9"/>
          </w:tcPr>
          <w:p>
            <w:pPr>
              <w:spacing w:after="20" w:before="20"/>
            </w:pPr>
            <w:r>
              <w:rPr>
                <w:sz w:val="16"/>
              </w:rPr>
              <w:t>project_documentation.md</w:t>
            </w:r>
          </w:p>
        </w:tc>
      </w:tr>
    </w:tbl>
    <w:p>
      <w:pPr>
        <w:pStyle w:val="Heading2"/>
      </w:pPr>
      <w:r>
        <w:t>Metric guide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center"/>
            <w:shd w:fill="17365D"/>
          </w:tcPr>
          <w:p>
            <w:r>
              <w:rPr>
                <w:b/>
                <w:color w:val="FFFFFF"/>
                <w:sz w:val="16"/>
              </w:rPr>
              <w:t>Metric</w:t>
            </w:r>
          </w:p>
        </w:tc>
        <w:tc>
          <w:tcPr>
            <w:tcW w:type="dxa" w:w="5083"/>
            <w:vAlign w:val="center"/>
            <w:shd w:fill="17365D"/>
          </w:tcPr>
          <w:p>
            <w:r>
              <w:rPr>
                <w:b/>
                <w:color w:val="FFFFFF"/>
                <w:sz w:val="16"/>
              </w:rPr>
              <w:t>What it measures</w:t>
            </w:r>
          </w:p>
        </w:tc>
      </w:tr>
      <w:tr>
        <w:trPr>
          <w:cantSplit/>
        </w:trPr>
        <w:tc>
          <w:tcPr>
            <w:tcW w:type="dxa" w:w="5083"/>
            <w:vAlign w:val="center"/>
          </w:tcPr>
          <w:p>
            <w:pPr>
              <w:spacing w:after="20" w:before="20"/>
            </w:pPr>
            <w:r>
              <w:rPr>
                <w:sz w:val="16"/>
              </w:rPr>
              <w:t>Accuracy</w:t>
            </w:r>
          </w:p>
        </w:tc>
        <w:tc>
          <w:tcPr>
            <w:tcW w:type="dxa" w:w="5083"/>
            <w:vAlign w:val="center"/>
          </w:tcPr>
          <w:p>
            <w:pPr>
              <w:spacing w:after="20" w:before="20"/>
            </w:pPr>
            <w:r>
              <w:rPr>
                <w:sz w:val="16"/>
              </w:rPr>
              <w:t>Share of all predictions that are correct.</w:t>
            </w:r>
          </w:p>
        </w:tc>
      </w:tr>
      <w:tr>
        <w:trPr>
          <w:cantSplit/>
        </w:trPr>
        <w:tc>
          <w:tcPr>
            <w:tcW w:type="dxa" w:w="5083"/>
            <w:vAlign w:val="center"/>
            <w:shd w:fill="F3F6F9"/>
          </w:tcPr>
          <w:p>
            <w:pPr>
              <w:spacing w:after="20" w:before="20"/>
            </w:pPr>
            <w:r>
              <w:rPr>
                <w:sz w:val="16"/>
              </w:rPr>
              <w:t>Precision</w:t>
            </w:r>
          </w:p>
        </w:tc>
        <w:tc>
          <w:tcPr>
            <w:tcW w:type="dxa" w:w="5083"/>
            <w:vAlign w:val="center"/>
            <w:shd w:fill="F3F6F9"/>
          </w:tcPr>
          <w:p>
            <w:pPr>
              <w:spacing w:after="20" w:before="20"/>
            </w:pPr>
            <w:r>
              <w:rPr>
                <w:sz w:val="16"/>
              </w:rPr>
              <w:t>Share of predicted churn cases that actually churned.</w:t>
            </w:r>
          </w:p>
        </w:tc>
      </w:tr>
      <w:tr>
        <w:trPr>
          <w:cantSplit/>
        </w:trPr>
        <w:tc>
          <w:tcPr>
            <w:tcW w:type="dxa" w:w="5083"/>
            <w:vAlign w:val="center"/>
          </w:tcPr>
          <w:p>
            <w:pPr>
              <w:spacing w:after="20" w:before="20"/>
            </w:pPr>
            <w:r>
              <w:rPr>
                <w:sz w:val="16"/>
              </w:rPr>
              <w:t>Recall</w:t>
            </w:r>
          </w:p>
        </w:tc>
        <w:tc>
          <w:tcPr>
            <w:tcW w:type="dxa" w:w="5083"/>
            <w:vAlign w:val="center"/>
          </w:tcPr>
          <w:p>
            <w:pPr>
              <w:spacing w:after="20" w:before="20"/>
            </w:pPr>
            <w:r>
              <w:rPr>
                <w:sz w:val="16"/>
              </w:rPr>
              <w:t>Share of actual churn cases correctly identified.</w:t>
            </w:r>
          </w:p>
        </w:tc>
      </w:tr>
      <w:tr>
        <w:trPr>
          <w:cantSplit/>
        </w:trPr>
        <w:tc>
          <w:tcPr>
            <w:tcW w:type="dxa" w:w="5083"/>
            <w:vAlign w:val="center"/>
            <w:shd w:fill="F3F6F9"/>
          </w:tcPr>
          <w:p>
            <w:pPr>
              <w:spacing w:after="20" w:before="20"/>
            </w:pPr>
            <w:r>
              <w:rPr>
                <w:sz w:val="16"/>
              </w:rPr>
              <w:t>F1-score</w:t>
            </w:r>
          </w:p>
        </w:tc>
        <w:tc>
          <w:tcPr>
            <w:tcW w:type="dxa" w:w="5083"/>
            <w:vAlign w:val="center"/>
            <w:shd w:fill="F3F6F9"/>
          </w:tcPr>
          <w:p>
            <w:pPr>
              <w:spacing w:after="20" w:before="20"/>
            </w:pPr>
            <w:r>
              <w:rPr>
                <w:sz w:val="16"/>
              </w:rPr>
              <w:t>Harmonic mean of precision and recall.</w:t>
            </w:r>
          </w:p>
        </w:tc>
      </w:tr>
      <w:tr>
        <w:trPr>
          <w:cantSplit/>
        </w:trPr>
        <w:tc>
          <w:tcPr>
            <w:tcW w:type="dxa" w:w="5083"/>
            <w:vAlign w:val="center"/>
          </w:tcPr>
          <w:p>
            <w:pPr>
              <w:spacing w:after="20" w:before="20"/>
            </w:pPr>
            <w:r>
              <w:rPr>
                <w:sz w:val="16"/>
              </w:rPr>
              <w:t>ROC-AUC</w:t>
            </w:r>
          </w:p>
        </w:tc>
        <w:tc>
          <w:tcPr>
            <w:tcW w:type="dxa" w:w="5083"/>
            <w:vAlign w:val="center"/>
          </w:tcPr>
          <w:p>
            <w:pPr>
              <w:spacing w:after="20" w:before="20"/>
            </w:pPr>
            <w:r>
              <w:rPr>
                <w:sz w:val="16"/>
              </w:rPr>
              <w:t>Ability to rank churn cases above non-churn cases across thresholds; 0.50 is chance-level ranking.</w:t>
            </w:r>
          </w:p>
        </w:tc>
      </w:tr>
    </w:tbl>
    <w:p>
      <w:pPr>
        <w:spacing w:before="80"/>
      </w:pPr>
      <w:r>
        <w:rPr>
          <w:b/>
          <w:color w:val="17365D"/>
        </w:rPr>
        <w:t xml:space="preserve">GitHub status: </w:t>
      </w:r>
      <w:r>
        <w:rPr>
          <w:sz w:val="17"/>
        </w:rPr>
        <w:t>The package has not been pushed to GitHub; no repository was available through the connected account during preparation. Create an empty repository, follow the Git commands in README.md, and add the actual repository URL after pushing.</w:t>
      </w:r>
    </w:p>
    <w:sectPr w:rsidR="00FC693F" w:rsidRPr="0006063C" w:rsidSect="00034616">
      <w:headerReference w:type="default" r:id="rId9"/>
      <w:footerReference w:type="default" r:id="rId10"/>
      <w:pgSz w:w="12240" w:h="15840"/>
      <w:pgMar w:top="864" w:right="1037" w:bottom="864"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Project report  •  Evaluation based on the supplied CSV</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6"/>
      </w:rPr>
      <w:t>CUSTOMER CHURN CLASSIFICATION  |  MACHINE LEARNING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8303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Churn Classification Project Report</dc:title>
  <dc:subject>Supervised classification model evaluation</dc:subject>
  <dc:creator>Project Team</dc:creator>
  <cp:keywords>customer churn, classification, machine learning, ROC-AUC</cp:keywords>
  <dc:description>generated by python-docx</dc:description>
  <cp:lastModifiedBy/>
  <cp:revision>1</cp:revision>
  <dcterms:created xsi:type="dcterms:W3CDTF">2013-12-23T23:15:00Z</dcterms:created>
  <dcterms:modified xsi:type="dcterms:W3CDTF">2013-12-23T23:15:00Z</dcterms:modified>
  <cp:category/>
</cp:coreProperties>
</file>