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hinywhale"/>
    <w:p>
      <w:pPr>
        <w:pStyle w:val="Heading1"/>
      </w:pPr>
      <w:r>
        <w:t xml:space="preserve">ShinyWhale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Bayesian multi-state mark-recapture-recovery model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app is designed to provide simplified tool for estimating abundance</w:t>
      </w:r>
      <w:r>
        <w:t xml:space="preserve"> </w:t>
      </w:r>
      <w:r>
        <w:t xml:space="preserve">and demographic information using a Bayesian multi-state</w:t>
      </w:r>
      <w:r>
        <w:t xml:space="preserve"> </w:t>
      </w:r>
      <w:r>
        <w:t xml:space="preserve">mark-recapture-recovery framework. This app was originally designed for</w:t>
      </w:r>
      <w:r>
        <w:t xml:space="preserve"> </w:t>
      </w:r>
      <w:r>
        <w:t xml:space="preserve">North Atlantic right whales, with the aim to provide managers, NGOs,</w:t>
      </w:r>
      <w:r>
        <w:t xml:space="preserve"> </w:t>
      </w:r>
      <w:r>
        <w:t xml:space="preserve">government organisations and conservationists a tool to assess the</w:t>
      </w:r>
      <w:r>
        <w:t xml:space="preserve"> </w:t>
      </w:r>
      <w:r>
        <w:t xml:space="preserve">changes in the population trends, without the need to understand the</w:t>
      </w:r>
      <w:r>
        <w:t xml:space="preserve"> </w:t>
      </w:r>
      <w:r>
        <w:t xml:space="preserve">complete workings of Bayesian mark-recapture techniques, or strong</w:t>
      </w:r>
      <w:r>
        <w:t xml:space="preserve"> </w:t>
      </w:r>
      <w:r>
        <w:t xml:space="preserve">programming skills. The app was designed to be used with data provided</w:t>
      </w:r>
      <w:r>
        <w:t xml:space="preserve"> </w:t>
      </w:r>
      <w:r>
        <w:t xml:space="preserve">by the North Atlantic Right Whale Consortium, and uses their data</w:t>
      </w:r>
      <w:r>
        <w:t xml:space="preserve"> </w:t>
      </w:r>
      <w:r>
        <w:t xml:space="preserve">structure to conduct the model. The columns required for this app are as</w:t>
      </w:r>
      <w:r>
        <w:t xml:space="preserve"> </w:t>
      </w:r>
      <w:r>
        <w:t xml:space="preserve">below, with one row for each unique sighting. Ensure that the column</w:t>
      </w:r>
      <w:r>
        <w:t xml:space="preserve"> </w:t>
      </w:r>
      <w:r>
        <w:t xml:space="preserve">headings match: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SightingEGNo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identifier for each individual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year(YYYY)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of the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behaviors for each sighting in CAPITALS, separated by commas. Also contains information on the fate of individuals, if they were found DEAD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Before you start you must download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JAGS (Just Another Gibbs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Sampler)</w:t>
        </w:r>
      </w:hyperlink>
      <w:r>
        <w:rPr>
          <w:bCs/>
          <w:b/>
        </w:rPr>
        <w:t xml:space="preserve">.</w:t>
      </w:r>
    </w:p>
    <w:bookmarkStart w:id="21" w:name="setup"/>
    <w:p>
      <w:pPr>
        <w:pStyle w:val="Heading4"/>
      </w:pPr>
      <w:r>
        <w:t xml:space="preserve">Setup</w:t>
      </w:r>
    </w:p>
    <w:p>
      <w:pPr>
        <w:pStyle w:val="FirstParagraph"/>
      </w:pPr>
      <w:r>
        <w:t xml:space="preserve">ShinyWhale relies on the following packages:</w:t>
      </w:r>
    </w:p>
    <w:p>
      <w:pPr>
        <w:numPr>
          <w:ilvl w:val="0"/>
          <w:numId w:val="1001"/>
        </w:numPr>
      </w:pPr>
      <w:r>
        <w:t xml:space="preserve">data prep:</w:t>
      </w:r>
      <w:r>
        <w:t xml:space="preserve"> </w:t>
      </w:r>
      <w:r>
        <w:rPr>
          <w:rStyle w:val="VerbatimChar"/>
        </w:rPr>
        <w:t xml:space="preserve">unix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,</w:t>
      </w:r>
      <w:r>
        <w:t xml:space="preserve"> </w:t>
      </w:r>
      <w:r>
        <w:rPr>
          <w:rStyle w:val="VerbatimChar"/>
        </w:rPr>
        <w:t xml:space="preserve">MASS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numPr>
          <w:ilvl w:val="0"/>
          <w:numId w:val="1001"/>
        </w:numPr>
      </w:pPr>
      <w:r>
        <w:t xml:space="preserve">Shiny: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,</w:t>
      </w:r>
      <w:r>
        <w:t xml:space="preserve"> </w:t>
      </w:r>
      <w:r>
        <w:rPr>
          <w:rStyle w:val="VerbatimChar"/>
        </w:rPr>
        <w:t xml:space="preserve">shinybusy</w:t>
      </w:r>
    </w:p>
    <w:p>
      <w:pPr>
        <w:numPr>
          <w:ilvl w:val="0"/>
          <w:numId w:val="1001"/>
        </w:numPr>
      </w:pPr>
      <w:r>
        <w:t xml:space="preserve">Model:</w:t>
      </w:r>
      <w:r>
        <w:t xml:space="preserve"> </w:t>
      </w:r>
      <w:r>
        <w:rPr>
          <w:rStyle w:val="VerbatimChar"/>
        </w:rPr>
        <w:t xml:space="preserve">R2jags</w:t>
      </w:r>
    </w:p>
    <w:p>
      <w:pPr>
        <w:numPr>
          <w:ilvl w:val="0"/>
          <w:numId w:val="1001"/>
        </w:numPr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MCMCvis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user supplied data needs to be converted into an observation matrix</w:t>
      </w:r>
      <w:r>
        <w:t xml:space="preserve"> </w:t>
      </w:r>
      <w:r>
        <w:t xml:space="preserve">that can be used in the Open-population Jolly-Seber framework.</w:t>
      </w:r>
    </w:p>
    <w:bookmarkStart w:id="23" w:name="capture-histories"/>
    <w:p>
      <w:pPr>
        <w:pStyle w:val="Heading4"/>
      </w:pPr>
      <w:r>
        <w:t xml:space="preserve">Capture histories</w:t>
      </w:r>
    </w:p>
    <w:p>
      <w:pPr>
        <w:pStyle w:val="FirstParagraph"/>
      </w:pPr>
      <w:r>
        <w:t xml:space="preserve">Observations of individuals (i) in a given year (t) are compressed into</w:t>
      </w:r>
      <w:r>
        <w:t xml:space="preserve"> </w:t>
      </w:r>
      <w:r>
        <w:t xml:space="preserve">a single value:</w:t>
      </w:r>
    </w:p>
    <w:p>
      <w:pPr>
        <w:numPr>
          <w:ilvl w:val="0"/>
          <w:numId w:val="1002"/>
        </w:numPr>
        <w:pStyle w:val="Compact"/>
      </w:pPr>
      <w:r>
        <w:t xml:space="preserve">seen alive</w:t>
      </w:r>
    </w:p>
    <w:p>
      <w:pPr>
        <w:numPr>
          <w:ilvl w:val="0"/>
          <w:numId w:val="1002"/>
        </w:numPr>
        <w:pStyle w:val="Compact"/>
      </w:pPr>
      <w:r>
        <w:t xml:space="preserve">recovered dead, or</w:t>
      </w:r>
    </w:p>
    <w:p>
      <w:pPr>
        <w:numPr>
          <w:ilvl w:val="0"/>
          <w:numId w:val="1002"/>
        </w:numPr>
        <w:pStyle w:val="Compact"/>
      </w:pPr>
      <w:r>
        <w:t xml:space="preserve">neither seen nor recovered</w:t>
      </w:r>
    </w:p>
    <w:p>
      <w:pPr>
        <w:pStyle w:val="FirstParagraph"/>
      </w:pPr>
      <w:r>
        <w:t xml:space="preserve">The culmination of observations for each individual during the sampling</w:t>
      </w:r>
      <w:r>
        <w:t xml:space="preserve"> </w:t>
      </w:r>
      <w:r>
        <w:t xml:space="preserve">periods for the study forms the capture history. Each year of the</w:t>
      </w:r>
      <w:r>
        <w:t xml:space="preserve"> </w:t>
      </w:r>
      <w:r>
        <w:t xml:space="preserve">capture history represents a year for the study population, which we set</w:t>
      </w:r>
      <w:r>
        <w:t xml:space="preserve"> </w:t>
      </w:r>
      <w:r>
        <w:t xml:space="preserve">as the first month of the reproductive period, which can be set by the</w:t>
      </w:r>
      <w:r>
        <w:t xml:space="preserve"> </w:t>
      </w:r>
      <w:r>
        <w:t xml:space="preserve">user in the</w:t>
      </w:r>
      <w:r>
        <w:t xml:space="preserve"> </w:t>
      </w:r>
      <w:r>
        <w:rPr>
          <w:iCs/>
          <w:i/>
        </w:rPr>
        <w:t xml:space="preserve">Capture Histories</w:t>
      </w:r>
      <w:r>
        <w:t xml:space="preserve"> </w:t>
      </w:r>
      <w:r>
        <w:t xml:space="preserve">tab of the app. The capture history is</w:t>
      </w:r>
      <w:r>
        <w:t xml:space="preserve"> </w:t>
      </w:r>
      <w:r>
        <w:t xml:space="preserve">then combined with an additional period at the beginning of the study</w:t>
      </w:r>
      <w:r>
        <w:t xml:space="preserve"> </w:t>
      </w:r>
      <w:r>
        <w:t xml:space="preserve">period where all individuals are assigned a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(neither seen nor</w:t>
      </w:r>
      <w:r>
        <w:t xml:space="preserve"> </w:t>
      </w:r>
      <w:r>
        <w:t xml:space="preserve">recovered) which results in the observation matrix.</w:t>
      </w:r>
    </w:p>
    <w:bookmarkEnd w:id="23"/>
    <w:bookmarkStart w:id="24" w:name="data-augmentation"/>
    <w:p>
      <w:pPr>
        <w:pStyle w:val="Heading4"/>
      </w:pPr>
      <w:r>
        <w:t xml:space="preserve">Data augmentation</w:t>
      </w:r>
    </w:p>
    <w:p>
      <w:pPr>
        <w:pStyle w:val="FirstParagraph"/>
      </w:pPr>
      <w:r>
        <w:t xml:space="preserve">The data set can also be adjusted to include data augmentation. This is</w:t>
      </w:r>
      <w:r>
        <w:t xml:space="preserve"> </w:t>
      </w:r>
      <w:r>
        <w:t xml:space="preserve">the inclusion of additional individuals into the observation matrix, who</w:t>
      </w:r>
      <w:r>
        <w:t xml:space="preserve"> </w:t>
      </w:r>
      <w:r>
        <w:t xml:space="preserve">are in state 3 (neither seen nor recovered). This is to account for</w:t>
      </w:r>
      <w:r>
        <w:t xml:space="preserve"> </w:t>
      </w:r>
      <w:r>
        <w:t xml:space="preserve">individuals who could exist in the population over the study period,</w:t>
      </w:r>
      <w:r>
        <w:t xml:space="preserve"> </w:t>
      </w:r>
      <w:r>
        <w:t xml:space="preserve">though have never been sighted. Individuals added in data augmentation</w:t>
      </w:r>
      <w:r>
        <w:t xml:space="preserve"> </w:t>
      </w:r>
      <w:r>
        <w:t xml:space="preserve">are not all going to enter the population, but can provide more</w:t>
      </w:r>
      <w:r>
        <w:t xml:space="preserve"> </w:t>
      </w:r>
      <w:r>
        <w:t xml:space="preserve">realistic estimates for abundance if it is believed that not every</w:t>
      </w:r>
      <w:r>
        <w:t xml:space="preserve"> </w:t>
      </w:r>
      <w:r>
        <w:t xml:space="preserve">individual has been sighted. More information on data augmentation can</w:t>
      </w:r>
      <w:r>
        <w:t xml:space="preserve"> </w:t>
      </w:r>
      <w:r>
        <w:t xml:space="preserve">be found here:</w:t>
      </w:r>
      <w:r>
        <w:t xml:space="preserve"> </w:t>
      </w:r>
      <w:r>
        <w:t xml:space="preserve">(Royle, Dorazio, and Link 2007; Royle 2008; Royle and Dorazio 2010)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The model used in ShinyWhale is a Bayesian multi-event Jolly-Seber</w:t>
      </w:r>
      <w:r>
        <w:t xml:space="preserve"> </w:t>
      </w:r>
      <w:r>
        <w:t xml:space="preserve">framework</w:t>
      </w:r>
      <w:r>
        <w:t xml:space="preserve"> </w:t>
      </w:r>
      <w:r>
        <w:t xml:space="preserve">(Thomson, Cooch, and Conroy 2009; Schaub and Royle 2013)</w:t>
      </w:r>
      <w:r>
        <w:t xml:space="preserve"> </w:t>
      </w:r>
      <w:r>
        <w:t xml:space="preserve">fit with a</w:t>
      </w:r>
      <w:r>
        <w:t xml:space="preserve"> </w:t>
      </w:r>
      <w:r>
        <w:t xml:space="preserve">mark-recapture-recovery model</w:t>
      </w:r>
      <w:r>
        <w:t xml:space="preserve"> </w:t>
      </w:r>
      <w:r>
        <w:t xml:space="preserve">(Barker 1999; Liljestrand, Wilberg, and Schueller 2019)</w:t>
      </w:r>
      <w:r>
        <w:t xml:space="preserve">. In the</w:t>
      </w:r>
      <w:r>
        <w:t xml:space="preserve"> </w:t>
      </w:r>
      <w:r>
        <w:t xml:space="preserve">model, we considered five true biological states:</w:t>
      </w:r>
    </w:p>
    <w:p>
      <w:pPr>
        <w:numPr>
          <w:ilvl w:val="0"/>
          <w:numId w:val="1003"/>
        </w:numPr>
        <w:pStyle w:val="Compact"/>
      </w:pPr>
      <w:r>
        <w:t xml:space="preserve">not yet entered the population (NE)</w:t>
      </w:r>
    </w:p>
    <w:p>
      <w:pPr>
        <w:numPr>
          <w:ilvl w:val="0"/>
          <w:numId w:val="1003"/>
        </w:numPr>
        <w:pStyle w:val="Compact"/>
      </w:pPr>
      <w:r>
        <w:t xml:space="preserve">alive within the study area (AI)</w:t>
      </w:r>
    </w:p>
    <w:p>
      <w:pPr>
        <w:numPr>
          <w:ilvl w:val="0"/>
          <w:numId w:val="1003"/>
        </w:numPr>
        <w:pStyle w:val="Compact"/>
      </w:pPr>
      <w:r>
        <w:t xml:space="preserve">alive outside the study area (AO)</w:t>
      </w:r>
    </w:p>
    <w:p>
      <w:pPr>
        <w:numPr>
          <w:ilvl w:val="0"/>
          <w:numId w:val="1003"/>
        </w:numPr>
        <w:pStyle w:val="Compact"/>
      </w:pPr>
      <w:r>
        <w:t xml:space="preserve">recovered dead (RD) and</w:t>
      </w:r>
    </w:p>
    <w:p>
      <w:pPr>
        <w:numPr>
          <w:ilvl w:val="0"/>
          <w:numId w:val="1003"/>
        </w:numPr>
        <w:pStyle w:val="Compact"/>
      </w:pPr>
      <w:r>
        <w:t xml:space="preserve">dead (D)</w:t>
      </w:r>
    </w:p>
    <w:p>
      <w:pPr>
        <w:pStyle w:val="FirstParagraph"/>
      </w:pPr>
      <w:r>
        <w:t xml:space="preserve">The focal temporal parameters that are estimated in this model are:</w:t>
      </w:r>
    </w:p>
    <w:p>
      <w:pPr>
        <w:numPr>
          <w:ilvl w:val="0"/>
          <w:numId w:val="1004"/>
        </w:numPr>
        <w:pStyle w:val="Compact"/>
      </w:pPr>
      <w:r>
        <w:t xml:space="preserve">true survival (</w:t>
      </w:r>
      <w:r>
        <w:rPr>
          <w:iCs/>
          <w:i/>
        </w:rPr>
        <w:t xml:space="preserve">s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recapture (</w:t>
      </w:r>
      <w:r>
        <w:rPr>
          <w:iCs/>
          <w:i/>
        </w:rPr>
        <w:t xml:space="preserve">p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site fidelity (</w:t>
      </w:r>
      <w:r>
        <w:rPr>
          <w:iCs/>
          <w:i/>
        </w:rPr>
        <w:t xml:space="preserve">F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dead recovery (</w:t>
      </w:r>
      <w:r>
        <w:rPr>
          <w:iCs/>
          <w:i/>
        </w:rPr>
        <w:t xml:space="preserve">r</w:t>
      </w:r>
      <w:r>
        <w:t xml:space="preserve">) and</w:t>
      </w:r>
    </w:p>
    <w:p>
      <w:pPr>
        <w:numPr>
          <w:ilvl w:val="0"/>
          <w:numId w:val="1004"/>
        </w:numPr>
        <w:pStyle w:val="Compact"/>
      </w:pPr>
      <w:r>
        <w:t xml:space="preserve">abundance (</w:t>
      </w:r>
      <w:r>
        <w:rPr>
          <w:iCs/>
          <w:i/>
        </w:rPr>
        <w:t xml:space="preserve">N</w:t>
      </w:r>
      <w:r>
        <w:t xml:space="preserve">)</w:t>
      </w:r>
    </w:p>
    <w:p>
      <w:pPr>
        <w:pStyle w:val="FirstParagraph"/>
      </w:pPr>
      <w:r>
        <w:t xml:space="preserve">The state of all individuals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in the first occasion (</w:t>
      </w:r>
      <w:r>
        <w:rPr>
          <w:iCs/>
          <w:i/>
        </w:rPr>
        <w:t xml:space="preserve">z</w:t>
      </w:r>
      <w:r>
        <w:rPr>
          <w:vertAlign w:val="subscript"/>
          <w:iCs/>
          <w:i/>
        </w:rPr>
        <w:t xml:space="preserve">i,1</w:t>
      </w:r>
      <w:r>
        <w:t xml:space="preserve">) was</w:t>
      </w:r>
      <w:r>
        <w:t xml:space="preserve"> </w:t>
      </w:r>
      <w:r>
        <w:t xml:space="preserve">set so that they were considered to not have entered the population</w:t>
      </w:r>
      <w:r>
        <w:t xml:space="preserve"> </w:t>
      </w:r>
      <w:r>
        <w:t xml:space="preserve">(</w:t>
      </w:r>
      <w:r>
        <w:rPr>
          <w:iCs/>
          <w:i/>
        </w:rPr>
        <w:t xml:space="preserve">NE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state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from the second occasion (</w:t>
      </w:r>
      <w:r>
        <w:rPr>
          <w:iCs/>
          <w:i/>
        </w:rPr>
        <w:t xml:space="preserve">z</w:t>
      </w:r>
      <w:r>
        <w:rPr>
          <w:vertAlign w:val="subscript"/>
          <w:iCs/>
          <w:i/>
        </w:rPr>
        <w:t xml:space="preserve">i,2</w:t>
      </w:r>
      <w:r>
        <w:t xml:space="preserve">) until</w:t>
      </w:r>
      <w:r>
        <w:t xml:space="preserve"> </w:t>
      </w:r>
      <w:r>
        <w:t xml:space="preserve">they enter the population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φ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the probability that an individual who has not</w:t>
      </w:r>
      <w:r>
        <w:t xml:space="preserve"> </w:t>
      </w:r>
      <w:r>
        <w:t xml:space="preserve">already entered the population, enters. While the subsequent states are</w:t>
      </w:r>
      <w:r>
        <w:t xml:space="preserve"> </w:t>
      </w:r>
      <w:r>
        <w:t xml:space="preserve">dependent on that state of the previous time period, thus the state</w:t>
      </w:r>
      <w:r>
        <w:t xml:space="preserve"> </w:t>
      </w:r>
      <w:r>
        <w:t xml:space="preserve">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z</w:t>
      </w:r>
      <w:r>
        <w:rPr>
          <w:vertAlign w:val="subscript"/>
        </w:rPr>
        <w:t xml:space="preserve">i,t</w:t>
      </w:r>
      <w:r>
        <w:t xml:space="preserve"> </w:t>
      </w:r>
      <w:r>
        <w:t xml:space="preserve">denotes the state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at time</w:t>
      </w:r>
      <w:r>
        <w:t xml:space="preserve"> </w:t>
      </w:r>
      <w:r>
        <w:rPr>
          <w:iCs/>
          <w:i/>
        </w:rPr>
        <w:t xml:space="preserve">t</w:t>
      </w:r>
      <w:r>
        <w:t xml:space="preserve">, and</w:t>
      </w:r>
      <w:r>
        <w:t xml:space="preserve"> </w:t>
      </w:r>
      <m:oMath>
        <m:sSub>
          <m:e>
            <m:r>
              <m:t>Ω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s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 </w:t>
      </w:r>
      <w:r>
        <w:t xml:space="preserve">denotes state membership over time, where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is the number of true states.</w:t>
      </w:r>
    </w:p>
    <w:p>
      <w:pPr>
        <w:pStyle w:val="BodyText"/>
      </w:pPr>
      <w:r>
        <w:t xml:space="preserve">The observation 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o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y</w:t>
      </w:r>
      <w:r>
        <w:rPr>
          <w:vertAlign w:val="subscript"/>
        </w:rPr>
        <w:t xml:space="preserve">i,t</w:t>
      </w:r>
      <w:r>
        <w:t xml:space="preserve"> </w:t>
      </w:r>
      <w:r>
        <w:t xml:space="preserve">denotes the observation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at time</w:t>
      </w:r>
      <w:r>
        <w:t xml:space="preserve"> </w:t>
      </w:r>
      <w:r>
        <w:rPr>
          <w:iCs/>
          <w:i/>
        </w:rPr>
        <w:t xml:space="preserve">t</w:t>
      </w:r>
      <w:r>
        <w:t xml:space="preserve">, and</w:t>
      </w:r>
      <w:r>
        <w:t xml:space="preserve"> </w:t>
      </w:r>
      <m:oMath>
        <m:sSub>
          <m:e>
            <m:r>
              <m:t>Θ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o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 denotes the observational process, linking</w:t>
      </w:r>
      <w:r>
        <w:t xml:space="preserve"> </w:t>
      </w:r>
      <w:r>
        <w:t xml:space="preserve">the true states z</w:t>
      </w:r>
      <w:r>
        <w:rPr>
          <w:vertAlign w:val="subscript"/>
        </w:rPr>
        <w:t xml:space="preserve">i,t</w:t>
      </w:r>
      <w:r>
        <w:t xml:space="preserve"> </w:t>
      </w:r>
      <w:r>
        <w:t xml:space="preserve">to the observed states y</w:t>
      </w:r>
      <w:r>
        <w:rPr>
          <w:vertAlign w:val="subscript"/>
        </w:rPr>
        <w:t xml:space="preserve">i,t</w:t>
      </w:r>
      <w:r>
        <w:t xml:space="preserve">, where</w:t>
      </w:r>
      <w:r>
        <w:t xml:space="preserve"> </w:t>
      </w:r>
      <w:r>
        <w:rPr>
          <w:iCs/>
          <w:i/>
        </w:rPr>
        <w:t xml:space="preserve">o</w:t>
      </w:r>
      <w:r>
        <w:t xml:space="preserve"> </w:t>
      </w:r>
      <w:r>
        <w:t xml:space="preserve">is the</w:t>
      </w:r>
      <w:r>
        <w:t xml:space="preserve"> </w:t>
      </w:r>
      <w:r>
        <w:t xml:space="preserve">number of observed states.</w:t>
      </w:r>
    </w:p>
    <w:p>
      <w:pPr>
        <w:pStyle w:val="BodyText"/>
      </w:pPr>
      <w:r>
        <w:t xml:space="preserve">The number of individuals entering the population at time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(B</w:t>
      </w:r>
      <w:r>
        <w:rPr>
          <w:vertAlign w:val="subscript"/>
        </w:rPr>
        <w:t xml:space="preserve">t</w:t>
      </w:r>
      <w:r>
        <w:t xml:space="preserve">) can</w:t>
      </w:r>
      <w:r>
        <w:t xml:space="preserve"> </w:t>
      </w:r>
      <w:r>
        <w:t xml:space="preserve">be calculated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while the total population size at time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Therefore, the full conditional probability of the model can be</w:t>
      </w:r>
      <w:r>
        <w:t xml:space="preserve"> </w:t>
      </w:r>
      <w:r>
        <w:t xml:space="preserve">expressed as: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F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rPr>
                  <m:sty m:val="p"/>
                </m:rPr>
                <m:t>,</m:t>
              </m:r>
              <m:r>
                <m:t>φ</m:t>
              </m:r>
              <m:r>
                <m:rPr>
                  <m:sty m:val="p"/>
                </m:rPr>
                <m:t>|</m:t>
              </m:r>
              <m:r>
                <m:t>y</m:t>
              </m:r>
            </m:e>
          </m:d>
          <m:r>
            <m:rPr>
              <m:sty m:val="p"/>
            </m:rPr>
            <m:t>∝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{</m:t>
          </m:r>
          <m:r>
            <m:t>z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|</m:t>
          </m:r>
          <m:r>
            <m:t>s</m:t>
          </m:r>
          <m:r>
            <m:rPr>
              <m:sty m:val="p"/>
            </m:rPr>
            <m:t>,</m:t>
          </m:r>
          <m:r>
            <m:t>F</m:t>
          </m:r>
          <m:r>
            <m:rPr>
              <m:sty m:val="p"/>
            </m:rPr>
            <m:t>,</m:t>
          </m:r>
          <m:r>
            <m:t>r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,</m:t>
          </m:r>
          <m:r>
            <m:t>φ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T</m:t>
                  </m:r>
                </m:sup>
                <m:e>
                  <m:r>
                    <m:rPr>
                      <m:sty m:val="p"/>
                    </m:rPr>
                    <m:t>{</m:t>
                  </m:r>
                </m:e>
              </m:nary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}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{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d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φ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2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28" w:name="ref-barker1999"/>
    <w:p>
      <w:pPr>
        <w:pStyle w:val="Bibliography"/>
      </w:pPr>
      <w:r>
        <w:t xml:space="preserve">Barker, Richard J. 1999.</w:t>
      </w:r>
      <w:r>
        <w:t xml:space="preserve"> </w:t>
      </w:r>
      <w:r>
        <w:t xml:space="preserve">“Joint Analysis of Mark</w:t>
      </w:r>
      <w:r>
        <w:t xml:space="preserve">recapture, Resighting and Ring-Recovery Data with Age-Dependence and Marking-Effect.”</w:t>
      </w:r>
      <w:r>
        <w:t xml:space="preserve"> </w:t>
      </w:r>
      <w:r>
        <w:rPr>
          <w:iCs/>
          <w:i/>
        </w:rPr>
        <w:t xml:space="preserve">Bird Study</w:t>
      </w:r>
      <w:r>
        <w:t xml:space="preserve"> </w:t>
      </w:r>
      <w:r>
        <w:t xml:space="preserve">46 (sup1): S82–91.</w:t>
      </w:r>
      <w:r>
        <w:t xml:space="preserve"> </w:t>
      </w:r>
      <w:hyperlink r:id="rId27">
        <w:r>
          <w:rPr>
            <w:rStyle w:val="Hyperlink"/>
          </w:rPr>
          <w:t xml:space="preserve">https://doi.org/10.1080/00063659909477235</w:t>
        </w:r>
      </w:hyperlink>
      <w:r>
        <w:t xml:space="preserve">.</w:t>
      </w:r>
    </w:p>
    <w:bookmarkEnd w:id="28"/>
    <w:bookmarkStart w:id="30" w:name="ref-liljestrand2019"/>
    <w:p>
      <w:pPr>
        <w:pStyle w:val="Bibliography"/>
      </w:pPr>
      <w:r>
        <w:t xml:space="preserve">Liljestrand, Emily M., Michael J. Wilberg, and Amy M. Schueller. 2019.</w:t>
      </w:r>
      <w:r>
        <w:t xml:space="preserve"> </w:t>
      </w:r>
      <w:r>
        <w:t xml:space="preserve">“Multi-State Dead Recovery Mark-Recovery Model Performance for Estimating Movement and Mortality Rates.”</w:t>
      </w:r>
      <w:r>
        <w:t xml:space="preserve"> </w:t>
      </w:r>
      <w:r>
        <w:rPr>
          <w:iCs/>
          <w:i/>
        </w:rPr>
        <w:t xml:space="preserve">Fisheries Research</w:t>
      </w:r>
      <w:r>
        <w:t xml:space="preserve"> </w:t>
      </w:r>
      <w:r>
        <w:t xml:space="preserve">210 (February): 214–23.</w:t>
      </w:r>
      <w:r>
        <w:t xml:space="preserve"> </w:t>
      </w:r>
      <w:hyperlink r:id="rId29">
        <w:r>
          <w:rPr>
            <w:rStyle w:val="Hyperlink"/>
          </w:rPr>
          <w:t xml:space="preserve">https://doi.org/10.1016/j.fishres.2018.10.014</w:t>
        </w:r>
      </w:hyperlink>
      <w:r>
        <w:t xml:space="preserve">.</w:t>
      </w:r>
    </w:p>
    <w:bookmarkEnd w:id="30"/>
    <w:bookmarkStart w:id="32" w:name="ref-royle2008"/>
    <w:p>
      <w:pPr>
        <w:pStyle w:val="Bibliography"/>
      </w:pPr>
      <w:r>
        <w:t xml:space="preserve">Royle, J. Andrew. 2008.</w:t>
      </w:r>
      <w:r>
        <w:t xml:space="preserve"> </w:t>
      </w:r>
      <w:r>
        <w:t xml:space="preserve">“Analysis of Capture-Recapture Models with Individual Covariates Using Data Augmentation.”</w:t>
      </w:r>
      <w:r>
        <w:t xml:space="preserve"> </w:t>
      </w:r>
      <w:r>
        <w:rPr>
          <w:iCs/>
          <w:i/>
        </w:rPr>
        <w:t xml:space="preserve">Biometrics</w:t>
      </w:r>
      <w:r>
        <w:t xml:space="preserve"> </w:t>
      </w:r>
      <w:r>
        <w:t xml:space="preserve">65 (1): 267–74.</w:t>
      </w:r>
      <w:r>
        <w:t xml:space="preserve"> </w:t>
      </w:r>
      <w:hyperlink r:id="rId31">
        <w:r>
          <w:rPr>
            <w:rStyle w:val="Hyperlink"/>
          </w:rPr>
          <w:t xml:space="preserve">https://doi.org/10.1111/j.1541-0420.2008.01038.x</w:t>
        </w:r>
      </w:hyperlink>
      <w:r>
        <w:t xml:space="preserve">.</w:t>
      </w:r>
    </w:p>
    <w:bookmarkEnd w:id="32"/>
    <w:bookmarkStart w:id="34" w:name="ref-royle2010"/>
    <w:p>
      <w:pPr>
        <w:pStyle w:val="Bibliography"/>
      </w:pPr>
      <w:r>
        <w:t xml:space="preserve">Royle, J. Andrew, and Robert M. Dorazio. 2010.</w:t>
      </w:r>
      <w:r>
        <w:t xml:space="preserve"> </w:t>
      </w:r>
      <w:r>
        <w:t xml:space="preserve">“Parameter-Expanded Data Augmentation for Bayesian Analysis of Capture</w:t>
      </w:r>
      <w:r>
        <w:t xml:space="preserve">recapture Models.”</w:t>
      </w:r>
      <w:r>
        <w:t xml:space="preserve"> </w:t>
      </w:r>
      <w:r>
        <w:rPr>
          <w:iCs/>
          <w:i/>
        </w:rPr>
        <w:t xml:space="preserve">Journal of Ornithology</w:t>
      </w:r>
      <w:r>
        <w:t xml:space="preserve"> </w:t>
      </w:r>
      <w:r>
        <w:t xml:space="preserve">152 (S2): 521–37.</w:t>
      </w:r>
      <w:r>
        <w:t xml:space="preserve"> </w:t>
      </w:r>
      <w:hyperlink r:id="rId33">
        <w:r>
          <w:rPr>
            <w:rStyle w:val="Hyperlink"/>
          </w:rPr>
          <w:t xml:space="preserve">https://doi.org/10.1007/s10336-010-0619-4</w:t>
        </w:r>
      </w:hyperlink>
      <w:r>
        <w:t xml:space="preserve">.</w:t>
      </w:r>
    </w:p>
    <w:bookmarkEnd w:id="34"/>
    <w:bookmarkStart w:id="36" w:name="ref-royle2007"/>
    <w:p>
      <w:pPr>
        <w:pStyle w:val="Bibliography"/>
      </w:pPr>
      <w:r>
        <w:t xml:space="preserve">Royle, J. Andrew, Robert M Dorazio, and William A Link. 2007.</w:t>
      </w:r>
      <w:r>
        <w:t xml:space="preserve"> </w:t>
      </w:r>
      <w:r>
        <w:t xml:space="preserve">“Analysis of Multinomial Models With Unknown Index Using Data Augmentation.”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16 (1): 67–85.</w:t>
      </w:r>
      <w:r>
        <w:t xml:space="preserve"> </w:t>
      </w:r>
      <w:hyperlink r:id="rId35">
        <w:r>
          <w:rPr>
            <w:rStyle w:val="Hyperlink"/>
          </w:rPr>
          <w:t xml:space="preserve">https://doi.org/10.1198/106186007x181425</w:t>
        </w:r>
      </w:hyperlink>
      <w:r>
        <w:t xml:space="preserve">.</w:t>
      </w:r>
    </w:p>
    <w:bookmarkEnd w:id="36"/>
    <w:bookmarkStart w:id="38" w:name="ref-schaub2013"/>
    <w:p>
      <w:pPr>
        <w:pStyle w:val="Bibliography"/>
      </w:pPr>
      <w:r>
        <w:t xml:space="preserve">Schaub, Michael, and J. Andrew Royle. 2013.</w:t>
      </w:r>
      <w:r>
        <w:t xml:space="preserve"> </w:t>
      </w:r>
      <w:r>
        <w:t xml:space="preserve">“Estimating True Instead of Apparent Survival Using Spatial Cormack-Jolly-Seber Models.”</w:t>
      </w:r>
      <w:r>
        <w:t xml:space="preserve"> </w:t>
      </w:r>
      <w:r>
        <w:t xml:space="preserve">Edited by Richard Barker.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(12): 1316–26.</w:t>
      </w:r>
      <w:r>
        <w:t xml:space="preserve"> </w:t>
      </w:r>
      <w:hyperlink r:id="rId37">
        <w:r>
          <w:rPr>
            <w:rStyle w:val="Hyperlink"/>
          </w:rPr>
          <w:t xml:space="preserve">https://doi.org/10.1111/2041-210x.12134</w:t>
        </w:r>
      </w:hyperlink>
      <w:r>
        <w:t xml:space="preserve">.</w:t>
      </w:r>
    </w:p>
    <w:bookmarkEnd w:id="38"/>
    <w:bookmarkStart w:id="40" w:name="ref-modeling2009a"/>
    <w:p>
      <w:pPr>
        <w:pStyle w:val="Bibliography"/>
      </w:pPr>
      <w:r>
        <w:t xml:space="preserve">Thomson, David L, Evan G. Cooch, and Michael J. Conroy, eds. 2009.</w:t>
      </w:r>
      <w:r>
        <w:t xml:space="preserve"> </w:t>
      </w:r>
      <w:r>
        <w:rPr>
          <w:iCs/>
          <w:i/>
        </w:rPr>
        <w:t xml:space="preserve">Modeling Demographic Processes in Marked Populations</w:t>
      </w:r>
      <w:r>
        <w:t xml:space="preserve">. Springer US.</w:t>
      </w:r>
      <w:r>
        <w:t xml:space="preserve"> </w:t>
      </w:r>
      <w:hyperlink r:id="rId39">
        <w:r>
          <w:rPr>
            <w:rStyle w:val="Hyperlink"/>
          </w:rPr>
          <w:t xml:space="preserve">https://doi.org/10.1007/978-0-387-78151-8</w:t>
        </w:r>
      </w:hyperlink>
      <w:r>
        <w:t xml:space="preserve">.</w:t>
      </w:r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i.org/10.1007/978-0-387-78151-8" TargetMode="External" /><Relationship Type="http://schemas.openxmlformats.org/officeDocument/2006/relationships/hyperlink" Id="rId33" Target="https://doi.org/10.1007/s10336-010-0619-4" TargetMode="External" /><Relationship Type="http://schemas.openxmlformats.org/officeDocument/2006/relationships/hyperlink" Id="rId29" Target="https://doi.org/10.1016/j.fishres.2018.10.014" TargetMode="External" /><Relationship Type="http://schemas.openxmlformats.org/officeDocument/2006/relationships/hyperlink" Id="rId27" Target="https://doi.org/10.1080/00063659909477235" TargetMode="External" /><Relationship Type="http://schemas.openxmlformats.org/officeDocument/2006/relationships/hyperlink" Id="rId37" Target="https://doi.org/10.1111/2041-210x.12134" TargetMode="External" /><Relationship Type="http://schemas.openxmlformats.org/officeDocument/2006/relationships/hyperlink" Id="rId31" Target="https://doi.org/10.1111/j.1541-0420.2008.01038.x" TargetMode="External" /><Relationship Type="http://schemas.openxmlformats.org/officeDocument/2006/relationships/hyperlink" Id="rId35" Target="https://doi.org/10.1198/106186007x181425" TargetMode="External" /><Relationship Type="http://schemas.openxmlformats.org/officeDocument/2006/relationships/hyperlink" Id="rId20" Target="https://sourceforge.net/projects/mcmc-jags/files/JAGS/4.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07/978-0-387-78151-8" TargetMode="External" /><Relationship Type="http://schemas.openxmlformats.org/officeDocument/2006/relationships/hyperlink" Id="rId33" Target="https://doi.org/10.1007/s10336-010-0619-4" TargetMode="External" /><Relationship Type="http://schemas.openxmlformats.org/officeDocument/2006/relationships/hyperlink" Id="rId29" Target="https://doi.org/10.1016/j.fishres.2018.10.014" TargetMode="External" /><Relationship Type="http://schemas.openxmlformats.org/officeDocument/2006/relationships/hyperlink" Id="rId27" Target="https://doi.org/10.1080/00063659909477235" TargetMode="External" /><Relationship Type="http://schemas.openxmlformats.org/officeDocument/2006/relationships/hyperlink" Id="rId37" Target="https://doi.org/10.1111/2041-210x.12134" TargetMode="External" /><Relationship Type="http://schemas.openxmlformats.org/officeDocument/2006/relationships/hyperlink" Id="rId31" Target="https://doi.org/10.1111/j.1541-0420.2008.01038.x" TargetMode="External" /><Relationship Type="http://schemas.openxmlformats.org/officeDocument/2006/relationships/hyperlink" Id="rId35" Target="https://doi.org/10.1198/106186007x181425" TargetMode="External" /><Relationship Type="http://schemas.openxmlformats.org/officeDocument/2006/relationships/hyperlink" Id="rId20" Target="https://sourceforge.net/projects/mcmc-jags/files/JAGS/4.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2023-06-27T23:31:22Z</dcterms:created>
  <dcterms:modified xsi:type="dcterms:W3CDTF">2023-06-27T23:31:22Z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