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rPr>
          <w:rFonts w:ascii="Arial" w:hAnsi="Arial"/>
          <w:b/>
          <w:color w:val="000000"/>
          <w:sz w:val="48"/>
        </w:rPr>
        <w:t>Meta Clinic FDE Integration Offer</w:t>
      </w:r>
    </w:p>
    <w:p>
      <w:pPr>
        <w:spacing w:after="280"/>
      </w:pPr>
      <w:r>
        <w:rPr>
          <w:rFonts w:ascii="Arial" w:hAnsi="Arial"/>
          <w:b w:val="0"/>
          <w:color w:val="505050"/>
          <w:sz w:val="22"/>
        </w:rPr>
        <w:t>Data migration and implementation scope</w:t>
      </w:r>
    </w:p>
    <w:p>
      <w:r>
        <w:rPr>
          <w:rFonts w:ascii="Arial" w:hAnsi="Arial"/>
          <w:b w:val="0"/>
          <w:color w:val="000000"/>
          <w:sz w:val="21"/>
        </w:rPr>
        <w:t>The FDE offer helps a clinic move from its current systems into the fully completed Meta Clinic platform through a controlled, documented process. The FDE configures the clinic, maps approved data, coordinates pharmacy, supplier or other integration work, validates the result with clinic staff and hands the configured workspace to clinic ownership. The FDE is an implementation role, not a general consultancy, clinician or clinic administrator.</w:t>
      </w:r>
    </w:p>
    <w:p>
      <w:pPr>
        <w:pStyle w:val="Heading1"/>
      </w:pPr>
      <w:r>
        <w:t>FDE outcome</w:t>
      </w:r>
    </w:p>
    <w:p>
      <w:r>
        <w:rPr>
          <w:rFonts w:ascii="Arial" w:hAnsi="Arial"/>
          <w:b w:val="0"/>
          <w:color w:val="000000"/>
          <w:sz w:val="21"/>
        </w:rPr>
        <w:t>At the end of an accepted engagement, the clinic should have a configured Meta Clinic workspace, a documented source-to-target mapping, a reconciled migration result, an identified exception list and a staff-approved handoff. The outcome is a validated implementation within an agreed scope; it is not a guarantee of clinical, legal, regulatory or professional approval.</w:t>
      </w:r>
    </w:p>
    <w:p>
      <w:pPr>
        <w:pStyle w:val="Heading1"/>
      </w:pPr>
      <w:r>
        <w:t>Engagement phases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rial" w:hAnsi="Arial"/>
                <w:b/>
                <w:color w:val="FFFFFF"/>
                <w:sz w:val="18"/>
              </w:rPr>
              <w:t>Phase</w:t>
            </w:r>
          </w:p>
        </w:tc>
        <w:tc>
          <w:tcPr>
            <w:tcW w:type="dxa" w:w="547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rial" w:hAnsi="Arial"/>
                <w:b/>
                <w:color w:val="FFFFFF"/>
                <w:sz w:val="18"/>
              </w:rPr>
              <w:t>FDE responsibilities</w:t>
            </w:r>
          </w:p>
        </w:tc>
        <w:tc>
          <w:tcPr>
            <w:tcW w:type="dxa" w:w="30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rial" w:hAnsi="Arial"/>
                <w:b/>
                <w:color w:val="FFFFFF"/>
                <w:sz w:val="18"/>
              </w:rPr>
              <w:t>Exit evidence</w:t>
            </w:r>
          </w:p>
        </w:tc>
      </w:tr>
      <w:t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0" w:lineRule="auto"/>
            </w:pPr>
            <w:r>
              <w:rPr>
                <w:rFonts w:ascii="Arial" w:hAnsi="Arial"/>
                <w:b w:val="0"/>
                <w:color w:val="000000"/>
                <w:sz w:val="17"/>
              </w:rPr>
              <w:t>Discover</w:t>
            </w:r>
          </w:p>
        </w:tc>
        <w:tc>
          <w:tcPr>
            <w:tcW w:type="dxa" w:w="54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0" w:lineRule="auto"/>
            </w:pPr>
            <w:r>
              <w:rPr>
                <w:rFonts w:ascii="Arial" w:hAnsi="Arial"/>
                <w:b w:val="0"/>
                <w:color w:val="000000"/>
                <w:sz w:val="17"/>
              </w:rPr>
              <w:t>Inventory current systems, exports, integrations, data domains, owners and constraints.</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0" w:lineRule="auto"/>
            </w:pPr>
            <w:r>
              <w:rPr>
                <w:rFonts w:ascii="Arial" w:hAnsi="Arial"/>
                <w:b w:val="0"/>
                <w:color w:val="000000"/>
                <w:sz w:val="17"/>
              </w:rPr>
              <w:t>Signed scope, source inventory, access plan and migration assumptions.</w:t>
            </w:r>
          </w:p>
        </w:tc>
      </w:tr>
      <w:t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0" w:line="240" w:lineRule="auto"/>
            </w:pPr>
            <w:r>
              <w:rPr>
                <w:rFonts w:ascii="Arial" w:hAnsi="Arial"/>
                <w:b w:val="0"/>
                <w:color w:val="000000"/>
                <w:sz w:val="17"/>
              </w:rPr>
              <w:t>Map</w:t>
            </w:r>
          </w:p>
        </w:tc>
        <w:tc>
          <w:tcPr>
            <w:tcW w:type="dxa" w:w="54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0" w:line="240" w:lineRule="auto"/>
            </w:pPr>
            <w:r>
              <w:rPr>
                <w:rFonts w:ascii="Arial" w:hAnsi="Arial"/>
                <w:b w:val="0"/>
                <w:color w:val="000000"/>
                <w:sz w:val="17"/>
              </w:rPr>
              <w:t>Define field mapping, transformations, exclusions, duplicate handling and target ownership.</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0" w:line="240" w:lineRule="auto"/>
            </w:pPr>
            <w:r>
              <w:rPr>
                <w:rFonts w:ascii="Arial" w:hAnsi="Arial"/>
                <w:b w:val="0"/>
                <w:color w:val="000000"/>
                <w:sz w:val="17"/>
              </w:rPr>
              <w:t>Versioned mapping and exception rules approved by the clinic.</w:t>
            </w:r>
          </w:p>
        </w:tc>
      </w:tr>
      <w:t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0" w:lineRule="auto"/>
            </w:pPr>
            <w:r>
              <w:rPr>
                <w:rFonts w:ascii="Arial" w:hAnsi="Arial"/>
                <w:b w:val="0"/>
                <w:color w:val="000000"/>
                <w:sz w:val="17"/>
              </w:rPr>
              <w:t>Build</w:t>
            </w:r>
          </w:p>
        </w:tc>
        <w:tc>
          <w:tcPr>
            <w:tcW w:type="dxa" w:w="54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0" w:lineRule="auto"/>
            </w:pPr>
            <w:r>
              <w:rPr>
                <w:rFonts w:ascii="Arial" w:hAnsi="Arial"/>
                <w:b w:val="0"/>
                <w:color w:val="000000"/>
                <w:sz w:val="17"/>
              </w:rPr>
              <w:t>Configure clinic settings and create the approved import or integration path.</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0" w:lineRule="auto"/>
            </w:pPr>
            <w:r>
              <w:rPr>
                <w:rFonts w:ascii="Arial" w:hAnsi="Arial"/>
                <w:b w:val="0"/>
                <w:color w:val="000000"/>
                <w:sz w:val="17"/>
              </w:rPr>
              <w:t>Configured workspace, integration notes and repeatable import procedure.</w:t>
            </w:r>
          </w:p>
        </w:tc>
      </w:tr>
      <w:t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0" w:line="240" w:lineRule="auto"/>
            </w:pPr>
            <w:r>
              <w:rPr>
                <w:rFonts w:ascii="Arial" w:hAnsi="Arial"/>
                <w:b w:val="0"/>
                <w:color w:val="000000"/>
                <w:sz w:val="17"/>
              </w:rPr>
              <w:t>Validate</w:t>
            </w:r>
          </w:p>
        </w:tc>
        <w:tc>
          <w:tcPr>
            <w:tcW w:type="dxa" w:w="54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0" w:line="240" w:lineRule="auto"/>
            </w:pPr>
            <w:r>
              <w:rPr>
                <w:rFonts w:ascii="Arial" w:hAnsi="Arial"/>
                <w:b w:val="0"/>
                <w:color w:val="000000"/>
                <w:sz w:val="17"/>
              </w:rPr>
              <w:t>Run a dry run, reconcile counts and samples, surface defects and guide staff review.</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0" w:line="240" w:lineRule="auto"/>
            </w:pPr>
            <w:r>
              <w:rPr>
                <w:rFonts w:ascii="Arial" w:hAnsi="Arial"/>
                <w:b w:val="0"/>
                <w:color w:val="000000"/>
                <w:sz w:val="17"/>
              </w:rPr>
              <w:t>Reconciliation results, exception list and staff validation record.</w:t>
            </w:r>
          </w:p>
        </w:tc>
      </w:tr>
      <w:t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0" w:lineRule="auto"/>
            </w:pPr>
            <w:r>
              <w:rPr>
                <w:rFonts w:ascii="Arial" w:hAnsi="Arial"/>
                <w:b w:val="0"/>
                <w:color w:val="000000"/>
                <w:sz w:val="17"/>
              </w:rPr>
              <w:t>Handoff</w:t>
            </w:r>
          </w:p>
        </w:tc>
        <w:tc>
          <w:tcPr>
            <w:tcW w:type="dxa" w:w="547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0" w:lineRule="auto"/>
            </w:pPr>
            <w:r>
              <w:rPr>
                <w:rFonts w:ascii="Arial" w:hAnsi="Arial"/>
                <w:b w:val="0"/>
                <w:color w:val="000000"/>
                <w:sz w:val="17"/>
              </w:rPr>
              <w:t>Complete agreed cutover steps, document support boundaries and train clinic operators.</w:t>
            </w:r>
          </w:p>
        </w:tc>
        <w:tc>
          <w:tcPr>
            <w:tcW w:type="dxa" w:w="30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0" w:lineRule="auto"/>
            </w:pPr>
            <w:r>
              <w:rPr>
                <w:rFonts w:ascii="Arial" w:hAnsi="Arial"/>
                <w:b w:val="0"/>
                <w:color w:val="000000"/>
                <w:sz w:val="17"/>
              </w:rPr>
              <w:t>Acceptance signoff, runbook, open-items list and support transition.</w:t>
            </w:r>
          </w:p>
        </w:tc>
      </w:tr>
    </w:tbl>
    <w:p>
      <w:pPr>
        <w:spacing w:after="40"/>
      </w:pPr>
    </w:p>
    <w:p>
      <w:pPr>
        <w:pStyle w:val="Heading1"/>
      </w:pPr>
      <w:r>
        <w:t>Integration tiers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rial" w:hAnsi="Arial"/>
                <w:b/>
                <w:color w:val="FFFFFF"/>
                <w:sz w:val="18"/>
              </w:rPr>
              <w:t>Tier</w:t>
            </w:r>
          </w:p>
        </w:tc>
        <w:tc>
          <w:tcPr>
            <w:tcW w:type="dxa" w:w="6120"/>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rial" w:hAnsi="Arial"/>
                <w:b/>
                <w:color w:val="FFFFFF"/>
                <w:sz w:val="18"/>
              </w:rPr>
              <w:t>Typical scope</w:t>
            </w:r>
          </w:p>
        </w:tc>
        <w:tc>
          <w:tcPr>
            <w:tcW w:type="dxa" w:w="237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rial" w:hAnsi="Arial"/>
                <w:b/>
                <w:color w:val="FFFFFF"/>
                <w:sz w:val="18"/>
              </w:rPr>
              <w:t>Price hypothesis</w:t>
            </w:r>
          </w:p>
        </w:tc>
      </w:tr>
      <w:t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0" w:lineRule="auto"/>
            </w:pPr>
            <w:r>
              <w:rPr>
                <w:rFonts w:ascii="Arial" w:hAnsi="Arial"/>
                <w:b w:val="0"/>
                <w:color w:val="000000"/>
                <w:sz w:val="17"/>
              </w:rPr>
              <w:t>Simple</w:t>
            </w:r>
          </w:p>
        </w:tc>
        <w:tc>
          <w:tcPr>
            <w:tcW w:type="dxa" w:w="61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0" w:lineRule="auto"/>
            </w:pPr>
            <w:r>
              <w:rPr>
                <w:rFonts w:ascii="Arial" w:hAnsi="Arial"/>
                <w:b w:val="0"/>
                <w:color w:val="000000"/>
                <w:sz w:val="17"/>
              </w:rPr>
              <w:t>One source, clean export, standard mapping and one validated import.</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0" w:lineRule="auto"/>
            </w:pPr>
            <w:r>
              <w:rPr>
                <w:rFonts w:ascii="Arial" w:hAnsi="Arial"/>
                <w:b w:val="0"/>
                <w:color w:val="000000"/>
                <w:sz w:val="17"/>
              </w:rPr>
              <w:t>$5,000-$10,000</w:t>
            </w:r>
          </w:p>
        </w:tc>
      </w:tr>
      <w:t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0" w:line="240" w:lineRule="auto"/>
            </w:pPr>
            <w:r>
              <w:rPr>
                <w:rFonts w:ascii="Arial" w:hAnsi="Arial"/>
                <w:b w:val="0"/>
                <w:color w:val="000000"/>
                <w:sz w:val="17"/>
              </w:rPr>
              <w:t>Standard</w:t>
            </w:r>
          </w:p>
        </w:tc>
        <w:tc>
          <w:tcPr>
            <w:tcW w:type="dxa" w:w="61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0" w:line="240" w:lineRule="auto"/>
            </w:pPr>
            <w:r>
              <w:rPr>
                <w:rFonts w:ascii="Arial" w:hAnsi="Arial"/>
                <w:b w:val="0"/>
                <w:color w:val="000000"/>
                <w:sz w:val="17"/>
              </w:rPr>
              <w:t>Multiple sources or custom mapping, reconciliation, staff validation and guided cutover.</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0" w:line="240" w:lineRule="auto"/>
            </w:pPr>
            <w:r>
              <w:rPr>
                <w:rFonts w:ascii="Arial" w:hAnsi="Arial"/>
                <w:b w:val="0"/>
                <w:color w:val="000000"/>
                <w:sz w:val="17"/>
              </w:rPr>
              <w:t>$10,000-$20,000</w:t>
            </w:r>
          </w:p>
        </w:tc>
      </w:tr>
      <w:tr>
        <w:tc>
          <w:tcPr>
            <w:tcW w:type="dxa" w:w="144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0" w:lineRule="auto"/>
            </w:pPr>
            <w:r>
              <w:rPr>
                <w:rFonts w:ascii="Arial" w:hAnsi="Arial"/>
                <w:b w:val="0"/>
                <w:color w:val="000000"/>
                <w:sz w:val="17"/>
              </w:rPr>
              <w:t>Complex</w:t>
            </w:r>
          </w:p>
        </w:tc>
        <w:tc>
          <w:tcPr>
            <w:tcW w:type="dxa" w:w="6120"/>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0" w:lineRule="auto"/>
            </w:pPr>
            <w:r>
              <w:rPr>
                <w:rFonts w:ascii="Arial" w:hAnsi="Arial"/>
                <w:b w:val="0"/>
                <w:color w:val="000000"/>
                <w:sz w:val="17"/>
              </w:rPr>
              <w:t>Custom pharmacy/supplier APIs, multiple sites, incomplete or high-volume records, or exceptional rollback needs.</w:t>
            </w:r>
          </w:p>
        </w:tc>
        <w:tc>
          <w:tcPr>
            <w:tcW w:type="dxa" w:w="237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0" w:lineRule="auto"/>
            </w:pPr>
            <w:r>
              <w:rPr>
                <w:rFonts w:ascii="Arial" w:hAnsi="Arial"/>
                <w:b w:val="0"/>
                <w:color w:val="000000"/>
                <w:sz w:val="17"/>
              </w:rPr>
              <w:t>$20,000-$40,000+</w:t>
            </w:r>
          </w:p>
        </w:tc>
      </w:tr>
    </w:tbl>
    <w:p>
      <w:pPr>
        <w:spacing w:after="40"/>
      </w:pPr>
    </w:p>
    <w:p>
      <w:r>
        <w:rPr>
          <w:rFonts w:ascii="Arial" w:hAnsi="Arial"/>
          <w:b w:val="0"/>
          <w:color w:val="000000"/>
          <w:sz w:val="21"/>
        </w:rPr>
        <w:t>The fee is based on source count, data volume, mapping complexity, integration method, validation effort, cutover risk and expected FDE hours. It is not based on patient-care revenue.</w:t>
      </w:r>
    </w:p>
    <w:p>
      <w:pPr>
        <w:pStyle w:val="Heading1"/>
      </w:pPr>
      <w:r>
        <w:t>Included and excluded work</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824"/>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rial" w:hAnsi="Arial"/>
                <w:b/>
                <w:color w:val="FFFFFF"/>
                <w:sz w:val="18"/>
              </w:rPr>
              <w:t>Included when scoped</w:t>
            </w:r>
          </w:p>
        </w:tc>
        <w:tc>
          <w:tcPr>
            <w:tcW w:type="dxa" w:w="5112"/>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jc w:val="left"/>
            </w:pPr>
            <w:r>
              <w:rPr>
                <w:rFonts w:ascii="Arial" w:hAnsi="Arial"/>
                <w:b/>
                <w:color w:val="FFFFFF"/>
                <w:sz w:val="18"/>
              </w:rPr>
              <w:t>Not included by default</w:t>
            </w:r>
          </w:p>
        </w:tc>
      </w:tr>
      <w:tr>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0" w:lineRule="auto"/>
            </w:pPr>
            <w:r>
              <w:rPr>
                <w:rFonts w:ascii="Arial" w:hAnsi="Arial"/>
                <w:b w:val="0"/>
                <w:color w:val="000000"/>
                <w:sz w:val="17"/>
              </w:rPr>
              <w:t>Source-system discovery and approved export review</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0" w:lineRule="auto"/>
            </w:pPr>
            <w:r>
              <w:rPr>
                <w:rFonts w:ascii="Arial" w:hAnsi="Arial"/>
                <w:b w:val="0"/>
                <w:color w:val="000000"/>
                <w:sz w:val="17"/>
              </w:rPr>
              <w:t>Legal, clinical, accounting or professional advice</w:t>
            </w:r>
          </w:p>
        </w:tc>
      </w:tr>
      <w:tr>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0" w:line="240" w:lineRule="auto"/>
            </w:pPr>
            <w:r>
              <w:rPr>
                <w:rFonts w:ascii="Arial" w:hAnsi="Arial"/>
                <w:b w:val="0"/>
                <w:color w:val="000000"/>
                <w:sz w:val="17"/>
              </w:rPr>
              <w:t>Field mapping and transformation rules</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0" w:line="240" w:lineRule="auto"/>
            </w:pPr>
            <w:r>
              <w:rPr>
                <w:rFonts w:ascii="Arial" w:hAnsi="Arial"/>
                <w:b w:val="0"/>
                <w:color w:val="000000"/>
                <w:sz w:val="17"/>
              </w:rPr>
              <w:t>Credential approval, clinical decisions or prescribing authority</w:t>
            </w:r>
          </w:p>
        </w:tc>
      </w:tr>
      <w:tr>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0" w:lineRule="auto"/>
            </w:pPr>
            <w:r>
              <w:rPr>
                <w:rFonts w:ascii="Arial" w:hAnsi="Arial"/>
                <w:b w:val="0"/>
                <w:color w:val="000000"/>
                <w:sz w:val="17"/>
              </w:rPr>
              <w:t>Approved pharmacy, supplier and inventory integration coordination when contracted</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0" w:lineRule="auto"/>
            </w:pPr>
            <w:r>
              <w:rPr>
                <w:rFonts w:ascii="Arial" w:hAnsi="Arial"/>
                <w:b w:val="0"/>
                <w:color w:val="000000"/>
                <w:sz w:val="17"/>
              </w:rPr>
              <w:t>Live pharmacy/supplier access without approved contracts, credentials and acceptance</w:t>
            </w:r>
          </w:p>
        </w:tc>
      </w:tr>
      <w:tr>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0" w:line="240" w:lineRule="auto"/>
            </w:pPr>
            <w:r>
              <w:rPr>
                <w:rFonts w:ascii="Arial" w:hAnsi="Arial"/>
                <w:b w:val="0"/>
                <w:color w:val="000000"/>
                <w:sz w:val="17"/>
              </w:rPr>
              <w:t>Configuration of supported Meta Clinic settings</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0" w:line="240" w:lineRule="auto"/>
            </w:pPr>
            <w:r>
              <w:rPr>
                <w:rFonts w:ascii="Arial" w:hAnsi="Arial"/>
                <w:b w:val="0"/>
                <w:color w:val="000000"/>
                <w:sz w:val="17"/>
              </w:rPr>
              <w:t>Unlimited custom development or unsupported integrations</w:t>
            </w:r>
          </w:p>
        </w:tc>
      </w:tr>
      <w:tr>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0" w:lineRule="auto"/>
            </w:pPr>
            <w:r>
              <w:rPr>
                <w:rFonts w:ascii="Arial" w:hAnsi="Arial"/>
                <w:b w:val="0"/>
                <w:color w:val="000000"/>
                <w:sz w:val="17"/>
              </w:rPr>
              <w:t>Dry runs, reconciliation and staff validation</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0" w:line="240" w:lineRule="auto"/>
            </w:pPr>
            <w:r>
              <w:rPr>
                <w:rFonts w:ascii="Arial" w:hAnsi="Arial"/>
                <w:b w:val="0"/>
                <w:color w:val="000000"/>
                <w:sz w:val="17"/>
              </w:rPr>
              <w:t>Correction of source records outside the agreed process</w:t>
            </w:r>
          </w:p>
        </w:tc>
      </w:tr>
      <w:tr>
        <w:tc>
          <w:tcPr>
            <w:tcW w:type="dxa" w:w="4824"/>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0" w:line="240" w:lineRule="auto"/>
            </w:pPr>
            <w:r>
              <w:rPr>
                <w:rFonts w:ascii="Arial" w:hAnsi="Arial"/>
                <w:b w:val="0"/>
                <w:color w:val="000000"/>
                <w:sz w:val="17"/>
              </w:rPr>
              <w:t>Cutover runbook, handoff and defined post-cutover support</w:t>
            </w:r>
          </w:p>
        </w:tc>
        <w:tc>
          <w:tcPr>
            <w:tcW w:type="dxa" w:w="5112"/>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0" w:line="240" w:lineRule="auto"/>
            </w:pPr>
            <w:r>
              <w:rPr>
                <w:rFonts w:ascii="Arial" w:hAnsi="Arial"/>
                <w:b w:val="0"/>
                <w:color w:val="000000"/>
                <w:sz w:val="17"/>
              </w:rPr>
              <w:t>Vendor fees, source export charges, travel or extra support unless contracted</w:t>
            </w:r>
          </w:p>
        </w:tc>
      </w:tr>
    </w:tbl>
    <w:p>
      <w:pPr>
        <w:spacing w:after="40"/>
      </w:pPr>
    </w:p>
    <w:p>
      <w:pPr>
        <w:pStyle w:val="Heading1"/>
      </w:pPr>
      <w:r>
        <w:t>Data and access boundary</w:t>
      </w:r>
    </w:p>
    <w:p>
      <w:r>
        <w:rPr>
          <w:rFonts w:ascii="Arial" w:hAnsi="Arial"/>
          <w:b w:val="0"/>
          <w:color w:val="000000"/>
          <w:sz w:val="21"/>
        </w:rPr>
        <w:t>The current implementation-specialist role is intentionally limited to facilities configuration. It does not grant patient, encounter, note, medication, billing, inventory or role-management authority. If a live migration requires additional access, use a separately approved migration identity or controlled process with least privilege, time bounds, auditability and revocation. Do not expand the ordinary FDE role by assumption.</w:t>
      </w:r>
    </w:p>
    <w:p>
      <w:r>
        <w:rPr>
          <w:rFonts w:ascii="Arial" w:hAnsi="Arial"/>
          <w:b w:val="0"/>
          <w:color w:val="000000"/>
          <w:sz w:val="21"/>
        </w:rPr>
        <w:t>Real patient or clinical data may be accessed or moved only after documented customer authorization, applicable agreements, source-system permissions, data-flow and security review, approved credentials, mapping, reconciliation, rollback planning and release approval. Synthetic development data is not a substitute for customer migration evidence.</w:t>
      </w:r>
    </w:p>
    <w:p>
      <w:pPr>
        <w:pStyle w:val="Heading1"/>
      </w:pPr>
      <w:r>
        <w:t>Migration acceptance</w:t>
      </w:r>
    </w:p>
    <w:p>
      <w:pPr>
        <w:pStyle w:val="ListNumber"/>
        <w:spacing w:after="60"/>
      </w:pPr>
      <w:r>
        <w:rPr>
          <w:rFonts w:ascii="Arial" w:hAnsi="Arial"/>
          <w:b w:val="0"/>
          <w:color w:val="000000"/>
          <w:sz w:val="21"/>
        </w:rPr>
        <w:t>The customer confirms the source systems, authorized data domains and records to be migrated.</w:t>
      </w:r>
    </w:p>
    <w:p>
      <w:pPr>
        <w:pStyle w:val="ListNumber"/>
        <w:spacing w:after="60"/>
      </w:pPr>
      <w:r>
        <w:rPr>
          <w:rFonts w:ascii="Arial" w:hAnsi="Arial"/>
          <w:b w:val="0"/>
          <w:color w:val="000000"/>
          <w:sz w:val="21"/>
        </w:rPr>
        <w:t>The FDE and customer approve the versioned mapping, transformations, exclusions and exception rules.</w:t>
      </w:r>
    </w:p>
    <w:p>
      <w:pPr>
        <w:pStyle w:val="ListNumber"/>
        <w:spacing w:after="60"/>
      </w:pPr>
      <w:r>
        <w:rPr>
          <w:rFonts w:ascii="Arial" w:hAnsi="Arial"/>
          <w:b w:val="0"/>
          <w:color w:val="000000"/>
          <w:sz w:val="21"/>
        </w:rPr>
        <w:t>A dry run produces counts, reconciliation results and a list of unresolved exceptions.</w:t>
      </w:r>
    </w:p>
    <w:p>
      <w:pPr>
        <w:pStyle w:val="ListNumber"/>
        <w:spacing w:after="60"/>
      </w:pPr>
      <w:r>
        <w:rPr>
          <w:rFonts w:ascii="Arial" w:hAnsi="Arial"/>
          <w:b w:val="0"/>
          <w:color w:val="000000"/>
          <w:sz w:val="21"/>
        </w:rPr>
        <w:t>Authorized clinic staff review representative results and confirm that the target workflow is usable.</w:t>
      </w:r>
    </w:p>
    <w:p>
      <w:pPr>
        <w:pStyle w:val="ListNumber"/>
        <w:spacing w:after="60"/>
      </w:pPr>
      <w:r>
        <w:rPr>
          <w:rFonts w:ascii="Arial" w:hAnsi="Arial"/>
          <w:b w:val="0"/>
          <w:color w:val="000000"/>
          <w:sz w:val="21"/>
        </w:rPr>
        <w:t>The cutover uses a documented rollback or stop path and records the final outcome.</w:t>
      </w:r>
    </w:p>
    <w:p>
      <w:pPr>
        <w:pStyle w:val="ListNumber"/>
        <w:spacing w:after="60"/>
      </w:pPr>
      <w:r>
        <w:rPr>
          <w:rFonts w:ascii="Arial" w:hAnsi="Arial"/>
          <w:b w:val="0"/>
          <w:color w:val="000000"/>
          <w:sz w:val="21"/>
        </w:rPr>
        <w:t>The customer accepts the configured workspace, runbook, open items and support transition.</w:t>
      </w:r>
    </w:p>
    <w:p>
      <w:pPr>
        <w:pStyle w:val="Heading1"/>
      </w:pPr>
      <w:r>
        <w:t>Commercial terms</w:t>
      </w:r>
    </w:p>
    <w:p>
      <w:pPr>
        <w:pStyle w:val="ListBullet"/>
        <w:spacing w:after="60"/>
      </w:pPr>
      <w:r>
        <w:rPr>
          <w:rFonts w:ascii="Arial" w:hAnsi="Arial"/>
          <w:b w:val="0"/>
          <w:color w:val="000000"/>
          <w:sz w:val="21"/>
        </w:rPr>
        <w:t>Bill the FDE engagement separately from the recurring software subscription.</w:t>
      </w:r>
    </w:p>
    <w:p>
      <w:pPr>
        <w:pStyle w:val="ListBullet"/>
        <w:spacing w:after="60"/>
      </w:pPr>
      <w:r>
        <w:rPr>
          <w:rFonts w:ascii="Arial" w:hAnsi="Arial"/>
          <w:b w:val="0"/>
          <w:color w:val="000000"/>
          <w:sz w:val="21"/>
        </w:rPr>
        <w:t>Use a fixed scope with a defined source count, data domains, environments, dry runs, validation sessions and handoff deliverables.</w:t>
      </w:r>
    </w:p>
    <w:p>
      <w:pPr>
        <w:pStyle w:val="ListBullet"/>
        <w:spacing w:after="60"/>
      </w:pPr>
      <w:r>
        <w:rPr>
          <w:rFonts w:ascii="Arial" w:hAnsi="Arial"/>
          <w:b w:val="0"/>
          <w:color w:val="000000"/>
          <w:sz w:val="21"/>
        </w:rPr>
        <w:t>Use change orders for new sources, new data domains, custom transformations, repeated failed exports, custom APIs or additional cutover attempts.</w:t>
      </w:r>
    </w:p>
    <w:p>
      <w:pPr>
        <w:pStyle w:val="ListBullet"/>
        <w:spacing w:after="60"/>
      </w:pPr>
      <w:r>
        <w:rPr>
          <w:rFonts w:ascii="Arial" w:hAnsi="Arial"/>
          <w:b w:val="0"/>
          <w:color w:val="000000"/>
          <w:sz w:val="21"/>
        </w:rPr>
        <w:t>Define payment milestones, customer prerequisites, cancellation, rollback, support duration and data export/exit handling.</w:t>
      </w:r>
    </w:p>
    <w:p>
      <w:pPr>
        <w:pStyle w:val="Heading1"/>
      </w:pPr>
      <w:r>
        <w:t>Customer prerequisites</w:t>
      </w:r>
    </w:p>
    <w:p>
      <w:pPr>
        <w:pStyle w:val="ListBullet"/>
        <w:spacing w:after="60"/>
      </w:pPr>
      <w:r>
        <w:rPr>
          <w:rFonts w:ascii="Arial" w:hAnsi="Arial"/>
          <w:b w:val="0"/>
          <w:color w:val="000000"/>
          <w:sz w:val="21"/>
        </w:rPr>
        <w:t>A named customer owner who can approve scope, mapping and acceptance.</w:t>
      </w:r>
    </w:p>
    <w:p>
      <w:pPr>
        <w:pStyle w:val="ListBullet"/>
        <w:spacing w:after="60"/>
      </w:pPr>
      <w:r>
        <w:rPr>
          <w:rFonts w:ascii="Arial" w:hAnsi="Arial"/>
          <w:b w:val="0"/>
          <w:color w:val="000000"/>
          <w:sz w:val="21"/>
        </w:rPr>
        <w:t>Authorized access to source exports or APIs and confirmation that the clinic may use them for migration.</w:t>
      </w:r>
    </w:p>
    <w:p>
      <w:pPr>
        <w:pStyle w:val="ListBullet"/>
        <w:spacing w:after="60"/>
      </w:pPr>
      <w:r>
        <w:rPr>
          <w:rFonts w:ascii="Arial" w:hAnsi="Arial"/>
          <w:b w:val="0"/>
          <w:color w:val="000000"/>
          <w:sz w:val="21"/>
        </w:rPr>
        <w:t>A source-system inventory with vendor contacts, export limits and known data-quality issues.</w:t>
      </w:r>
    </w:p>
    <w:p>
      <w:pPr>
        <w:pStyle w:val="ListBullet"/>
        <w:spacing w:after="60"/>
      </w:pPr>
      <w:r>
        <w:rPr>
          <w:rFonts w:ascii="Arial" w:hAnsi="Arial"/>
          <w:b w:val="0"/>
          <w:color w:val="000000"/>
          <w:sz w:val="21"/>
        </w:rPr>
        <w:t>Clinic staff available for validation and workflow acceptance.</w:t>
      </w:r>
    </w:p>
    <w:p>
      <w:pPr>
        <w:pStyle w:val="ListBullet"/>
        <w:spacing w:after="60"/>
      </w:pPr>
      <w:r>
        <w:rPr>
          <w:rFonts w:ascii="Arial" w:hAnsi="Arial"/>
          <w:b w:val="0"/>
          <w:color w:val="000000"/>
          <w:sz w:val="21"/>
        </w:rPr>
        <w:t>A confirmed target environment and support contact before cutover.</w:t>
      </w:r>
    </w:p>
    <w:p>
      <w:pPr>
        <w:pStyle w:val="Heading1"/>
      </w:pPr>
      <w:r>
        <w:t>Positioning</w:t>
      </w:r>
    </w:p>
    <w:p>
      <w:r>
        <w:rPr>
          <w:rFonts w:ascii="Arial" w:hAnsi="Arial"/>
          <w:b w:val="0"/>
          <w:color w:val="000000"/>
          <w:sz w:val="21"/>
        </w:rPr>
        <w:t>Tebra and other broad platforms already offer configurability. The FDE offer should therefore be positioned around reducing migration friction and time to a validated operating workspace for small cash-pay ambulatory clinics. The proof point is repeatable implementation evidence: shorter configuration time, fewer unresolved exceptions, clear ownership and a clean handoff.</w:t>
      </w:r>
    </w:p>
    <w:sectPr w:rsidR="00FC693F" w:rsidRPr="0006063C" w:rsidSect="00034616">
      <w:footerReference w:type="default" r:id="rId9"/>
      <w:pgSz w:w="12240" w:h="15840"/>
      <w:pgMar w:top="1008"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5A5A5A"/>
        <w:sz w:val="17"/>
      </w:rPr>
      <w:t>Meta Clinic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 Clinic FDE Integration Offer</dc:title>
  <dc:subject/>
  <dc:creator>Meta Clinic</dc:creator>
  <cp:keywords/>
  <dc:description>generated by python-docx</dc:description>
  <cp:lastModifiedBy/>
  <cp:revision>1</cp:revision>
  <dcterms:created xsi:type="dcterms:W3CDTF">2013-12-23T23:15:00Z</dcterms:created>
  <dcterms:modified xsi:type="dcterms:W3CDTF">2013-12-23T23:15:00Z</dcterms:modified>
  <cp:category/>
</cp:coreProperties>
</file>