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Arial" w:hAnsi="Arial"/>
          <w:b/>
          <w:color w:val="000000"/>
          <w:sz w:val="48"/>
        </w:rPr>
        <w:t>Meta Clinic Pricing and Packaging Strategy</w:t>
      </w:r>
    </w:p>
    <w:p>
      <w:pPr>
        <w:spacing w:after="280"/>
      </w:pPr>
      <w:r>
        <w:rPr>
          <w:rFonts w:ascii="Arial" w:hAnsi="Arial"/>
          <w:b w:val="0"/>
          <w:color w:val="505050"/>
          <w:sz w:val="22"/>
        </w:rPr>
        <w:t>Future-state mature platform pricing hypothesis</w:t>
      </w:r>
    </w:p>
    <w:p>
      <w:r>
        <w:rPr>
          <w:rFonts w:ascii="Arial" w:hAnsi="Arial"/>
          <w:b w:val="0"/>
          <w:color w:val="000000"/>
          <w:sz w:val="21"/>
        </w:rPr>
        <w:t>This pricing view is for the fully completed product, not the current prototype or an immediate customer quote. The mature product assumed here is a complete ambulatory operating platform for NP- and PA-led cash-pay clinics, including clinical charting, scheduling, patient access, billing and checkout, memberships/packages, retail-pharmacy e-prescribing, supplier purchasing, inventory control and supported third-party integrations. Examples such as routing prescriptions to Walgreens and connecting to suppliers are future-state assumptions, not current production-readiness claims.</w:t>
      </w:r>
    </w:p>
    <w:p>
      <w:r>
        <w:rPr>
          <w:rFonts w:ascii="Arial" w:hAnsi="Arial"/>
          <w:b w:val="0"/>
          <w:color w:val="000000"/>
          <w:sz w:val="21"/>
        </w:rPr>
        <w:t>The commercial model is software plus FDE implementation: a recurring per-clinic subscription and a separate fixed-scope fee for onboarding, approved integrations and migration. A general consultancy or done-for-you clinic-launch service is not part of this offer.</w:t>
      </w:r>
    </w:p>
    <w:p>
      <w:pPr>
        <w:pStyle w:val="Heading1"/>
      </w:pPr>
      <w:r>
        <w:t>Product position</w:t>
      </w:r>
    </w:p>
    <w:p>
      <w:r>
        <w:rPr>
          <w:rFonts w:ascii="Arial" w:hAnsi="Arial"/>
          <w:b w:val="0"/>
          <w:color w:val="000000"/>
          <w:sz w:val="21"/>
        </w:rPr>
        <w:t>Tebra is a direct comparator. Its public offering combines configurable practice management, EHR, billing and patient-engagement capabilities. Customizability is table stakes, not the main differentiator. Meta Clinic should earn a premium by combining a focused cash-pay ambulatory workflow with FDE-led migration, retail-pharmacy prescribing, supplier purchasing and inventory operations in one coherent workspace.</w:t>
      </w:r>
    </w:p>
    <w:p>
      <w:r>
        <w:rPr>
          <w:rFonts w:ascii="Arial" w:hAnsi="Arial"/>
          <w:b w:val="0"/>
          <w:color w:val="000000"/>
          <w:sz w:val="21"/>
        </w:rPr>
        <w:t>The mature value story is time-to-operational-use and reduced system sprawl. The current build's capabilities and local verification do not establish that the future-state pharmacy, supplier, clinical, security, professional or release gates are complete.</w:t>
      </w:r>
    </w:p>
    <w:p>
      <w:pPr>
        <w:pStyle w:val="Heading1"/>
      </w:pPr>
      <w:r>
        <w:t>Recommended model</w:t>
      </w:r>
    </w:p>
    <w:p>
      <w:pPr>
        <w:pStyle w:val="ListNumber"/>
        <w:spacing w:after="60"/>
      </w:pPr>
      <w:r>
        <w:rPr>
          <w:rFonts w:ascii="Arial" w:hAnsi="Arial"/>
          <w:b w:val="0"/>
          <w:color w:val="000000"/>
          <w:sz w:val="21"/>
        </w:rPr>
        <w:t>Recurring software subscription priced per clinic, with provider and site bands and ordinary administrative users included.</w:t>
      </w:r>
    </w:p>
    <w:p>
      <w:pPr>
        <w:pStyle w:val="ListNumber"/>
        <w:spacing w:after="60"/>
      </w:pPr>
      <w:r>
        <w:rPr>
          <w:rFonts w:ascii="Arial" w:hAnsi="Arial"/>
          <w:b w:val="0"/>
          <w:color w:val="000000"/>
          <w:sz w:val="21"/>
        </w:rPr>
        <w:t>Separate fixed-scope onboarding and FDE integration or migration fee.</w:t>
      </w:r>
    </w:p>
    <w:p>
      <w:pPr>
        <w:pStyle w:val="ListNumber"/>
        <w:spacing w:after="60"/>
      </w:pPr>
      <w:r>
        <w:rPr>
          <w:rFonts w:ascii="Arial" w:hAnsi="Arial"/>
          <w:b w:val="0"/>
          <w:color w:val="000000"/>
          <w:sz w:val="21"/>
        </w:rPr>
        <w:t>Optional managed configuration/support after handoff, with written hours and response targets.</w:t>
      </w:r>
    </w:p>
    <w:p>
      <w:pPr>
        <w:pStyle w:val="ListNumber"/>
        <w:spacing w:after="60"/>
      </w:pPr>
      <w:r>
        <w:rPr>
          <w:rFonts w:ascii="Arial" w:hAnsi="Arial"/>
          <w:b w:val="0"/>
          <w:color w:val="000000"/>
          <w:sz w:val="21"/>
        </w:rPr>
        <w:t>Vendor pass-through or separately stated charges for external services not controlled by Meta Clinic.</w:t>
      </w:r>
    </w:p>
    <w:p>
      <w:pPr>
        <w:pStyle w:val="Heading1"/>
      </w:pPr>
      <w:r>
        <w:t>Package ladder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5400"/>
            <w:vAlign w:val="center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What the buyer gets</w:t>
            </w:r>
          </w:p>
        </w:tc>
        <w:tc>
          <w:tcPr>
            <w:tcW w:type="dxa" w:w="2448"/>
            <w:vAlign w:val="center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Price hypothesis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Practice Core</w:t>
            </w:r>
          </w:p>
        </w:tc>
        <w:tc>
          <w:tcPr>
            <w:tcW w:type="dxa" w:w="54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Scheduling, patient access, encounters, configurable charting, supported retail-pharmacy e-prescribing, workspaces, permissions, cash-pay checkout, invoices, receipts and basic reporting.</w:t>
            </w:r>
          </w:p>
        </w:tc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$799-$1,299 per clinic/month plus $5,000-$10,000 FDE onboarding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Practice Growth</w:t>
            </w:r>
          </w:p>
        </w:tc>
        <w:tc>
          <w:tcPr>
            <w:tcW w:type="dxa" w:w="54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Core plus memberships/packages, patient portal, reminders, refills/recalls, lab coordination, advanced billing, supplier purchasing, inventory controls, reorder workflows and analytics.</w:t>
            </w:r>
          </w:p>
        </w:tc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$1,499-$2,499 per clinic/month plus $10,000-$20,000 FDE onboarding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Practice Pro / Multi-site</w:t>
            </w:r>
          </w:p>
        </w:tc>
        <w:tc>
          <w:tcPr>
            <w:tcW w:type="dxa" w:w="54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Growth plus multi-site controls, advanced purchasing/inventory, supplier integrations, cross-site reporting, priority support and implementation governance.</w:t>
            </w:r>
          </w:p>
        </w:tc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$2,500-$4,500 per clinic/month or site-group/month plus $20,000-$40,000 FDE onboarding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Enterprise / Network</w:t>
            </w:r>
          </w:p>
        </w:tc>
        <w:tc>
          <w:tcPr>
            <w:tcW w:type="dxa" w:w="54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Contracted network scale, enterprise reporting, rollout governance, dedicated FDE capacity and negotiated service levels.</w:t>
            </w:r>
          </w:p>
        </w:tc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$5,000+/month; implementation generally $40,000+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FDE Integration and Migration</w:t>
            </w:r>
          </w:p>
        </w:tc>
        <w:tc>
          <w:tcPr>
            <w:tcW w:type="dxa" w:w="540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Source discovery, mapping, approved pharmacy/supplier/data integration work, dry runs, reconciliation, validation, cutover and handoff.</w:t>
            </w:r>
          </w:p>
        </w:tc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$5,000-$10,000 simple; $10,000-$20,000 standard; $20,000-$40,000+ complex</w:t>
            </w:r>
          </w:p>
        </w:tc>
      </w:tr>
    </w:tbl>
    <w:p>
      <w:pPr>
        <w:spacing w:after="40"/>
      </w:pPr>
    </w:p>
    <w:p>
      <w:pPr>
        <w:pStyle w:val="Heading1"/>
      </w:pPr>
      <w:r>
        <w:t>Pricing alternatives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Strategy</w:t>
            </w:r>
          </w:p>
        </w:tc>
        <w:tc>
          <w:tcPr>
            <w:tcW w:type="dxa" w:w="3168"/>
            <w:vAlign w:val="center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Strength</w:t>
            </w:r>
          </w:p>
        </w:tc>
        <w:tc>
          <w:tcPr>
            <w:tcW w:type="dxa" w:w="4680"/>
            <w:vAlign w:val="center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Risk and recommendation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Flat per clinic</w:t>
            </w:r>
          </w:p>
        </w:tc>
        <w:tc>
          <w:tcPr>
            <w:tcW w:type="dxa" w:w="31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Simple and aligned with the operating unit.</w:t>
            </w:r>
          </w:p>
        </w:tc>
        <w:tc>
          <w:tcPr>
            <w:tcW w:type="dxa" w:w="46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Recommended starting point; add provider/site bands later.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Per provider</w:t>
            </w:r>
          </w:p>
        </w:tc>
        <w:tc>
          <w:tcPr>
            <w:tcW w:type="dxa" w:w="31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Familiar to EHR buyers.</w:t>
            </w:r>
          </w:p>
        </w:tc>
        <w:tc>
          <w:tcPr>
            <w:tcW w:type="dxa" w:w="46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Penalizes growth and ignores operational staff; use only if provider support drives most cost.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Modular add-ons</w:t>
            </w:r>
          </w:p>
        </w:tc>
        <w:tc>
          <w:tcPr>
            <w:tcW w:type="dxa" w:w="31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Lets a clinic expand gradually.</w:t>
            </w:r>
          </w:p>
        </w:tc>
        <w:tc>
          <w:tcPr>
            <w:tcW w:type="dxa" w:w="46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Keep to two meaningful tiers plus FDE rather than feature-by-feature billing.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Usage-based</w:t>
            </w:r>
          </w:p>
        </w:tc>
        <w:tc>
          <w:tcPr>
            <w:tcW w:type="dxa" w:w="31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May align price to activity.</w:t>
            </w:r>
          </w:p>
        </w:tc>
        <w:tc>
          <w:tcPr>
            <w:tcW w:type="dxa" w:w="46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Defer until usage, reconciliation and billing evidence exists.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FDE retainer</w:t>
            </w:r>
          </w:p>
        </w:tc>
        <w:tc>
          <w:tcPr>
            <w:tcW w:type="dxa" w:w="31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Monetizes configuration and integration expertise.</w:t>
            </w:r>
          </w:p>
        </w:tc>
        <w:tc>
          <w:tcPr>
            <w:tcW w:type="dxa" w:w="46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Use written hours, response limits and change orders to prevent unbounded labor.</w:t>
            </w:r>
          </w:p>
        </w:tc>
      </w:tr>
    </w:tbl>
    <w:p>
      <w:pPr>
        <w:spacing w:after="40"/>
      </w:pPr>
    </w:p>
    <w:p>
      <w:pPr>
        <w:pStyle w:val="Heading1"/>
      </w:pPr>
      <w:r>
        <w:t>Commercial guardrails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1"/>
        </w:rPr>
        <w:t>Keep software, onboarding and FDE deliverables distinct in the agreement and invoice.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1"/>
        </w:rPr>
        <w:t>Treat real patient or clinical data migration as a gated implementation activity, not a routine import promise.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1"/>
        </w:rPr>
        <w:t>Keep custom integrations, complex migration, professional services and vendor costs outside the base subscription unless explicitly contracted.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1"/>
        </w:rPr>
        <w:t>Do not use unverified compliance, clinical-approval, prescribing-readiness or vendor-availability claims in pricing or sales material.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1"/>
        </w:rPr>
        <w:t>Define provider, site, integration, inventory-location, support-hour, response-time, export and cancellation limits.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1"/>
        </w:rPr>
        <w:t>Offer annual prepay discounts only after support cost, churn risk and cash needs are known.</w:t>
      </w:r>
    </w:p>
    <w:p>
      <w:pPr>
        <w:pStyle w:val="Heading1"/>
      </w:pPr>
      <w:r>
        <w:t>Validation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Test</w:t>
            </w:r>
          </w:p>
        </w:tc>
        <w:tc>
          <w:tcPr>
            <w:tcW w:type="dxa" w:w="2880"/>
            <w:vAlign w:val="center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Price shown</w:t>
            </w:r>
          </w:p>
        </w:tc>
        <w:tc>
          <w:tcPr>
            <w:tcW w:type="dxa" w:w="4968"/>
            <w:vAlign w:val="center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Evidence to capture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Mature platform test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$799-$2,499 per clinic/month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Buyer type, replacement value, objection, paid commitment, preferred tier and expected value.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FDE test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$5,000-$10,000 simple and $10,000-$20,000 standard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Source systems, data volume, mapping effort, validation hours, rework and change requests.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Feature readiness test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Synthetic prescribing and purchasing workflows</w:t>
            </w:r>
          </w:p>
        </w:tc>
        <w:tc>
          <w:tcPr>
            <w:tcW w:type="dxa" w:w="49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Reliability, vendor costs, support load and evidence required before publishing claims.</w:t>
            </w:r>
          </w:p>
        </w:tc>
      </w:tr>
    </w:tbl>
    <w:p>
      <w:pPr>
        <w:spacing w:after="40"/>
      </w:pPr>
    </w:p>
    <w:p>
      <w:r>
        <w:rPr>
          <w:rFonts w:ascii="Arial" w:hAnsi="Arial"/>
          <w:b w:val="0"/>
          <w:color w:val="000000"/>
          <w:sz w:val="21"/>
        </w:rPr>
        <w:t>Interest is not a sale. A deposit or signed scoped engagement is stronger evidence than a positive conversation.</w:t>
      </w:r>
    </w:p>
    <w:p>
      <w:pPr>
        <w:pStyle w:val="Heading1"/>
      </w:pPr>
      <w:r>
        <w:t>What not to promise yet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1"/>
        </w:rPr>
        <w:t>A fully accepted production EHR before the relevant clinical, integration, security, professional and release gates are met.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1"/>
        </w:rPr>
        <w:t>Universal clinical workflow coverage, live Walgreens routing or supplier connectivity without contract and acceptance evidence.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1"/>
        </w:rPr>
        <w:t>Automatic migration of every source record without source review and reconciliation.</w:t>
      </w:r>
    </w:p>
    <w:p>
      <w:pPr>
        <w:pStyle w:val="ListBullet"/>
        <w:spacing w:after="60"/>
      </w:pPr>
      <w:r>
        <w:rPr>
          <w:rFonts w:ascii="Arial" w:hAnsi="Arial"/>
          <w:b w:val="0"/>
          <w:color w:val="000000"/>
          <w:sz w:val="21"/>
        </w:rPr>
        <w:t>Compliance certification, clinical approval, professional coverage or unrestricted real-data access.</w:t>
      </w:r>
    </w:p>
    <w:p>
      <w:pPr>
        <w:pStyle w:val="Heading1"/>
      </w:pPr>
      <w:r>
        <w:t>Market references</w:t>
      </w:r>
    </w:p>
    <w:p>
      <w:r>
        <w:rPr>
          <w:rFonts w:ascii="Arial" w:hAnsi="Arial"/>
          <w:b w:val="0"/>
          <w:color w:val="000000"/>
          <w:sz w:val="21"/>
        </w:rPr>
        <w:t>These public prices are directional anchors, not an apples-to-apples valuation. Jane lists U.S. plans at $54, $79 and $99 per month. CharmHealth lists a free plan, an encounter plan and a $200 per provider/month plan. Tebra publishes a broader $49-$799 per provider/month range depending on provider type and configuration.</w:t>
      </w:r>
    </w:p>
    <w:p>
      <w:pPr>
        <w:spacing w:after="60"/>
      </w:pPr>
      <w:r>
        <w:rPr>
          <w:rFonts w:ascii="Arial" w:hAnsi="Arial"/>
          <w:b/>
          <w:color w:val="000000"/>
          <w:sz w:val="18"/>
        </w:rPr>
        <w:t xml:space="preserve">Jane pricing: </w:t>
      </w:r>
      <w:r>
        <w:rPr>
          <w:rFonts w:ascii="Arial" w:hAnsi="Arial"/>
          <w:b w:val="0"/>
          <w:color w:val="1F4E79"/>
          <w:sz w:val="18"/>
        </w:rPr>
        <w:t>https://jane.app/pricing?locale=en-US</w:t>
      </w:r>
    </w:p>
    <w:p>
      <w:pPr>
        <w:spacing w:after="60"/>
      </w:pPr>
      <w:r>
        <w:rPr>
          <w:rFonts w:ascii="Arial" w:hAnsi="Arial"/>
          <w:b/>
          <w:color w:val="000000"/>
          <w:sz w:val="18"/>
        </w:rPr>
        <w:t xml:space="preserve">CharmHealth pricing: </w:t>
      </w:r>
      <w:r>
        <w:rPr>
          <w:rFonts w:ascii="Arial" w:hAnsi="Arial"/>
          <w:b w:val="0"/>
          <w:color w:val="1F4E79"/>
          <w:sz w:val="18"/>
        </w:rPr>
        <w:t>https://www.charmhealth.com/ehr/ehr-pricing-us.html</w:t>
      </w:r>
    </w:p>
    <w:p>
      <w:pPr>
        <w:spacing w:after="60"/>
      </w:pPr>
      <w:r>
        <w:rPr>
          <w:rFonts w:ascii="Arial" w:hAnsi="Arial"/>
          <w:b/>
          <w:color w:val="000000"/>
          <w:sz w:val="18"/>
        </w:rPr>
        <w:t xml:space="preserve">Tebra pricing: </w:t>
      </w:r>
      <w:r>
        <w:rPr>
          <w:rFonts w:ascii="Arial" w:hAnsi="Arial"/>
          <w:b w:val="0"/>
          <w:color w:val="1F4E79"/>
          <w:sz w:val="18"/>
        </w:rPr>
        <w:t>https://www.tebra.com/pricing/overview</w:t>
      </w:r>
    </w:p>
    <w:sectPr w:rsidR="00FC693F" w:rsidRPr="0006063C" w:rsidSect="00034616">
      <w:footerReference w:type="default" r:id="rId9"/>
      <w:pgSz w:w="12240" w:h="15840"/>
      <w:pgMar w:top="1008" w:right="1037" w:bottom="936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5A5A5A"/>
        <w:sz w:val="17"/>
      </w:rPr>
      <w:t>Meta Clinic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Meta Clinic Pricing and Packaging Strategy</dc:title>
  <dc:subject/>
  <dc:creator>Meta Clinic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