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rial" w:hAnsi="Arial"/>
          <w:b/>
          <w:color w:val="000000"/>
          <w:sz w:val="48"/>
        </w:rPr>
        <w:t>Meta Clinic Pricing and Packaging Strategy</w:t>
      </w:r>
    </w:p>
    <w:p>
      <w:pPr>
        <w:spacing w:after="280"/>
      </w:pPr>
      <w:r>
        <w:rPr>
          <w:rFonts w:ascii="Arial" w:hAnsi="Arial"/>
          <w:b w:val="0"/>
          <w:color w:val="505050"/>
          <w:sz w:val="22"/>
        </w:rPr>
        <w:t>Software subscription and FDE implementation proposal</w:t>
      </w:r>
    </w:p>
    <w:p>
      <w:r>
        <w:rPr>
          <w:rFonts w:ascii="Arial" w:hAnsi="Arial"/>
          <w:b w:val="0"/>
          <w:color w:val="000000"/>
          <w:sz w:val="21"/>
        </w:rPr>
        <w:t>Meta Clinic should be sold as configurable ambulatory software for NP- and PA-led cash-pay clinics, with an Implementation Specialist (FDE) handling onboarding, approved integrations and migration. The commercial model should be a recurring per-clinic subscription plus a separate fixed-scope FDE fee. A general consultancy or done-for-you clinic-launch service is not part of this offer.</w:t>
      </w:r>
    </w:p>
    <w:p>
      <w:pPr>
        <w:pStyle w:val="Heading1"/>
      </w:pPr>
      <w:r>
        <w:t>Product position</w:t>
      </w:r>
    </w:p>
    <w:p>
      <w:r>
        <w:rPr>
          <w:rFonts w:ascii="Arial" w:hAnsi="Arial"/>
          <w:b w:val="0"/>
          <w:color w:val="000000"/>
          <w:sz w:val="21"/>
        </w:rPr>
        <w:t>Tebra is a direct comparator. Its public offering combines configurable practice management, EHR, billing and patient-engagement capabilities. That means customization is a baseline expectation, not a defensible position by itself. Meta Clinic should test a narrower promise: a practical cash-pay ambulatory operating model, fast FDE-led configuration and migration, and workflows designed around small NP/PA-led clinics.</w:t>
      </w:r>
    </w:p>
    <w:p>
      <w:r>
        <w:rPr>
          <w:rFonts w:ascii="Arial" w:hAnsi="Arial"/>
          <w:b w:val="0"/>
          <w:color w:val="000000"/>
          <w:sz w:val="21"/>
        </w:rPr>
        <w:t>The current build supports patient, appointment, encounter and tracking-board workflows; staff and provider workspaces; structured SOAP drafting and revision/signing surfaces; lab, refill, recall and follow-up worklists; cash-pay billing foundations; packages and memberships; inventory controls; and role-scoped clinic access. These capabilities support a product story, but they do not by themselves establish production clinical, privacy, security, professional or regulatory acceptance.</w:t>
      </w:r>
    </w:p>
    <w:p>
      <w:pPr>
        <w:pStyle w:val="Heading1"/>
      </w:pPr>
      <w:r>
        <w:t>Recommended model</w:t>
      </w:r>
    </w:p>
    <w:p>
      <w:pPr>
        <w:pStyle w:val="ListNumber"/>
        <w:spacing w:after="60"/>
      </w:pPr>
      <w:r>
        <w:rPr>
          <w:rFonts w:ascii="Arial" w:hAnsi="Arial"/>
          <w:b w:val="0"/>
          <w:color w:val="000000"/>
          <w:sz w:val="21"/>
        </w:rPr>
        <w:t>Recurring software subscription priced per clinic, with ordinary administrative users included.</w:t>
      </w:r>
    </w:p>
    <w:p>
      <w:pPr>
        <w:pStyle w:val="ListNumber"/>
        <w:spacing w:after="60"/>
      </w:pPr>
      <w:r>
        <w:rPr>
          <w:rFonts w:ascii="Arial" w:hAnsi="Arial"/>
          <w:b w:val="0"/>
          <w:color w:val="000000"/>
          <w:sz w:val="21"/>
        </w:rPr>
        <w:t>Separate fixed-scope onboarding and FDE integration or migration fee.</w:t>
      </w:r>
    </w:p>
    <w:p>
      <w:pPr>
        <w:pStyle w:val="ListNumber"/>
        <w:spacing w:after="60"/>
      </w:pPr>
      <w:r>
        <w:rPr>
          <w:rFonts w:ascii="Arial" w:hAnsi="Arial"/>
          <w:b w:val="0"/>
          <w:color w:val="000000"/>
          <w:sz w:val="21"/>
        </w:rPr>
        <w:t>Optional configuration support retainer with written hours, response targets and exclusions.</w:t>
      </w:r>
    </w:p>
    <w:p>
      <w:pPr>
        <w:pStyle w:val="Heading1"/>
      </w:pPr>
      <w:r>
        <w:t>Package ladder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5400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What the buyer gets</w:t>
            </w:r>
          </w:p>
        </w:tc>
        <w:tc>
          <w:tcPr>
            <w:tcW w:type="dxa" w:w="244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Price hypothesis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Clinic Ops Core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Patients, appointments, encounters, tracking board, staff/provider work areas, core permissions and basic cash-pay operations.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$249-$399 per clinic/month plus $1,500-$3,500 onboarding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Clinic Ops Plus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Core plus billing and checkout configuration, packages/memberships, reminders, lab/refill/recall worklists, inventory workflows and role-specific training.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$499-$799 per clinic/month plus $3,500-$7,500 onboarding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FDE Integration and Migration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Source discovery, data inventory, field mapping, import or integration setup, dry run, reconciliation, staff validation and handoff.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$3,000-$6,000 simple; $7,500-$15,000 standard; complex quoted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Founding Clinic Partner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Bounded design-partner scope, scheduled feedback and a documented conversion price.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$249-$399 per clinic/month for six months plus agreed FDE fee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Managed Configuration Support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Scheduled configuration hours, workflow review, release-readiness coordination and support triage.</w:t>
            </w:r>
          </w:p>
        </w:tc>
        <w:tc>
          <w:tcPr>
            <w:tcW w:type="dxa" w:w="24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$500-$1,500 per clinic/month</w:t>
            </w:r>
          </w:p>
        </w:tc>
      </w:tr>
    </w:tbl>
    <w:p>
      <w:pPr>
        <w:spacing w:after="40"/>
      </w:pPr>
    </w:p>
    <w:p>
      <w:pPr>
        <w:pStyle w:val="Heading1"/>
      </w:pPr>
      <w:r>
        <w:t>Pricing alternatives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Strategy</w:t>
            </w:r>
          </w:p>
        </w:tc>
        <w:tc>
          <w:tcPr>
            <w:tcW w:type="dxa" w:w="316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4680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 and recommendation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Flat per clinic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Simple and aligned with the operating unit.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Recommended starting point; add provider/site bands later.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 provider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Familiar to EHR buyers.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Penalizes growth and ignores operational staff; use only if provider support drives most cost.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Modular add-ons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Lets a clinic expand gradually.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Keep to two meaningful tiers plus FDE rather than feature-by-feature billing.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Usage-based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May align price to activity.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Defer until usage, reconciliation and billing evidence exists.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FDE retainer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Monetizes configuration and integration expertise.</w:t>
            </w:r>
          </w:p>
        </w:tc>
        <w:tc>
          <w:tcPr>
            <w:tcW w:type="dxa" w:w="46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Use written hour and response limits to prevent unbounded labor.</w:t>
            </w:r>
          </w:p>
        </w:tc>
      </w:tr>
    </w:tbl>
    <w:p>
      <w:pPr>
        <w:spacing w:after="40"/>
      </w:pPr>
    </w:p>
    <w:p>
      <w:pPr>
        <w:pStyle w:val="Heading1"/>
      </w:pPr>
      <w:r>
        <w:t>Commercial guardrails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Keep software, onboarding and FDE deliverables distinct in the agreement and invoice.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Treat real patient or clinical data migration as a gated implementation activity, not a routine import promise.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Keep custom integrations, complex migration, professional services and vendor costs outside the base subscription unless explicitly contracted.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Do not use unverified compliance, clinical-approval or prescribing-readiness claims in pricing or sales material.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Set support limits. A starting hypothesis is two hours per month in Core and five hours per month in Plus.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Offer annual prepay discounts only after support cost, churn risk and cash needs are known.</w:t>
      </w:r>
    </w:p>
    <w:p>
      <w:pPr>
        <w:pStyle w:val="Heading1"/>
      </w:pPr>
      <w:r>
        <w:t>Validation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880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Price shown</w:t>
            </w:r>
          </w:p>
        </w:tc>
        <w:tc>
          <w:tcPr>
            <w:tcW w:type="dxa" w:w="496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Evidence to capture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Subscription test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$299 Core and $599 Plus per clinic/month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Buyer type, objection, paid commitment, preferred tier and expected value.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FDE test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$3,000-$6,000 simple and $7,500-$15,000 standard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Source systems, data volume, mapping effort, validation hours, rework and change requests.</w:t>
            </w:r>
          </w:p>
        </w:tc>
      </w:tr>
      <w:t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Founding cohort</w:t>
            </w:r>
          </w:p>
        </w:tc>
        <w:tc>
          <w:tcPr>
            <w:tcW w:type="dxa" w:w="28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Three to five clinics maximum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7"/>
              </w:rPr>
              <w:t>Onboarding time, support load, workflow outcomes and renewal intent at the non-founding price.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color w:val="000000"/>
          <w:sz w:val="21"/>
        </w:rPr>
        <w:t>Interest is not a sale. A deposit or signed scoped engagement is stronger evidence than a positive conversation.</w:t>
      </w:r>
    </w:p>
    <w:p>
      <w:pPr>
        <w:pStyle w:val="Heading1"/>
      </w:pPr>
      <w:r>
        <w:t>What not to promise yet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A fully accepted production EHR.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Universal clinical workflow coverage or readiness for every selected service.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Automatic migration of every source record without source review and reconciliation.</w:t>
      </w:r>
    </w:p>
    <w:p>
      <w:pPr>
        <w:pStyle w:val="ListBullet"/>
        <w:spacing w:after="60"/>
      </w:pPr>
      <w:r>
        <w:rPr>
          <w:rFonts w:ascii="Arial" w:hAnsi="Arial"/>
          <w:b w:val="0"/>
          <w:color w:val="000000"/>
          <w:sz w:val="21"/>
        </w:rPr>
        <w:t>Compliance certification, clinical approval, professional coverage or unrestricted real-data access.</w:t>
      </w:r>
    </w:p>
    <w:p>
      <w:pPr>
        <w:pStyle w:val="Heading1"/>
      </w:pPr>
      <w:r>
        <w:t>Market references</w:t>
      </w:r>
    </w:p>
    <w:p>
      <w:r>
        <w:rPr>
          <w:rFonts w:ascii="Arial" w:hAnsi="Arial"/>
          <w:b w:val="0"/>
          <w:color w:val="000000"/>
          <w:sz w:val="21"/>
        </w:rPr>
        <w:t>These public prices are directional anchors, not an apples-to-apples valuation. Jane lists U.S. plans at $54, $79 and $99 per month. CharmHealth lists a free plan, an encounter plan and a $200 per provider/month plan. Tebra publishes a broader $49-$799 per provider/month range depending on provider type and configuration.</w:t>
      </w:r>
    </w:p>
    <w:p>
      <w:pPr>
        <w:spacing w:after="60"/>
      </w:pPr>
      <w:r>
        <w:rPr>
          <w:rFonts w:ascii="Arial" w:hAnsi="Arial"/>
          <w:b/>
          <w:color w:val="000000"/>
          <w:sz w:val="18"/>
        </w:rPr>
        <w:t xml:space="preserve">Jane pricing: </w:t>
      </w:r>
      <w:r>
        <w:rPr>
          <w:rFonts w:ascii="Arial" w:hAnsi="Arial"/>
          <w:b w:val="0"/>
          <w:color w:val="1F4E79"/>
          <w:sz w:val="18"/>
        </w:rPr>
        <w:t>https://jane.app/pricing?locale=en-US</w:t>
      </w:r>
    </w:p>
    <w:p>
      <w:pPr>
        <w:spacing w:after="60"/>
      </w:pPr>
      <w:r>
        <w:rPr>
          <w:rFonts w:ascii="Arial" w:hAnsi="Arial"/>
          <w:b/>
          <w:color w:val="000000"/>
          <w:sz w:val="18"/>
        </w:rPr>
        <w:t xml:space="preserve">CharmHealth pricing: </w:t>
      </w:r>
      <w:r>
        <w:rPr>
          <w:rFonts w:ascii="Arial" w:hAnsi="Arial"/>
          <w:b w:val="0"/>
          <w:color w:val="1F4E79"/>
          <w:sz w:val="18"/>
        </w:rPr>
        <w:t>https://www.charmhealth.com/ehr/ehr-pricing-us.html</w:t>
      </w:r>
    </w:p>
    <w:p>
      <w:pPr>
        <w:spacing w:after="60"/>
      </w:pPr>
      <w:r>
        <w:rPr>
          <w:rFonts w:ascii="Arial" w:hAnsi="Arial"/>
          <w:b/>
          <w:color w:val="000000"/>
          <w:sz w:val="18"/>
        </w:rPr>
        <w:t xml:space="preserve">Tebra pricing: </w:t>
      </w:r>
      <w:r>
        <w:rPr>
          <w:rFonts w:ascii="Arial" w:hAnsi="Arial"/>
          <w:b w:val="0"/>
          <w:color w:val="1F4E79"/>
          <w:sz w:val="18"/>
        </w:rPr>
        <w:t>https://www.tebra.com/pricing/overview</w:t>
      </w:r>
    </w:p>
    <w:sectPr w:rsidR="00FC693F" w:rsidRPr="0006063C" w:rsidSect="00034616">
      <w:footerReference w:type="default" r:id="rId9"/>
      <w:pgSz w:w="12240" w:h="15840"/>
      <w:pgMar w:top="1008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A5A5A"/>
        <w:sz w:val="17"/>
      </w:rPr>
      <w:t>Meta Clinic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 Clinic Pricing and Packaging Strategy</dc:title>
  <dc:subject/>
  <dc:creator>Meta Clinic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