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00"/>
        <w:jc w:val="center"/>
      </w:pPr>
      <w:r>
        <w:rPr>
          <w:rFonts w:ascii="Arial" w:cs="Arial" w:eastAsia="Arial" w:hAnsi="Arial"/>
          <w:b/>
          <w:bCs/>
          <w:color w:val="1B2A4A"/>
          <w:sz w:val="40"/>
          <w:szCs w:val="40"/>
        </w:rPr>
        <w:t xml:space="preserve">AUTONOMOUS RELIABILITY ASSURANCE FOUNDATION</w:t>
      </w:r>
    </w:p>
    <w:p>
      <w:pPr>
        <w:spacing w:before="100" w:after="0"/>
      </w:pPr>
    </w:p>
    <w:p>
      <w:pPr>
        <w:pBdr>
          <w:top w:val="single" w:color="3B7DD8" w:sz="6" w:space="8"/>
          <w:bottom w:val="single" w:color="3B7DD8" w:sz="6" w:space="8"/>
        </w:pBdr>
        <w:spacing w:after="60"/>
        <w:jc w:val="center"/>
      </w:pPr>
      <w:r>
        <w:rPr>
          <w:rFonts w:ascii="Arial" w:cs="Arial" w:eastAsia="Arial" w:hAnsi="Arial"/>
          <w:b/>
          <w:bCs/>
          <w:color w:val="1B2A4A"/>
          <w:sz w:val="56"/>
          <w:szCs w:val="56"/>
        </w:rPr>
        <w:t xml:space="preserve">THE ARA STANDARD</w:t>
      </w:r>
    </w:p>
    <w:p>
      <w:pPr>
        <w:spacing w:before="80" w:after="0"/>
      </w:pPr>
    </w:p>
    <w:p>
      <w:pPr>
        <w:spacing w:after="40"/>
        <w:jc w:val="center"/>
      </w:pPr>
      <w:r>
        <w:rPr>
          <w:rFonts w:ascii="Arial" w:cs="Arial" w:eastAsia="Arial" w:hAnsi="Arial"/>
          <w:color w:val="2E4A7A"/>
          <w:sz w:val="28"/>
          <w:szCs w:val="28"/>
        </w:rPr>
        <w:t xml:space="preserve">Autonomous Reliability Assurance</w:t>
      </w:r>
    </w:p>
    <w:p>
      <w:pPr>
        <w:spacing w:after="40"/>
        <w:jc w:val="center"/>
      </w:pPr>
      <w:r>
        <w:rPr>
          <w:rFonts w:ascii="Arial" w:cs="Arial" w:eastAsia="Arial" w:hAnsi="Arial"/>
          <w:color w:val="666666"/>
          <w:sz w:val="22"/>
          <w:szCs w:val="22"/>
        </w:rPr>
        <w:t xml:space="preserve">Global Standard for the Operational Reliability, Behavioral Integrity,</w:t>
      </w:r>
    </w:p>
    <w:p>
      <w:pPr>
        <w:spacing w:after="200"/>
        <w:jc w:val="center"/>
      </w:pPr>
      <w:r>
        <w:rPr>
          <w:rFonts w:ascii="Arial" w:cs="Arial" w:eastAsia="Arial" w:hAnsi="Arial"/>
          <w:color w:val="666666"/>
          <w:sz w:val="22"/>
          <w:szCs w:val="22"/>
        </w:rPr>
        <w:t xml:space="preserve">and Safe Deployment of Autonomous Systems</w:t>
      </w:r>
    </w:p>
    <w:p>
      <w:pPr>
        <w:spacing w:before="400" w:after="0"/>
      </w:pPr>
    </w:p>
    <w:p>
      <w:pPr>
        <w:pBdr>
          <w:bottom w:val="single" w:color="3B7DD8" w:sz="4" w:space="1"/>
        </w:pBdr>
        <w:spacing w:before="200" w:after="200"/>
      </w:pPr>
    </w:p>
    <w:p>
      <w:pPr>
        <w:spacing w:before="80" w:after="40"/>
        <w:jc w:val="center"/>
      </w:pPr>
      <w:r>
        <w:rPr>
          <w:rFonts w:ascii="Arial" w:cs="Arial" w:eastAsia="Arial" w:hAnsi="Arial"/>
          <w:b/>
          <w:bCs/>
          <w:color w:val="2E4A7A"/>
          <w:sz w:val="22"/>
          <w:szCs w:val="22"/>
        </w:rPr>
        <w:t xml:space="preserve">ARA Standard Version 1.0  |  Publication Draft</w:t>
      </w:r>
    </w:p>
    <w:p>
      <w:pPr>
        <w:spacing w:after="40"/>
        <w:jc w:val="center"/>
      </w:pPr>
      <w:r>
        <w:rPr>
          <w:rFonts w:ascii="Arial" w:cs="Arial" w:eastAsia="Arial" w:hAnsi="Arial"/>
          <w:color w:val="666666"/>
          <w:sz w:val="20"/>
          <w:szCs w:val="20"/>
        </w:rPr>
        <w:t xml:space="preserve">Document Classification: Public Review Draft</w:t>
      </w:r>
    </w:p>
    <w:p>
      <w:pPr>
        <w:spacing w:after="40"/>
        <w:jc w:val="center"/>
      </w:pPr>
      <w:r>
        <w:rPr>
          <w:rFonts w:ascii="Arial" w:cs="Arial" w:eastAsia="Arial" w:hAnsi="Arial"/>
          <w:color w:val="666666"/>
          <w:sz w:val="20"/>
          <w:szCs w:val="20"/>
        </w:rPr>
        <w:t xml:space="preserve">Effective Date: Upon Ratification by the ARAF Technical Standards Board</w:t>
      </w:r>
    </w:p>
    <w:p>
      <w:pPr>
        <w:spacing w:after="40"/>
        <w:jc w:val="center"/>
      </w:pPr>
      <w:r>
        <w:rPr>
          <w:rFonts w:ascii="Arial" w:cs="Arial" w:eastAsia="Arial" w:hAnsi="Arial"/>
          <w:i/>
          <w:iCs/>
          <w:color w:val="666666"/>
          <w:sz w:val="18"/>
          <w:szCs w:val="18"/>
        </w:rPr>
        <w:t xml:space="preserve">© 2026 Autonomous Reliability Assurance Foundation. All Rights Reserved.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Field</w:t>
            </w:r>
          </w:p>
        </w:tc>
        <w:tc>
          <w:tcPr>
            <w:tcW w:type="dxa" w:w="61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Value</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Document Title</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 Standard — Autonomous Reliability Assurance</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Version</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 (Public Review Draft)</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Document ID</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ARAF-ARA-STD-2026-001</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Classification</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Public Review Draft</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Issuing Body</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Autonomous Reliability Assurance Foundation (ARAF)</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Governing Authority</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 Technical Standards Board</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Supersedes</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N/A (Initial Publication)</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Effective Date</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Upon Ratification</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Review Cycle</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Annual (minimum); Extraordinary Review on material event</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Distribution</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Unrestricted during Public Review Period</w:t>
            </w:r>
          </w:p>
        </w:tc>
      </w:tr>
    </w:tbl>
    <w:p>
      <w:pPr>
        <w:spacing w:before="200" w:after="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rPr>
          <w:tblHeader/>
        </w:trPr>
        <w:tc>
          <w:tcPr>
            <w:tcW w:type="dxa" w:w="1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Version</w:t>
            </w:r>
          </w:p>
        </w:tc>
        <w:tc>
          <w:tcPr>
            <w:tcW w:type="dxa" w:w="14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Date</w:t>
            </w:r>
          </w:p>
        </w:tc>
        <w:tc>
          <w:tcPr>
            <w:tcW w:type="dxa" w:w="30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Author</w:t>
            </w:r>
          </w:p>
        </w:tc>
        <w:tc>
          <w:tcPr>
            <w:tcW w:type="dxa" w:w="37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0.1</w:t>
            </w:r>
          </w:p>
        </w:tc>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2026-Q1</w:t>
            </w:r>
          </w:p>
        </w:tc>
        <w:tc>
          <w:tcPr>
            <w:tcW w:type="dxa" w:w="3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Founding Committee</w:t>
            </w:r>
          </w:p>
        </w:tc>
        <w:tc>
          <w:tcPr>
            <w:tcW w:type="dxa" w:w="3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Initial internal conceptual framework</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0.5</w:t>
            </w:r>
          </w:p>
        </w:tc>
        <w:tc>
          <w:tcPr>
            <w:tcW w:type="dxa" w:w="1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2026-Q1</w:t>
            </w:r>
          </w:p>
        </w:tc>
        <w:tc>
          <w:tcPr>
            <w:tcW w:type="dxa" w:w="3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Technical Standards Board</w:t>
            </w:r>
          </w:p>
        </w:tc>
        <w:tc>
          <w:tcPr>
            <w:tcW w:type="dxa" w:w="3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Structural refinement; domain definitions established</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0.9</w:t>
            </w:r>
          </w:p>
        </w:tc>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2026-Q2</w:t>
            </w:r>
          </w:p>
        </w:tc>
        <w:tc>
          <w:tcPr>
            <w:tcW w:type="dxa" w:w="3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Founding Committee + Advisors</w:t>
            </w:r>
          </w:p>
        </w:tc>
        <w:tc>
          <w:tcPr>
            <w:tcW w:type="dxa" w:w="3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Pre-publication review draft; ACR framework finalized</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w:t>
            </w:r>
          </w:p>
        </w:tc>
        <w:tc>
          <w:tcPr>
            <w:tcW w:type="dxa" w:w="1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2026-Q2</w:t>
            </w:r>
          </w:p>
        </w:tc>
        <w:tc>
          <w:tcPr>
            <w:tcW w:type="dxa" w:w="3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 Technical Standards Board</w:t>
            </w:r>
          </w:p>
        </w:tc>
        <w:tc>
          <w:tcPr>
            <w:tcW w:type="dxa" w:w="3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Public Review Draft for industry comment</w:t>
            </w:r>
          </w:p>
        </w:tc>
      </w:tr>
    </w:tbl>
    <w:p>
      <w:pPr>
        <w:spacing w:before="200" w:after="0"/>
      </w:pPr>
    </w:p>
    <w:p>
      <w:pPr>
        <w:pStyle w:val="Heading1"/>
        <w:spacing w:before="360" w:after="200"/>
      </w:pPr>
      <w:r>
        <w:rPr>
          <w:rFonts w:ascii="Arial" w:cs="Arial" w:eastAsia="Arial" w:hAnsi="Arial"/>
          <w:b/>
          <w:bCs/>
          <w:color w:val="1B2A4A"/>
          <w:sz w:val="32"/>
          <w:szCs w:val="32"/>
        </w:rPr>
        <w:t xml:space="preserve">Foreword</w:t>
      </w:r>
    </w:p>
    <w:p>
      <w:pPr>
        <w:spacing w:before="80" w:after="80" w:line="276"/>
        <w:jc w:val="both"/>
      </w:pPr>
      <w:r>
        <w:rPr>
          <w:rFonts w:ascii="Arial" w:cs="Arial" w:eastAsia="Arial" w:hAnsi="Arial"/>
          <w:i w:val="false"/>
          <w:iCs w:val="false"/>
          <w:color w:val="333333"/>
          <w:sz w:val="21"/>
          <w:szCs w:val="21"/>
        </w:rPr>
        <w:t xml:space="preserve">The emergence of autonomous systems capable of independent decision-making, action initiation, and workflow execution without explicit per-action human authorization represents one of the most consequential technological developments in modern history. These systems are now operating in enterprise environments, financial markets, critical infrastructure, healthcare settings, and the physical world. Their proliferation is accelerating faster than the regulatory and institutional frameworks designed to govern them.</w:t>
      </w:r>
    </w:p>
    <w:p>
      <w:pPr>
        <w:spacing w:before="80" w:after="80" w:line="276"/>
        <w:jc w:val="both"/>
      </w:pPr>
      <w:r>
        <w:rPr>
          <w:rFonts w:ascii="Arial" w:cs="Arial" w:eastAsia="Arial" w:hAnsi="Arial"/>
          <w:i w:val="false"/>
          <w:iCs w:val="false"/>
          <w:color w:val="333333"/>
          <w:sz w:val="21"/>
          <w:szCs w:val="21"/>
        </w:rPr>
        <w:t xml:space="preserve">This gap is not theoretical. Organizations deploying autonomous systems today face a fundamental question for which no satisfactory institutional answer exists: </w:t>
      </w:r>
      <w:r>
        <w:rPr>
          <w:rFonts w:ascii="Arial" w:cs="Arial" w:eastAsia="Arial" w:hAnsi="Arial"/>
          <w:b/>
          <w:bCs/>
          <w:color w:val="333333"/>
          <w:sz w:val="21"/>
          <w:szCs w:val="21"/>
        </w:rPr>
        <w:t xml:space="preserve">How do we know this system is safe to deploy?</w:t>
      </w:r>
      <w:r>
        <w:rPr>
          <w:rFonts w:ascii="Arial" w:cs="Arial" w:eastAsia="Arial" w:hAnsi="Arial"/>
          <w:i w:val="false"/>
          <w:iCs w:val="false"/>
          <w:color w:val="333333"/>
          <w:sz w:val="21"/>
          <w:szCs w:val="21"/>
        </w:rPr>
        <w:t xml:space="preserve"> Not whether it is intelligent. Not whether it is aligned with a particular ethical framework. Not whether it outperforms a competitor. Simply: </w:t>
      </w:r>
      <w:r>
        <w:rPr>
          <w:rFonts w:ascii="Arial" w:cs="Arial" w:eastAsia="Arial" w:hAnsi="Arial"/>
          <w:b/>
          <w:bCs/>
          <w:color w:val="333333"/>
          <w:sz w:val="21"/>
          <w:szCs w:val="21"/>
        </w:rPr>
        <w:t xml:space="preserve">Is it operationally reliable enough to trust with autonomous action in production?</w:t>
      </w:r>
      <w:r>
        <w:rPr>
          <w:rFonts w:ascii="Arial" w:cs="Arial" w:eastAsia="Arial" w:hAnsi="Arial"/>
          <w:i w:val="false"/>
          <w:iCs w:val="false"/>
          <w:color w:val="333333"/>
          <w:sz w:val="21"/>
          <w:szCs w:val="21"/>
        </w:rPr>
        <w:t xml:space="preserve"/>
      </w:r>
    </w:p>
    <w:p>
      <w:pPr>
        <w:spacing w:before="80" w:after="80" w:line="276"/>
        <w:jc w:val="both"/>
      </w:pPr>
      <w:r>
        <w:rPr>
          <w:rFonts w:ascii="Arial" w:cs="Arial" w:eastAsia="Arial" w:hAnsi="Arial"/>
          <w:i w:val="false"/>
          <w:iCs w:val="false"/>
          <w:color w:val="333333"/>
          <w:sz w:val="21"/>
          <w:szCs w:val="21"/>
        </w:rPr>
        <w:t xml:space="preserve">The Autonomous Reliability Assurance Foundation (ARAF) was established to answer that question. ARAF exists to define, publish, and maintain global standards for the operational reliability, behavioral integrity, and safe deployment of autonomous systems. The ARA Standard is the Foundation’s primary instrument for achieving this mission.</w:t>
      </w:r>
    </w:p>
    <w:p>
      <w:pPr>
        <w:spacing w:before="80" w:after="80" w:line="276"/>
        <w:jc w:val="both"/>
      </w:pPr>
      <w:r>
        <w:rPr>
          <w:rFonts w:ascii="Arial" w:cs="Arial" w:eastAsia="Arial" w:hAnsi="Arial"/>
          <w:i w:val="false"/>
          <w:iCs w:val="false"/>
          <w:color w:val="333333"/>
          <w:sz w:val="21"/>
          <w:szCs w:val="21"/>
        </w:rPr>
        <w:t xml:space="preserve">This document constitutes the first public review draft of the ARA Standard, Version 1.0. It has been developed through consultation with practitioners in artificial intelligence, enterprise systems architecture, robotics, cybersecurity, adversarial testing, regulatory compliance, and risk management. It draws on established precedent from mature standards bodies including ISO, IEEE, NIST, SOC, and IEC, while addressing the novel challenges unique to autonomous systems that existing frameworks do not adequately cover.</w:t>
      </w:r>
    </w:p>
    <w:p>
      <w:pPr>
        <w:spacing w:before="80" w:after="80" w:line="276"/>
        <w:jc w:val="both"/>
      </w:pPr>
      <w:r>
        <w:rPr>
          <w:rFonts w:ascii="Arial" w:cs="Arial" w:eastAsia="Arial" w:hAnsi="Arial"/>
          <w:i w:val="false"/>
          <w:iCs w:val="false"/>
          <w:color w:val="333333"/>
          <w:sz w:val="21"/>
          <w:szCs w:val="21"/>
        </w:rPr>
        <w:t xml:space="preserve">The ARA Standard is deliberately conservative in scope. It certifies operational deployability under defined risk conditions. It does not certify intelligence, ethical alignment, political neutrality, performance superiority, or model ranking. This disciplined scope is by design. The world does not lack opinions about what AI should be. It lacks rigorous, testable, enforceable standards for what autonomous systems must demonstrate before they are trusted to act independently.</w:t>
      </w:r>
    </w:p>
    <w:p>
      <w:pPr>
        <w:spacing w:before="80" w:after="80" w:line="276"/>
        <w:jc w:val="both"/>
      </w:pPr>
      <w:r>
        <w:rPr>
          <w:rFonts w:ascii="Arial" w:cs="Arial" w:eastAsia="Arial" w:hAnsi="Arial"/>
          <w:i w:val="false"/>
          <w:iCs w:val="false"/>
          <w:color w:val="333333"/>
          <w:sz w:val="21"/>
          <w:szCs w:val="21"/>
        </w:rPr>
        <w:t xml:space="preserve">We invite industry practitioners, regulators, academics, and the public to review this draft and contribute to its refinement. The reliability of autonomous systems is not an engineering problem alone. It is an institutional one. ARAF intends to build the institution equal to the challenge.</w:t>
      </w:r>
    </w:p>
    <w:p>
      <w:pPr>
        <w:spacing w:before="200" w:after="0"/>
      </w:pPr>
    </w:p>
    <w:p>
      <w:pPr>
        <w:pStyle w:val="Heading1"/>
        <w:spacing w:before="360" w:after="200"/>
      </w:pPr>
      <w:r>
        <w:rPr>
          <w:rFonts w:ascii="Arial" w:cs="Arial" w:eastAsia="Arial" w:hAnsi="Arial"/>
          <w:b/>
          <w:bCs/>
          <w:color w:val="1B2A4A"/>
          <w:sz w:val="32"/>
          <w:szCs w:val="32"/>
        </w:rPr>
        <w:t xml:space="preserve">Normative References</w:t>
      </w:r>
    </w:p>
    <w:p>
      <w:pPr>
        <w:spacing w:before="80" w:after="80" w:line="276"/>
        <w:jc w:val="both"/>
      </w:pPr>
      <w:r>
        <w:rPr>
          <w:rFonts w:ascii="Arial" w:cs="Arial" w:eastAsia="Arial" w:hAnsi="Arial"/>
          <w:i w:val="false"/>
          <w:iCs w:val="false"/>
          <w:color w:val="333333"/>
          <w:sz w:val="21"/>
          <w:szCs w:val="21"/>
        </w:rPr>
        <w:t xml:space="preserve">The following documents are referenced throughout this standard. Where a dated reference is cited, only the edition cited applies. Where an undated reference is cited, the latest edition applies.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ISO/IEC 27001:2022</w:t>
      </w:r>
      <w:r>
        <w:rPr>
          <w:rFonts w:ascii="Arial" w:cs="Arial" w:eastAsia="Arial" w:hAnsi="Arial"/>
          <w:color w:val="333333"/>
          <w:sz w:val="21"/>
          <w:szCs w:val="21"/>
        </w:rPr>
        <w:t xml:space="preserve"> — Information Security Management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ISO/IEC 42001:2023</w:t>
      </w:r>
      <w:r>
        <w:rPr>
          <w:rFonts w:ascii="Arial" w:cs="Arial" w:eastAsia="Arial" w:hAnsi="Arial"/>
          <w:color w:val="333333"/>
          <w:sz w:val="21"/>
          <w:szCs w:val="21"/>
        </w:rPr>
        <w:t xml:space="preserve"> — Artificial Intelligence Management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ISO 22989:2022</w:t>
      </w:r>
      <w:r>
        <w:rPr>
          <w:rFonts w:ascii="Arial" w:cs="Arial" w:eastAsia="Arial" w:hAnsi="Arial"/>
          <w:color w:val="333333"/>
          <w:sz w:val="21"/>
          <w:szCs w:val="21"/>
        </w:rPr>
        <w:t xml:space="preserve"> — Artificial Intelligence Concepts and Terminology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ISO/IEC 23894:2023</w:t>
      </w:r>
      <w:r>
        <w:rPr>
          <w:rFonts w:ascii="Arial" w:cs="Arial" w:eastAsia="Arial" w:hAnsi="Arial"/>
          <w:color w:val="333333"/>
          <w:sz w:val="21"/>
          <w:szCs w:val="21"/>
        </w:rPr>
        <w:t xml:space="preserve"> — Artificial Intelligence Risk Management</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IEEE 7000-2021</w:t>
      </w:r>
      <w:r>
        <w:rPr>
          <w:rFonts w:ascii="Arial" w:cs="Arial" w:eastAsia="Arial" w:hAnsi="Arial"/>
          <w:color w:val="333333"/>
          <w:sz w:val="21"/>
          <w:szCs w:val="21"/>
        </w:rPr>
        <w:t xml:space="preserve"> — Model Process for Addressing Ethical Concerns During System Design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IEEE 2846-2022</w:t>
      </w:r>
      <w:r>
        <w:rPr>
          <w:rFonts w:ascii="Arial" w:cs="Arial" w:eastAsia="Arial" w:hAnsi="Arial"/>
          <w:color w:val="333333"/>
          <w:sz w:val="21"/>
          <w:szCs w:val="21"/>
        </w:rPr>
        <w:t xml:space="preserve"> — Assumptions for Models in Safety-Related Automated Vehicle Behavior</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NIST AI 100-1 (2023)</w:t>
      </w:r>
      <w:r>
        <w:rPr>
          <w:rFonts w:ascii="Arial" w:cs="Arial" w:eastAsia="Arial" w:hAnsi="Arial"/>
          <w:color w:val="333333"/>
          <w:sz w:val="21"/>
          <w:szCs w:val="21"/>
        </w:rPr>
        <w:t xml:space="preserve"> — Artificial Intelligence Risk Management Framework</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NIST SP 800-53 Rev. 5</w:t>
      </w:r>
      <w:r>
        <w:rPr>
          <w:rFonts w:ascii="Arial" w:cs="Arial" w:eastAsia="Arial" w:hAnsi="Arial"/>
          <w:color w:val="333333"/>
          <w:sz w:val="21"/>
          <w:szCs w:val="21"/>
        </w:rPr>
        <w:t xml:space="preserve"> — Security and Privacy Controls for Information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NIST SP 800-218</w:t>
      </w:r>
      <w:r>
        <w:rPr>
          <w:rFonts w:ascii="Arial" w:cs="Arial" w:eastAsia="Arial" w:hAnsi="Arial"/>
          <w:color w:val="333333"/>
          <w:sz w:val="21"/>
          <w:szCs w:val="21"/>
        </w:rPr>
        <w:t xml:space="preserve"> — Secure Software Development Framework</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IEC 61508</w:t>
      </w:r>
      <w:r>
        <w:rPr>
          <w:rFonts w:ascii="Arial" w:cs="Arial" w:eastAsia="Arial" w:hAnsi="Arial"/>
          <w:color w:val="333333"/>
          <w:sz w:val="21"/>
          <w:szCs w:val="21"/>
        </w:rPr>
        <w:t xml:space="preserve"> — Functional Safety of Electrical/Electronic/Programmable Electronic Safety-Related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IEC 62443</w:t>
      </w:r>
      <w:r>
        <w:rPr>
          <w:rFonts w:ascii="Arial" w:cs="Arial" w:eastAsia="Arial" w:hAnsi="Arial"/>
          <w:color w:val="333333"/>
          <w:sz w:val="21"/>
          <w:szCs w:val="21"/>
        </w:rPr>
        <w:t xml:space="preserve"> — Industrial Communication Networks — IT Security for Networks and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EU AI Act (2024)</w:t>
      </w:r>
      <w:r>
        <w:rPr>
          <w:rFonts w:ascii="Arial" w:cs="Arial" w:eastAsia="Arial" w:hAnsi="Arial"/>
          <w:color w:val="333333"/>
          <w:sz w:val="21"/>
          <w:szCs w:val="21"/>
        </w:rPr>
        <w:t xml:space="preserve"> — Regulation Laying Down Harmonized Rules on Artificial Intelligence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SOC 2 Type II</w:t>
      </w:r>
      <w:r>
        <w:rPr>
          <w:rFonts w:ascii="Arial" w:cs="Arial" w:eastAsia="Arial" w:hAnsi="Arial"/>
          <w:color w:val="333333"/>
          <w:sz w:val="21"/>
          <w:szCs w:val="21"/>
        </w:rPr>
        <w:t xml:space="preserve"> — Trust Services Criteria (AICPA)</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OWASP Top 10 for LLM Applications (2025)</w:t>
      </w:r>
      <w:r>
        <w:rPr>
          <w:rFonts w:ascii="Arial" w:cs="Arial" w:eastAsia="Arial" w:hAnsi="Arial"/>
          <w:color w:val="333333"/>
          <w:sz w:val="21"/>
          <w:szCs w:val="21"/>
        </w:rPr>
        <w:t xml:space="preserve"> — Security Risks in Large Language Model Applications</w:t>
      </w:r>
    </w:p>
    <w:p>
      <w:pPr>
        <w:spacing w:before="200" w:after="0"/>
      </w:pPr>
    </w:p>
    <w:p>
      <w:pPr>
        <w:pStyle w:val="Heading1"/>
        <w:spacing w:before="360" w:after="200"/>
      </w:pPr>
      <w:r>
        <w:rPr>
          <w:rFonts w:ascii="Arial" w:cs="Arial" w:eastAsia="Arial" w:hAnsi="Arial"/>
          <w:b/>
          <w:bCs/>
          <w:color w:val="1B2A4A"/>
          <w:sz w:val="32"/>
          <w:szCs w:val="32"/>
        </w:rPr>
        <w:t xml:space="preserve">Definitions and Key Terms</w:t>
      </w:r>
    </w:p>
    <w:p>
      <w:pPr>
        <w:spacing w:before="80" w:after="80" w:line="276"/>
        <w:jc w:val="both"/>
      </w:pPr>
      <w:r>
        <w:rPr>
          <w:rFonts w:ascii="Arial" w:cs="Arial" w:eastAsia="Arial" w:hAnsi="Arial"/>
          <w:i w:val="false"/>
          <w:iCs w:val="false"/>
          <w:color w:val="333333"/>
          <w:sz w:val="21"/>
          <w:szCs w:val="21"/>
        </w:rPr>
        <w:t xml:space="preserve">The following terms carry specific meaning throughout this standard. Where these terms appear in the body of the standard, they shall be interpreted in accordance with the definitions below.</w:t>
      </w:r>
    </w:p>
    <w:p>
      <w:pPr>
        <w:spacing w:before="40" w:after="0"/>
      </w:pPr>
    </w:p>
    <w:p>
      <w:pPr>
        <w:spacing w:before="80" w:after="40" w:line="276"/>
      </w:pPr>
      <w:r>
        <w:rPr>
          <w:rFonts w:ascii="Arial" w:cs="Arial" w:eastAsia="Arial" w:hAnsi="Arial"/>
          <w:b/>
          <w:bCs/>
          <w:color w:val="1B2A4A"/>
          <w:sz w:val="21"/>
          <w:szCs w:val="21"/>
        </w:rPr>
        <w:t xml:space="preserve">Autonomous System: </w:t>
      </w:r>
      <w:r>
        <w:rPr>
          <w:rFonts w:ascii="Arial" w:cs="Arial" w:eastAsia="Arial" w:hAnsi="Arial"/>
          <w:color w:val="333333"/>
          <w:sz w:val="21"/>
          <w:szCs w:val="21"/>
        </w:rPr>
        <w:t xml:space="preserve">Any software or hardware system capable of independently making decisions, initiating actions, or executing workflows without explicit human authorization per action. Includes AI agents, multi-agent systems, robotic systems, cyber-physical AI systems, and embedded AI decision systems.</w:t>
      </w:r>
    </w:p>
    <w:p>
      <w:pPr>
        <w:spacing w:before="80" w:after="40" w:line="276"/>
      </w:pPr>
      <w:r>
        <w:rPr>
          <w:rFonts w:ascii="Arial" w:cs="Arial" w:eastAsia="Arial" w:hAnsi="Arial"/>
          <w:b/>
          <w:bCs/>
          <w:color w:val="1B2A4A"/>
          <w:sz w:val="21"/>
          <w:szCs w:val="21"/>
        </w:rPr>
        <w:t xml:space="preserve">ARA Standard: </w:t>
      </w:r>
      <w:r>
        <w:rPr>
          <w:rFonts w:ascii="Arial" w:cs="Arial" w:eastAsia="Arial" w:hAnsi="Arial"/>
          <w:color w:val="333333"/>
          <w:sz w:val="21"/>
          <w:szCs w:val="21"/>
        </w:rPr>
        <w:t xml:space="preserve">The Autonomous Reliability Assurance Standard, as published and maintained by ARAF. The primary instrument defining certification requirements for autonomous systems.</w:t>
      </w:r>
    </w:p>
    <w:p>
      <w:pPr>
        <w:spacing w:before="80" w:after="40" w:line="276"/>
      </w:pPr>
      <w:r>
        <w:rPr>
          <w:rFonts w:ascii="Arial" w:cs="Arial" w:eastAsia="Arial" w:hAnsi="Arial"/>
          <w:b/>
          <w:bCs/>
          <w:color w:val="1B2A4A"/>
          <w:sz w:val="21"/>
          <w:szCs w:val="21"/>
        </w:rPr>
        <w:t xml:space="preserve">ARAF: </w:t>
      </w:r>
      <w:r>
        <w:rPr>
          <w:rFonts w:ascii="Arial" w:cs="Arial" w:eastAsia="Arial" w:hAnsi="Arial"/>
          <w:color w:val="333333"/>
          <w:sz w:val="21"/>
          <w:szCs w:val="21"/>
        </w:rPr>
        <w:t xml:space="preserve">The Autonomous Reliability Assurance Foundation. The independent, non-profit standards body that governs the ARA Standard.</w:t>
      </w:r>
    </w:p>
    <w:p>
      <w:pPr>
        <w:spacing w:before="80" w:after="40" w:line="276"/>
      </w:pPr>
      <w:r>
        <w:rPr>
          <w:rFonts w:ascii="Arial" w:cs="Arial" w:eastAsia="Arial" w:hAnsi="Arial"/>
          <w:b/>
          <w:bCs/>
          <w:color w:val="1B2A4A"/>
          <w:sz w:val="21"/>
          <w:szCs w:val="21"/>
        </w:rPr>
        <w:t xml:space="preserve">Autonomous Control Requirement (ACR): </w:t>
      </w:r>
      <w:r>
        <w:rPr>
          <w:rFonts w:ascii="Arial" w:cs="Arial" w:eastAsia="Arial" w:hAnsi="Arial"/>
          <w:color w:val="333333"/>
          <w:sz w:val="21"/>
          <w:szCs w:val="21"/>
        </w:rPr>
        <w:t xml:space="preserve">A discrete, measurable, testable requirement within a reliability domain that an autonomous system must satisfy to achieve certification. Each ACR is binary (pass/fail) or quantitatively measurable and linked to an evidence artifact.</w:t>
      </w:r>
    </w:p>
    <w:p>
      <w:pPr>
        <w:spacing w:before="80" w:after="40" w:line="276"/>
      </w:pPr>
      <w:r>
        <w:rPr>
          <w:rFonts w:ascii="Arial" w:cs="Arial" w:eastAsia="Arial" w:hAnsi="Arial"/>
          <w:b/>
          <w:bCs/>
          <w:color w:val="1B2A4A"/>
          <w:sz w:val="21"/>
          <w:szCs w:val="21"/>
        </w:rPr>
        <w:t xml:space="preserve">Reliability Domain: </w:t>
      </w:r>
      <w:r>
        <w:rPr>
          <w:rFonts w:ascii="Arial" w:cs="Arial" w:eastAsia="Arial" w:hAnsi="Arial"/>
          <w:color w:val="333333"/>
          <w:sz w:val="21"/>
          <w:szCs w:val="21"/>
        </w:rPr>
        <w:t xml:space="preserve">One of the defined evaluation categories within the ARA Standard against which autonomous systems are assessed. The standard defines twelve core domains and one physical systems extension domain.</w:t>
      </w:r>
    </w:p>
    <w:p>
      <w:pPr>
        <w:spacing w:before="80" w:after="40" w:line="276"/>
      </w:pPr>
      <w:r>
        <w:rPr>
          <w:rFonts w:ascii="Arial" w:cs="Arial" w:eastAsia="Arial" w:hAnsi="Arial"/>
          <w:b/>
          <w:bCs/>
          <w:color w:val="1B2A4A"/>
          <w:sz w:val="21"/>
          <w:szCs w:val="21"/>
        </w:rPr>
        <w:t xml:space="preserve">Certification Level: </w:t>
      </w:r>
      <w:r>
        <w:rPr>
          <w:rFonts w:ascii="Arial" w:cs="Arial" w:eastAsia="Arial" w:hAnsi="Arial"/>
          <w:color w:val="333333"/>
          <w:sz w:val="21"/>
          <w:szCs w:val="21"/>
        </w:rPr>
        <w:t xml:space="preserve">A tiered classification (Level 1, Level 2, or Level 3) representing the degree of autonomous capability and the corresponding rigor of evaluation required.</w:t>
      </w:r>
    </w:p>
    <w:p>
      <w:pPr>
        <w:spacing w:before="80" w:after="40" w:line="276"/>
      </w:pPr>
      <w:r>
        <w:rPr>
          <w:rFonts w:ascii="Arial" w:cs="Arial" w:eastAsia="Arial" w:hAnsi="Arial"/>
          <w:b/>
          <w:bCs/>
          <w:color w:val="1B2A4A"/>
          <w:sz w:val="21"/>
          <w:szCs w:val="21"/>
        </w:rPr>
        <w:t xml:space="preserve">Authorized Validation Body (AVB): </w:t>
      </w:r>
      <w:r>
        <w:rPr>
          <w:rFonts w:ascii="Arial" w:cs="Arial" w:eastAsia="Arial" w:hAnsi="Arial"/>
          <w:color w:val="333333"/>
          <w:sz w:val="21"/>
          <w:szCs w:val="21"/>
        </w:rPr>
        <w:t xml:space="preserve">An organization formally authorized by ARAF to conduct ARA evaluations and issue certification recommendations. AVBs must meet independence, competency, and operational requirements.</w:t>
      </w:r>
    </w:p>
    <w:p>
      <w:pPr>
        <w:spacing w:before="80" w:after="40" w:line="276"/>
      </w:pPr>
      <w:r>
        <w:rPr>
          <w:rFonts w:ascii="Arial" w:cs="Arial" w:eastAsia="Arial" w:hAnsi="Arial"/>
          <w:b/>
          <w:bCs/>
          <w:color w:val="1B2A4A"/>
          <w:sz w:val="21"/>
          <w:szCs w:val="21"/>
        </w:rPr>
        <w:t xml:space="preserve">Behavioral Reliability: </w:t>
      </w:r>
      <w:r>
        <w:rPr>
          <w:rFonts w:ascii="Arial" w:cs="Arial" w:eastAsia="Arial" w:hAnsi="Arial"/>
          <w:color w:val="333333"/>
          <w:sz w:val="21"/>
          <w:szCs w:val="21"/>
        </w:rPr>
        <w:t xml:space="preserve">The property of an autonomous system to produce consistent, predictable, and bounded outputs across varied inputs, contexts, and operational conditions over time.</w:t>
      </w:r>
    </w:p>
    <w:p>
      <w:pPr>
        <w:spacing w:before="80" w:after="40" w:line="276"/>
      </w:pPr>
      <w:r>
        <w:rPr>
          <w:rFonts w:ascii="Arial" w:cs="Arial" w:eastAsia="Arial" w:hAnsi="Arial"/>
          <w:b/>
          <w:bCs/>
          <w:color w:val="1B2A4A"/>
          <w:sz w:val="21"/>
          <w:szCs w:val="21"/>
        </w:rPr>
        <w:t xml:space="preserve">Bounded Autonomy: </w:t>
      </w:r>
      <w:r>
        <w:rPr>
          <w:rFonts w:ascii="Arial" w:cs="Arial" w:eastAsia="Arial" w:hAnsi="Arial"/>
          <w:color w:val="333333"/>
          <w:sz w:val="21"/>
          <w:szCs w:val="21"/>
        </w:rPr>
        <w:t xml:space="preserve">The principle that an autonomous system must operate within explicitly defined and enforced operational boundaries, with documented action classes, restrictions, and escalation triggers.</w:t>
      </w:r>
    </w:p>
    <w:p>
      <w:pPr>
        <w:spacing w:before="80" w:after="40" w:line="276"/>
      </w:pPr>
      <w:r>
        <w:rPr>
          <w:rFonts w:ascii="Arial" w:cs="Arial" w:eastAsia="Arial" w:hAnsi="Arial"/>
          <w:b/>
          <w:bCs/>
          <w:color w:val="1B2A4A"/>
          <w:sz w:val="21"/>
          <w:szCs w:val="21"/>
        </w:rPr>
        <w:t xml:space="preserve">Adversarial Robustness: </w:t>
      </w:r>
      <w:r>
        <w:rPr>
          <w:rFonts w:ascii="Arial" w:cs="Arial" w:eastAsia="Arial" w:hAnsi="Arial"/>
          <w:color w:val="333333"/>
          <w:sz w:val="21"/>
          <w:szCs w:val="21"/>
        </w:rPr>
        <w:t xml:space="preserve">The capacity of an autonomous system to maintain behavioral reliability when subjected to intentional manipulation, including but not limited to prompt injection, context poisoning, tool manipulation, and role confusion attacks.</w:t>
      </w:r>
    </w:p>
    <w:p>
      <w:pPr>
        <w:spacing w:before="80" w:after="40" w:line="276"/>
      </w:pPr>
      <w:r>
        <w:rPr>
          <w:rFonts w:ascii="Arial" w:cs="Arial" w:eastAsia="Arial" w:hAnsi="Arial"/>
          <w:b/>
          <w:bCs/>
          <w:color w:val="1B2A4A"/>
          <w:sz w:val="21"/>
          <w:szCs w:val="21"/>
        </w:rPr>
        <w:t xml:space="preserve">Drift: </w:t>
      </w:r>
      <w:r>
        <w:rPr>
          <w:rFonts w:ascii="Arial" w:cs="Arial" w:eastAsia="Arial" w:hAnsi="Arial"/>
          <w:color w:val="333333"/>
          <w:sz w:val="21"/>
          <w:szCs w:val="21"/>
        </w:rPr>
        <w:t xml:space="preserve">A measurable change in an autonomous system’s output distribution, behavioral patterns, or policy compliance over time that was not the result of an intentional, documented system change.</w:t>
      </w:r>
    </w:p>
    <w:p>
      <w:pPr>
        <w:spacing w:before="80" w:after="40" w:line="276"/>
      </w:pPr>
      <w:r>
        <w:rPr>
          <w:rFonts w:ascii="Arial" w:cs="Arial" w:eastAsia="Arial" w:hAnsi="Arial"/>
          <w:b/>
          <w:bCs/>
          <w:color w:val="1B2A4A"/>
          <w:sz w:val="21"/>
          <w:szCs w:val="21"/>
        </w:rPr>
        <w:t xml:space="preserve">Escalation: </w:t>
      </w:r>
      <w:r>
        <w:rPr>
          <w:rFonts w:ascii="Arial" w:cs="Arial" w:eastAsia="Arial" w:hAnsi="Arial"/>
          <w:color w:val="333333"/>
          <w:sz w:val="21"/>
          <w:szCs w:val="21"/>
        </w:rPr>
        <w:t xml:space="preserve">The process by which an autonomous system transfers a decision, action, or alert to a human operator or higher-authority system when predefined conditions are met.</w:t>
      </w:r>
    </w:p>
    <w:p>
      <w:pPr>
        <w:spacing w:before="80" w:after="40" w:line="276"/>
      </w:pPr>
      <w:r>
        <w:rPr>
          <w:rFonts w:ascii="Arial" w:cs="Arial" w:eastAsia="Arial" w:hAnsi="Arial"/>
          <w:b/>
          <w:bCs/>
          <w:color w:val="1B2A4A"/>
          <w:sz w:val="21"/>
          <w:szCs w:val="21"/>
        </w:rPr>
        <w:t xml:space="preserve">Evidence Artifact: </w:t>
      </w:r>
      <w:r>
        <w:rPr>
          <w:rFonts w:ascii="Arial" w:cs="Arial" w:eastAsia="Arial" w:hAnsi="Arial"/>
          <w:color w:val="333333"/>
          <w:sz w:val="21"/>
          <w:szCs w:val="21"/>
        </w:rPr>
        <w:t xml:space="preserve">A documented, exportable, and auditable record demonstrating compliance with a specific ACR. May include logs, test results, configuration records, or simulation outputs.</w:t>
      </w:r>
    </w:p>
    <w:p>
      <w:pPr>
        <w:spacing w:before="80" w:after="40" w:line="276"/>
      </w:pPr>
      <w:r>
        <w:rPr>
          <w:rFonts w:ascii="Arial" w:cs="Arial" w:eastAsia="Arial" w:hAnsi="Arial"/>
          <w:b/>
          <w:bCs/>
          <w:color w:val="1B2A4A"/>
          <w:sz w:val="21"/>
          <w:szCs w:val="21"/>
        </w:rPr>
        <w:t xml:space="preserve">Certification Registry: </w:t>
      </w:r>
      <w:r>
        <w:rPr>
          <w:rFonts w:ascii="Arial" w:cs="Arial" w:eastAsia="Arial" w:hAnsi="Arial"/>
          <w:color w:val="333333"/>
          <w:sz w:val="21"/>
          <w:szCs w:val="21"/>
        </w:rPr>
        <w:t xml:space="preserve">The publicly accessible database maintained by ARAF listing all certified autonomous systems, their certification levels, evaluation dates, and current compliance status.</w:t>
      </w:r>
    </w:p>
    <w:p>
      <w:pPr>
        <w:spacing w:before="80" w:after="40" w:line="276"/>
      </w:pPr>
      <w:r>
        <w:rPr>
          <w:rFonts w:ascii="Arial" w:cs="Arial" w:eastAsia="Arial" w:hAnsi="Arial"/>
          <w:b/>
          <w:bCs/>
          <w:color w:val="1B2A4A"/>
          <w:sz w:val="21"/>
          <w:szCs w:val="21"/>
        </w:rPr>
        <w:t xml:space="preserve">Material System Drift: </w:t>
      </w:r>
      <w:r>
        <w:rPr>
          <w:rFonts w:ascii="Arial" w:cs="Arial" w:eastAsia="Arial" w:hAnsi="Arial"/>
          <w:color w:val="333333"/>
          <w:sz w:val="21"/>
          <w:szCs w:val="21"/>
        </w:rPr>
        <w:t xml:space="preserve">A change in system behavior, configuration, or performance that exceeds predefined thresholds and triggers mandatory revalidation or certification suspension.</w:t>
      </w:r>
    </w:p>
    <w:p>
      <w:pPr>
        <w:spacing w:before="80" w:after="40" w:line="276"/>
      </w:pPr>
      <w:r>
        <w:rPr>
          <w:rFonts w:ascii="Arial" w:cs="Arial" w:eastAsia="Arial" w:hAnsi="Arial"/>
          <w:b/>
          <w:bCs/>
          <w:color w:val="1B2A4A"/>
          <w:sz w:val="21"/>
          <w:szCs w:val="21"/>
        </w:rPr>
        <w:t xml:space="preserve">Production Environment: </w:t>
      </w:r>
      <w:r>
        <w:rPr>
          <w:rFonts w:ascii="Arial" w:cs="Arial" w:eastAsia="Arial" w:hAnsi="Arial"/>
          <w:color w:val="333333"/>
          <w:sz w:val="21"/>
          <w:szCs w:val="21"/>
        </w:rPr>
        <w:t xml:space="preserve">Any operational context in which an autonomous system makes decisions or executes actions that affect real-world outcomes, real users, real data, or real assets.</w:t>
      </w:r>
    </w:p>
    <w:p>
      <w:pPr>
        <w:spacing w:before="80" w:after="40" w:line="276"/>
      </w:pPr>
      <w:r>
        <w:rPr>
          <w:rFonts w:ascii="Arial" w:cs="Arial" w:eastAsia="Arial" w:hAnsi="Arial"/>
          <w:b/>
          <w:bCs/>
          <w:color w:val="1B2A4A"/>
          <w:sz w:val="21"/>
          <w:szCs w:val="21"/>
        </w:rPr>
        <w:t xml:space="preserve">Safe Fallback State: </w:t>
      </w:r>
      <w:r>
        <w:rPr>
          <w:rFonts w:ascii="Arial" w:cs="Arial" w:eastAsia="Arial" w:hAnsi="Arial"/>
          <w:color w:val="333333"/>
          <w:sz w:val="21"/>
          <w:szCs w:val="21"/>
        </w:rPr>
        <w:t xml:space="preserve">A predefined system state to which an autonomous system reverts upon detection of an anomalous condition, critical failure, or boundary violation. Must be documented and tested.</w:t>
      </w:r>
    </w:p>
    <w:p>
      <w:pPr>
        <w:spacing w:before="80" w:after="40" w:line="276"/>
      </w:pPr>
      <w:r>
        <w:rPr>
          <w:rFonts w:ascii="Arial" w:cs="Arial" w:eastAsia="Arial" w:hAnsi="Arial"/>
          <w:b/>
          <w:bCs/>
          <w:color w:val="1B2A4A"/>
          <w:sz w:val="21"/>
          <w:szCs w:val="21"/>
        </w:rPr>
        <w:t xml:space="preserve">Red Team Validation: </w:t>
      </w:r>
      <w:r>
        <w:rPr>
          <w:rFonts w:ascii="Arial" w:cs="Arial" w:eastAsia="Arial" w:hAnsi="Arial"/>
          <w:color w:val="333333"/>
          <w:sz w:val="21"/>
          <w:szCs w:val="21"/>
        </w:rPr>
        <w:t xml:space="preserve">An independent adversarial assessment conducted by qualified personnel attempting to induce failures, bypass controls, or exploit vulnerabilities in the system under evaluation.</w:t>
      </w:r>
    </w:p>
    <w:p>
      <w:pPr>
        <w:spacing w:before="80" w:after="40" w:line="276"/>
      </w:pPr>
      <w:r>
        <w:rPr>
          <w:rFonts w:ascii="Arial" w:cs="Arial" w:eastAsia="Arial" w:hAnsi="Arial"/>
          <w:b/>
          <w:bCs/>
          <w:color w:val="1B2A4A"/>
          <w:sz w:val="21"/>
          <w:szCs w:val="21"/>
        </w:rPr>
        <w:t xml:space="preserve">Continuous Assurance: </w:t>
      </w:r>
      <w:r>
        <w:rPr>
          <w:rFonts w:ascii="Arial" w:cs="Arial" w:eastAsia="Arial" w:hAnsi="Arial"/>
          <w:color w:val="333333"/>
          <w:sz w:val="21"/>
          <w:szCs w:val="21"/>
        </w:rPr>
        <w:t xml:space="preserve">The ongoing, post-certification monitoring of a deployed autonomous system to detect drift, violations, anomalies, and degradation, ensuring sustained compliance with the ARA Standard.</w:t>
      </w:r>
    </w:p>
    <w:p>
      <w:pPr>
        <w:spacing w:before="80" w:after="40" w:line="276"/>
      </w:pPr>
      <w:r>
        <w:rPr>
          <w:rFonts w:ascii="Arial" w:cs="Arial" w:eastAsia="Arial" w:hAnsi="Arial"/>
          <w:b/>
          <w:bCs/>
          <w:color w:val="1B2A4A"/>
          <w:sz w:val="21"/>
          <w:szCs w:val="21"/>
        </w:rPr>
        <w:t xml:space="preserve">Human Override: </w:t>
      </w:r>
      <w:r>
        <w:rPr>
          <w:rFonts w:ascii="Arial" w:cs="Arial" w:eastAsia="Arial" w:hAnsi="Arial"/>
          <w:color w:val="333333"/>
          <w:sz w:val="21"/>
          <w:szCs w:val="21"/>
        </w:rPr>
        <w:t xml:space="preserve">The capability for an authorized human operator to immediately interrupt, modify, or terminate the actions of an autonomous system at any point during operation.</w:t>
      </w:r>
    </w:p>
    <w:p>
      <w:pPr>
        <w:spacing w:before="200" w:after="0"/>
      </w:pPr>
    </w:p>
    <w:p>
      <w:pPr>
        <w:pStyle w:val="Heading1"/>
        <w:spacing w:before="360" w:after="200"/>
      </w:pPr>
      <w:r>
        <w:rPr>
          <w:rFonts w:ascii="Arial" w:cs="Arial" w:eastAsia="Arial" w:hAnsi="Arial"/>
          <w:b/>
          <w:bCs/>
          <w:color w:val="1B2A4A"/>
          <w:sz w:val="32"/>
          <w:szCs w:val="32"/>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Abbreviation</w:t>
            </w:r>
          </w:p>
        </w:tc>
        <w:tc>
          <w:tcPr>
            <w:tcW w:type="dxa" w:w="73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Meaning</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ACR</w:t>
            </w:r>
          </w:p>
        </w:tc>
        <w:tc>
          <w:tcPr>
            <w:tcW w:type="dxa" w:w="7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Autonomous Control Requirement</w:t>
            </w:r>
          </w:p>
        </w:tc>
      </w:tr>
      <w:tr>
        <w:tc>
          <w:tcPr>
            <w:tcW w:type="dxa" w:w="2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w:t>
            </w:r>
          </w:p>
        </w:tc>
        <w:tc>
          <w:tcPr>
            <w:tcW w:type="dxa" w:w="7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Autonomous Reliability Assurance</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w:t>
            </w:r>
          </w:p>
        </w:tc>
        <w:tc>
          <w:tcPr>
            <w:tcW w:type="dxa" w:w="7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Autonomous Reliability Assurance Foundation</w:t>
            </w:r>
          </w:p>
        </w:tc>
      </w:tr>
      <w:tr>
        <w:tc>
          <w:tcPr>
            <w:tcW w:type="dxa" w:w="2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AVB</w:t>
            </w:r>
          </w:p>
        </w:tc>
        <w:tc>
          <w:tcPr>
            <w:tcW w:type="dxa" w:w="7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Authorized Validation Body</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API</w:t>
            </w:r>
          </w:p>
        </w:tc>
        <w:tc>
          <w:tcPr>
            <w:tcW w:type="dxa" w:w="7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Application Programming Interface</w:t>
            </w:r>
          </w:p>
        </w:tc>
      </w:tr>
      <w:tr>
        <w:tc>
          <w:tcPr>
            <w:tcW w:type="dxa" w:w="2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CAP</w:t>
            </w:r>
          </w:p>
        </w:tc>
        <w:tc>
          <w:tcPr>
            <w:tcW w:type="dxa" w:w="7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Continuous Assurance Platform</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HITL</w:t>
            </w:r>
          </w:p>
        </w:tc>
        <w:tc>
          <w:tcPr>
            <w:tcW w:type="dxa" w:w="7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Human-in-the-Loop</w:t>
            </w:r>
          </w:p>
        </w:tc>
      </w:tr>
      <w:tr>
        <w:tc>
          <w:tcPr>
            <w:tcW w:type="dxa" w:w="2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MAS</w:t>
            </w:r>
          </w:p>
        </w:tc>
        <w:tc>
          <w:tcPr>
            <w:tcW w:type="dxa" w:w="7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Multi-Agent System</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SDK</w:t>
            </w:r>
          </w:p>
        </w:tc>
        <w:tc>
          <w:tcPr>
            <w:tcW w:type="dxa" w:w="7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Software Development Kit</w:t>
            </w:r>
          </w:p>
        </w:tc>
      </w:tr>
      <w:tr>
        <w:tc>
          <w:tcPr>
            <w:tcW w:type="dxa" w:w="20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SLA</w:t>
            </w:r>
          </w:p>
        </w:tc>
        <w:tc>
          <w:tcPr>
            <w:tcW w:type="dxa" w:w="7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Service Level Agreement</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TSB</w:t>
            </w:r>
          </w:p>
        </w:tc>
        <w:tc>
          <w:tcPr>
            <w:tcW w:type="dxa" w:w="7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Technical Standards Board</w:t>
            </w:r>
          </w:p>
        </w:tc>
      </w:tr>
    </w:tbl>
    <w:p>
      <w:r>
        <w:br w:type="page"/>
      </w:r>
    </w:p>
    <w:p>
      <w:pPr>
        <w:pBdr>
          <w:bottom w:val="single" w:color="3B7DD8" w:sz="4" w:space="8"/>
        </w:pBdr>
        <w:spacing w:before="200" w:after="300"/>
      </w:pPr>
      <w:r>
        <w:rPr>
          <w:rFonts w:ascii="Arial" w:cs="Arial" w:eastAsia="Arial" w:hAnsi="Arial"/>
          <w:b/>
          <w:bCs/>
          <w:color w:val="1B2A4A"/>
          <w:sz w:val="32"/>
          <w:szCs w:val="32"/>
        </w:rPr>
        <w:t xml:space="preserve">TABLE OF CONTENTS</w:t>
      </w:r>
    </w:p>
    <w:p>
      <w:pPr>
        <w:spacing w:before="200" w:after="80"/>
      </w:pPr>
      <w:r>
        <w:rPr>
          <w:rFonts w:ascii="Arial" w:cs="Arial" w:eastAsia="Arial" w:hAnsi="Arial"/>
          <w:b/>
          <w:bCs/>
          <w:color w:val="1B2A4A"/>
          <w:sz w:val="22"/>
          <w:szCs w:val="22"/>
        </w:rPr>
        <w:t xml:space="preserve">PART I — FOUNDATIONAL CHARTER</w:t>
      </w:r>
    </w:p>
    <w:p>
      <w:pPr>
        <w:spacing w:before="40" w:after="40" w:line="260"/>
        <w:ind w:left="0"/>
      </w:pPr>
      <w:r>
        <w:rPr>
          <w:rFonts w:ascii="Arial" w:cs="Arial" w:eastAsia="Arial" w:hAnsi="Arial"/>
          <w:b/>
          <w:bCs/>
          <w:color w:val="333333"/>
          <w:sz w:val="21"/>
          <w:szCs w:val="21"/>
        </w:rPr>
        <w:t xml:space="preserve">Article 1 — Mission Statement</w:t>
      </w:r>
    </w:p>
    <w:p>
      <w:pPr>
        <w:spacing w:before="40" w:after="40" w:line="260"/>
        <w:ind w:left="0"/>
      </w:pPr>
      <w:r>
        <w:rPr>
          <w:rFonts w:ascii="Arial" w:cs="Arial" w:eastAsia="Arial" w:hAnsi="Arial"/>
          <w:b/>
          <w:bCs/>
          <w:color w:val="333333"/>
          <w:sz w:val="21"/>
          <w:szCs w:val="21"/>
        </w:rPr>
        <w:t xml:space="preserve">Article 2 — Scope and Applicability</w:t>
      </w:r>
    </w:p>
    <w:p>
      <w:pPr>
        <w:spacing w:before="20" w:after="20" w:line="260"/>
        <w:ind w:left="360"/>
      </w:pPr>
      <w:r>
        <w:rPr>
          <w:rFonts w:ascii="Arial" w:cs="Arial" w:eastAsia="Arial" w:hAnsi="Arial"/>
          <w:b w:val="false"/>
          <w:bCs w:val="false"/>
          <w:color w:val="666666"/>
          <w:sz w:val="19"/>
          <w:szCs w:val="19"/>
        </w:rPr>
        <w:t xml:space="preserve">2.1 Definition of Autonomous System</w:t>
      </w:r>
    </w:p>
    <w:p>
      <w:pPr>
        <w:spacing w:before="20" w:after="20" w:line="260"/>
        <w:ind w:left="720"/>
      </w:pPr>
      <w:r>
        <w:rPr>
          <w:rFonts w:ascii="Arial" w:cs="Arial" w:eastAsia="Arial" w:hAnsi="Arial"/>
          <w:b w:val="false"/>
          <w:bCs w:val="false"/>
          <w:color w:val="666666"/>
          <w:sz w:val="19"/>
          <w:szCs w:val="19"/>
        </w:rPr>
        <w:t xml:space="preserve">2.1.1 Systems Within Scope</w:t>
      </w:r>
    </w:p>
    <w:p>
      <w:pPr>
        <w:spacing w:before="20" w:after="20" w:line="260"/>
        <w:ind w:left="720"/>
      </w:pPr>
      <w:r>
        <w:rPr>
          <w:rFonts w:ascii="Arial" w:cs="Arial" w:eastAsia="Arial" w:hAnsi="Arial"/>
          <w:b w:val="false"/>
          <w:bCs w:val="false"/>
          <w:color w:val="666666"/>
          <w:sz w:val="19"/>
          <w:szCs w:val="19"/>
        </w:rPr>
        <w:t xml:space="preserve">2.1.2 Systems Outside Scope</w:t>
      </w:r>
    </w:p>
    <w:p>
      <w:pPr>
        <w:spacing w:before="20" w:after="20" w:line="260"/>
        <w:ind w:left="360"/>
      </w:pPr>
      <w:r>
        <w:rPr>
          <w:rFonts w:ascii="Arial" w:cs="Arial" w:eastAsia="Arial" w:hAnsi="Arial"/>
          <w:b w:val="false"/>
          <w:bCs w:val="false"/>
          <w:color w:val="666666"/>
          <w:sz w:val="19"/>
          <w:szCs w:val="19"/>
        </w:rPr>
        <w:t xml:space="preserve">2.2 Certification Scope</w:t>
      </w:r>
    </w:p>
    <w:p>
      <w:pPr>
        <w:spacing w:before="40" w:after="40" w:line="260"/>
        <w:ind w:left="0"/>
      </w:pPr>
      <w:r>
        <w:rPr>
          <w:rFonts w:ascii="Arial" w:cs="Arial" w:eastAsia="Arial" w:hAnsi="Arial"/>
          <w:b/>
          <w:bCs/>
          <w:color w:val="333333"/>
          <w:sz w:val="21"/>
          <w:szCs w:val="21"/>
        </w:rPr>
        <w:t xml:space="preserve">Article 3 — Governing Principles</w:t>
      </w:r>
    </w:p>
    <w:p>
      <w:pPr>
        <w:spacing w:before="40" w:after="40" w:line="260"/>
        <w:ind w:left="0"/>
      </w:pPr>
      <w:r>
        <w:rPr>
          <w:rFonts w:ascii="Arial" w:cs="Arial" w:eastAsia="Arial" w:hAnsi="Arial"/>
          <w:b/>
          <w:bCs/>
          <w:color w:val="333333"/>
          <w:sz w:val="21"/>
          <w:szCs w:val="21"/>
        </w:rPr>
        <w:t xml:space="preserve">Article 4 — Governance Structure</w:t>
      </w:r>
    </w:p>
    <w:p>
      <w:pPr>
        <w:spacing w:before="20" w:after="20" w:line="260"/>
        <w:ind w:left="360"/>
      </w:pPr>
      <w:r>
        <w:rPr>
          <w:rFonts w:ascii="Arial" w:cs="Arial" w:eastAsia="Arial" w:hAnsi="Arial"/>
          <w:b w:val="false"/>
          <w:bCs w:val="false"/>
          <w:color w:val="666666"/>
          <w:sz w:val="19"/>
          <w:szCs w:val="19"/>
        </w:rPr>
        <w:t xml:space="preserve">4.1 Technical Standards Board (TSB)</w:t>
      </w:r>
    </w:p>
    <w:p>
      <w:pPr>
        <w:spacing w:before="20" w:after="20" w:line="260"/>
        <w:ind w:left="360"/>
      </w:pPr>
      <w:r>
        <w:rPr>
          <w:rFonts w:ascii="Arial" w:cs="Arial" w:eastAsia="Arial" w:hAnsi="Arial"/>
          <w:b w:val="false"/>
          <w:bCs w:val="false"/>
          <w:color w:val="666666"/>
          <w:sz w:val="19"/>
          <w:szCs w:val="19"/>
        </w:rPr>
        <w:t xml:space="preserve">4.2 Adversarial Testing Advisory Group (ATAG)</w:t>
      </w:r>
    </w:p>
    <w:p>
      <w:pPr>
        <w:spacing w:before="20" w:after="20" w:line="260"/>
        <w:ind w:left="360"/>
      </w:pPr>
      <w:r>
        <w:rPr>
          <w:rFonts w:ascii="Arial" w:cs="Arial" w:eastAsia="Arial" w:hAnsi="Arial"/>
          <w:b w:val="false"/>
          <w:bCs w:val="false"/>
          <w:color w:val="666666"/>
          <w:sz w:val="19"/>
          <w:szCs w:val="19"/>
        </w:rPr>
        <w:t xml:space="preserve">4.3 Robotics and Physical Systems Council (RPSC)</w:t>
      </w:r>
    </w:p>
    <w:p>
      <w:pPr>
        <w:spacing w:before="20" w:after="20" w:line="260"/>
        <w:ind w:left="360"/>
      </w:pPr>
      <w:r>
        <w:rPr>
          <w:rFonts w:ascii="Arial" w:cs="Arial" w:eastAsia="Arial" w:hAnsi="Arial"/>
          <w:b w:val="false"/>
          <w:bCs w:val="false"/>
          <w:color w:val="666666"/>
          <w:sz w:val="19"/>
          <w:szCs w:val="19"/>
        </w:rPr>
        <w:t xml:space="preserve">4.4 Risk and Compliance Advisory Council (RCAC)</w:t>
      </w:r>
    </w:p>
    <w:p>
      <w:pPr>
        <w:spacing w:before="20" w:after="20" w:line="260"/>
        <w:ind w:left="360"/>
      </w:pPr>
      <w:r>
        <w:rPr>
          <w:rFonts w:ascii="Arial" w:cs="Arial" w:eastAsia="Arial" w:hAnsi="Arial"/>
          <w:b w:val="false"/>
          <w:bCs w:val="false"/>
          <w:color w:val="666666"/>
          <w:sz w:val="19"/>
          <w:szCs w:val="19"/>
        </w:rPr>
        <w:t xml:space="preserve">4.5 Public Interest Oversight Panel (PIOP)</w:t>
      </w:r>
    </w:p>
    <w:p>
      <w:pPr>
        <w:spacing w:before="20" w:after="20" w:line="260"/>
        <w:ind w:left="360"/>
      </w:pPr>
      <w:r>
        <w:rPr>
          <w:rFonts w:ascii="Arial" w:cs="Arial" w:eastAsia="Arial" w:hAnsi="Arial"/>
          <w:b w:val="false"/>
          <w:bCs w:val="false"/>
          <w:color w:val="666666"/>
          <w:sz w:val="19"/>
          <w:szCs w:val="19"/>
        </w:rPr>
        <w:t xml:space="preserve">4.6 Governance Integrity Provisions</w:t>
      </w:r>
    </w:p>
    <w:p>
      <w:pPr>
        <w:spacing w:before="40" w:after="40" w:line="260"/>
        <w:ind w:left="0"/>
      </w:pPr>
      <w:r>
        <w:rPr>
          <w:rFonts w:ascii="Arial" w:cs="Arial" w:eastAsia="Arial" w:hAnsi="Arial"/>
          <w:b/>
          <w:bCs/>
          <w:color w:val="333333"/>
          <w:sz w:val="21"/>
          <w:szCs w:val="21"/>
        </w:rPr>
        <w:t xml:space="preserve">Article 5 — Standard Versioning and Revision</w:t>
      </w:r>
    </w:p>
    <w:p>
      <w:pPr>
        <w:spacing w:before="20" w:after="20" w:line="260"/>
        <w:ind w:left="360"/>
      </w:pPr>
      <w:r>
        <w:rPr>
          <w:rFonts w:ascii="Arial" w:cs="Arial" w:eastAsia="Arial" w:hAnsi="Arial"/>
          <w:b w:val="false"/>
          <w:bCs w:val="false"/>
          <w:color w:val="666666"/>
          <w:sz w:val="19"/>
          <w:szCs w:val="19"/>
        </w:rPr>
        <w:t xml:space="preserve">5.1 Versioning Scheme</w:t>
      </w:r>
    </w:p>
    <w:p>
      <w:pPr>
        <w:spacing w:before="20" w:after="20" w:line="260"/>
        <w:ind w:left="360"/>
      </w:pPr>
      <w:r>
        <w:rPr>
          <w:rFonts w:ascii="Arial" w:cs="Arial" w:eastAsia="Arial" w:hAnsi="Arial"/>
          <w:b w:val="false"/>
          <w:bCs w:val="false"/>
          <w:color w:val="666666"/>
          <w:sz w:val="19"/>
          <w:szCs w:val="19"/>
        </w:rPr>
        <w:t xml:space="preserve">5.2 Revision Process</w:t>
      </w:r>
    </w:p>
    <w:p>
      <w:pPr>
        <w:spacing w:before="20" w:after="20" w:line="260"/>
        <w:ind w:left="360"/>
      </w:pPr>
      <w:r>
        <w:rPr>
          <w:rFonts w:ascii="Arial" w:cs="Arial" w:eastAsia="Arial" w:hAnsi="Arial"/>
          <w:b w:val="false"/>
          <w:bCs w:val="false"/>
          <w:color w:val="666666"/>
          <w:sz w:val="19"/>
          <w:szCs w:val="19"/>
        </w:rPr>
        <w:t xml:space="preserve">5.3 Backwards Compatibility</w:t>
      </w:r>
    </w:p>
    <w:p>
      <w:pPr>
        <w:spacing w:before="40" w:after="40" w:line="260"/>
        <w:ind w:left="0"/>
      </w:pPr>
      <w:r>
        <w:rPr>
          <w:rFonts w:ascii="Arial" w:cs="Arial" w:eastAsia="Arial" w:hAnsi="Arial"/>
          <w:b/>
          <w:bCs/>
          <w:color w:val="333333"/>
          <w:sz w:val="21"/>
          <w:szCs w:val="21"/>
        </w:rPr>
        <w:t xml:space="preserve">Article 6 — Certification Authority and Authorized Validation Bodies</w:t>
      </w:r>
    </w:p>
    <w:p>
      <w:pPr>
        <w:spacing w:before="20" w:after="20" w:line="260"/>
        <w:ind w:left="360"/>
      </w:pPr>
      <w:r>
        <w:rPr>
          <w:rFonts w:ascii="Arial" w:cs="Arial" w:eastAsia="Arial" w:hAnsi="Arial"/>
          <w:b w:val="false"/>
          <w:bCs w:val="false"/>
          <w:color w:val="666666"/>
          <w:sz w:val="19"/>
          <w:szCs w:val="19"/>
        </w:rPr>
        <w:t xml:space="preserve">6.1 Certification Authority</w:t>
      </w:r>
    </w:p>
    <w:p>
      <w:pPr>
        <w:spacing w:before="20" w:after="20" w:line="260"/>
        <w:ind w:left="360"/>
      </w:pPr>
      <w:r>
        <w:rPr>
          <w:rFonts w:ascii="Arial" w:cs="Arial" w:eastAsia="Arial" w:hAnsi="Arial"/>
          <w:b w:val="false"/>
          <w:bCs w:val="false"/>
          <w:color w:val="666666"/>
          <w:sz w:val="19"/>
          <w:szCs w:val="19"/>
        </w:rPr>
        <w:t xml:space="preserve">6.2 AVB Authorization Requirements</w:t>
      </w:r>
    </w:p>
    <w:p>
      <w:pPr>
        <w:spacing w:before="20" w:after="20" w:line="260"/>
        <w:ind w:left="360"/>
      </w:pPr>
      <w:r>
        <w:rPr>
          <w:rFonts w:ascii="Arial" w:cs="Arial" w:eastAsia="Arial" w:hAnsi="Arial"/>
          <w:b w:val="false"/>
          <w:bCs w:val="false"/>
          <w:color w:val="666666"/>
          <w:sz w:val="19"/>
          <w:szCs w:val="19"/>
        </w:rPr>
        <w:t xml:space="preserve">6.3 Certification Requirements</w:t>
      </w:r>
    </w:p>
    <w:p>
      <w:pPr>
        <w:spacing w:before="40" w:after="40" w:line="260"/>
        <w:ind w:left="0"/>
      </w:pPr>
      <w:r>
        <w:rPr>
          <w:rFonts w:ascii="Arial" w:cs="Arial" w:eastAsia="Arial" w:hAnsi="Arial"/>
          <w:b/>
          <w:bCs/>
          <w:color w:val="333333"/>
          <w:sz w:val="21"/>
          <w:szCs w:val="21"/>
        </w:rPr>
        <w:t xml:space="preserve">Article 7 — Revocation and Suspension Authority</w:t>
      </w:r>
    </w:p>
    <w:p>
      <w:pPr>
        <w:spacing w:before="40" w:after="40" w:line="260"/>
        <w:ind w:left="0"/>
      </w:pPr>
      <w:r>
        <w:rPr>
          <w:rFonts w:ascii="Arial" w:cs="Arial" w:eastAsia="Arial" w:hAnsi="Arial"/>
          <w:b/>
          <w:bCs/>
          <w:color w:val="333333"/>
          <w:sz w:val="21"/>
          <w:szCs w:val="21"/>
        </w:rPr>
        <w:t xml:space="preserve">Article 8 — Intellectual Property and Licensing</w:t>
      </w:r>
    </w:p>
    <w:p>
      <w:pPr>
        <w:spacing w:before="200" w:after="80"/>
      </w:pPr>
      <w:r>
        <w:rPr>
          <w:rFonts w:ascii="Arial" w:cs="Arial" w:eastAsia="Arial" w:hAnsi="Arial"/>
          <w:b/>
          <w:bCs/>
          <w:color w:val="1B2A4A"/>
          <w:sz w:val="22"/>
          <w:szCs w:val="22"/>
        </w:rPr>
        <w:t xml:space="preserve">PART II — THE CORE RELIABILITY DOMAINS</w:t>
      </w:r>
    </w:p>
    <w:p>
      <w:pPr>
        <w:spacing w:before="40" w:after="40" w:line="260"/>
        <w:ind w:left="0"/>
      </w:pPr>
      <w:r>
        <w:rPr>
          <w:rFonts w:ascii="Arial" w:cs="Arial" w:eastAsia="Arial" w:hAnsi="Arial"/>
          <w:b/>
          <w:bCs/>
          <w:color w:val="333333"/>
          <w:sz w:val="21"/>
          <w:szCs w:val="21"/>
        </w:rPr>
        <w:t xml:space="preserve">Domain 1 — Autonomy Scope Definition</w:t>
      </w:r>
    </w:p>
    <w:p>
      <w:pPr>
        <w:spacing w:before="40" w:after="40" w:line="260"/>
        <w:ind w:left="0"/>
      </w:pPr>
      <w:r>
        <w:rPr>
          <w:rFonts w:ascii="Arial" w:cs="Arial" w:eastAsia="Arial" w:hAnsi="Arial"/>
          <w:b/>
          <w:bCs/>
          <w:color w:val="333333"/>
          <w:sz w:val="21"/>
          <w:szCs w:val="21"/>
        </w:rPr>
        <w:t xml:space="preserve">Domain 2 — Decision Integrity</w:t>
      </w:r>
    </w:p>
    <w:p>
      <w:pPr>
        <w:spacing w:before="40" w:after="40" w:line="260"/>
        <w:ind w:left="0"/>
      </w:pPr>
      <w:r>
        <w:rPr>
          <w:rFonts w:ascii="Arial" w:cs="Arial" w:eastAsia="Arial" w:hAnsi="Arial"/>
          <w:b/>
          <w:bCs/>
          <w:color w:val="333333"/>
          <w:sz w:val="21"/>
          <w:szCs w:val="21"/>
        </w:rPr>
        <w:t xml:space="preserve">Domain 3 — Tool and API Governance</w:t>
      </w:r>
    </w:p>
    <w:p>
      <w:pPr>
        <w:spacing w:before="40" w:after="40" w:line="260"/>
        <w:ind w:left="0"/>
      </w:pPr>
      <w:r>
        <w:rPr>
          <w:rFonts w:ascii="Arial" w:cs="Arial" w:eastAsia="Arial" w:hAnsi="Arial"/>
          <w:b/>
          <w:bCs/>
          <w:color w:val="333333"/>
          <w:sz w:val="21"/>
          <w:szCs w:val="21"/>
        </w:rPr>
        <w:t xml:space="preserve">Domain 4 — Identity and Permission Containment</w:t>
      </w:r>
    </w:p>
    <w:p>
      <w:pPr>
        <w:spacing w:before="40" w:after="40" w:line="260"/>
        <w:ind w:left="0"/>
      </w:pPr>
      <w:r>
        <w:rPr>
          <w:rFonts w:ascii="Arial" w:cs="Arial" w:eastAsia="Arial" w:hAnsi="Arial"/>
          <w:b/>
          <w:bCs/>
          <w:color w:val="333333"/>
          <w:sz w:val="21"/>
          <w:szCs w:val="21"/>
        </w:rPr>
        <w:t xml:space="preserve">Domain 5 — Failure Mode Containment</w:t>
      </w:r>
    </w:p>
    <w:p>
      <w:pPr>
        <w:spacing w:before="40" w:after="40" w:line="260"/>
        <w:ind w:left="0"/>
      </w:pPr>
      <w:r>
        <w:rPr>
          <w:rFonts w:ascii="Arial" w:cs="Arial" w:eastAsia="Arial" w:hAnsi="Arial"/>
          <w:b/>
          <w:bCs/>
          <w:color w:val="333333"/>
          <w:sz w:val="21"/>
          <w:szCs w:val="21"/>
        </w:rPr>
        <w:t xml:space="preserve">Domain 6 — Behavioral Reliability Under Stress</w:t>
      </w:r>
    </w:p>
    <w:p>
      <w:pPr>
        <w:spacing w:before="40" w:after="40" w:line="260"/>
        <w:ind w:left="0"/>
      </w:pPr>
      <w:r>
        <w:rPr>
          <w:rFonts w:ascii="Arial" w:cs="Arial" w:eastAsia="Arial" w:hAnsi="Arial"/>
          <w:b/>
          <w:bCs/>
          <w:color w:val="333333"/>
          <w:sz w:val="21"/>
          <w:szCs w:val="21"/>
        </w:rPr>
        <w:t xml:space="preserve">Domain 7 — Adversarial Robustness</w:t>
      </w:r>
    </w:p>
    <w:p>
      <w:pPr>
        <w:spacing w:before="40" w:after="40" w:line="260"/>
        <w:ind w:left="0"/>
      </w:pPr>
      <w:r>
        <w:rPr>
          <w:rFonts w:ascii="Arial" w:cs="Arial" w:eastAsia="Arial" w:hAnsi="Arial"/>
          <w:b/>
          <w:bCs/>
          <w:color w:val="333333"/>
          <w:sz w:val="21"/>
          <w:szCs w:val="21"/>
        </w:rPr>
        <w:t xml:space="preserve">Domain 8 — Drift Detection and Stability</w:t>
      </w:r>
    </w:p>
    <w:p>
      <w:pPr>
        <w:spacing w:before="40" w:after="40" w:line="260"/>
        <w:ind w:left="0"/>
      </w:pPr>
      <w:r>
        <w:rPr>
          <w:rFonts w:ascii="Arial" w:cs="Arial" w:eastAsia="Arial" w:hAnsi="Arial"/>
          <w:b/>
          <w:bCs/>
          <w:color w:val="333333"/>
          <w:sz w:val="21"/>
          <w:szCs w:val="21"/>
        </w:rPr>
        <w:t xml:space="preserve">Domain 9 — Monitoring and Telemetry</w:t>
      </w:r>
    </w:p>
    <w:p>
      <w:pPr>
        <w:spacing w:before="40" w:after="40" w:line="260"/>
        <w:ind w:left="0"/>
      </w:pPr>
      <w:r>
        <w:rPr>
          <w:rFonts w:ascii="Arial" w:cs="Arial" w:eastAsia="Arial" w:hAnsi="Arial"/>
          <w:b/>
          <w:bCs/>
          <w:color w:val="333333"/>
          <w:sz w:val="21"/>
          <w:szCs w:val="21"/>
        </w:rPr>
        <w:t xml:space="preserve">Domain 10 — Escalation and Human Override</w:t>
      </w:r>
    </w:p>
    <w:p>
      <w:pPr>
        <w:spacing w:before="40" w:after="40" w:line="260"/>
        <w:ind w:left="0"/>
      </w:pPr>
      <w:r>
        <w:rPr>
          <w:rFonts w:ascii="Arial" w:cs="Arial" w:eastAsia="Arial" w:hAnsi="Arial"/>
          <w:b/>
          <w:bCs/>
          <w:color w:val="333333"/>
          <w:sz w:val="21"/>
          <w:szCs w:val="21"/>
        </w:rPr>
        <w:t xml:space="preserve">Domain 11 — Auditability and Transparency</w:t>
      </w:r>
    </w:p>
    <w:p>
      <w:pPr>
        <w:spacing w:before="40" w:after="40" w:line="260"/>
        <w:ind w:left="0"/>
      </w:pPr>
      <w:r>
        <w:rPr>
          <w:rFonts w:ascii="Arial" w:cs="Arial" w:eastAsia="Arial" w:hAnsi="Arial"/>
          <w:b/>
          <w:bCs/>
          <w:color w:val="333333"/>
          <w:sz w:val="21"/>
          <w:szCs w:val="21"/>
        </w:rPr>
        <w:t xml:space="preserve">Domain 12 — Operational Governance Controls</w:t>
      </w:r>
    </w:p>
    <w:p>
      <w:pPr>
        <w:spacing w:before="40" w:after="40" w:line="260"/>
        <w:ind w:left="0"/>
      </w:pPr>
      <w:r>
        <w:rPr>
          <w:rFonts w:ascii="Arial" w:cs="Arial" w:eastAsia="Arial" w:hAnsi="Arial"/>
          <w:b/>
          <w:bCs/>
          <w:color w:val="333333"/>
          <w:sz w:val="21"/>
          <w:szCs w:val="21"/>
        </w:rPr>
        <w:t xml:space="preserve">Domain 13 — Physical Actuation Integrity (Extension)</w:t>
      </w:r>
    </w:p>
    <w:p>
      <w:pPr>
        <w:spacing w:before="40" w:after="40" w:line="260"/>
        <w:ind w:left="0"/>
      </w:pPr>
      <w:r>
        <w:rPr>
          <w:rFonts w:ascii="Arial" w:cs="Arial" w:eastAsia="Arial" w:hAnsi="Arial"/>
          <w:b/>
          <w:bCs/>
          <w:color w:val="333333"/>
          <w:sz w:val="21"/>
          <w:szCs w:val="21"/>
        </w:rPr>
        <w:t xml:space="preserve">ACR Distribution Summary</w:t>
      </w:r>
    </w:p>
    <w:p>
      <w:pPr>
        <w:spacing w:before="200" w:after="80"/>
      </w:pPr>
      <w:r>
        <w:rPr>
          <w:rFonts w:ascii="Arial" w:cs="Arial" w:eastAsia="Arial" w:hAnsi="Arial"/>
          <w:b/>
          <w:bCs/>
          <w:color w:val="1B2A4A"/>
          <w:sz w:val="22"/>
          <w:szCs w:val="22"/>
        </w:rPr>
        <w:t xml:space="preserve">PART III — EVALUATION CONTROL FRAMEWORK</w:t>
      </w:r>
    </w:p>
    <w:p>
      <w:pPr>
        <w:spacing w:before="40" w:after="40" w:line="260"/>
        <w:ind w:left="0"/>
      </w:pPr>
      <w:r>
        <w:rPr>
          <w:rFonts w:ascii="Arial" w:cs="Arial" w:eastAsia="Arial" w:hAnsi="Arial"/>
          <w:b/>
          <w:bCs/>
          <w:color w:val="333333"/>
          <w:sz w:val="21"/>
          <w:szCs w:val="21"/>
        </w:rPr>
        <w:t xml:space="preserve">ACR Design Principles</w:t>
      </w:r>
    </w:p>
    <w:p>
      <w:pPr>
        <w:spacing w:before="40" w:after="40" w:line="260"/>
        <w:ind w:left="0"/>
      </w:pPr>
      <w:r>
        <w:rPr>
          <w:rFonts w:ascii="Arial" w:cs="Arial" w:eastAsia="Arial" w:hAnsi="Arial"/>
          <w:b/>
          <w:bCs/>
          <w:color w:val="333333"/>
          <w:sz w:val="21"/>
          <w:szCs w:val="21"/>
        </w:rPr>
        <w:t xml:space="preserve">ACR Structure</w:t>
      </w:r>
    </w:p>
    <w:p>
      <w:pPr>
        <w:spacing w:before="40" w:after="40" w:line="260"/>
        <w:ind w:left="0"/>
      </w:pPr>
      <w:r>
        <w:rPr>
          <w:rFonts w:ascii="Arial" w:cs="Arial" w:eastAsia="Arial" w:hAnsi="Arial"/>
          <w:b/>
          <w:bCs/>
          <w:color w:val="333333"/>
          <w:sz w:val="21"/>
          <w:szCs w:val="21"/>
        </w:rPr>
        <w:t xml:space="preserve">Evaluation Methods</w:t>
      </w:r>
    </w:p>
    <w:p>
      <w:pPr>
        <w:spacing w:before="20" w:after="20" w:line="260"/>
        <w:ind w:left="360"/>
      </w:pPr>
      <w:r>
        <w:rPr>
          <w:rFonts w:ascii="Arial" w:cs="Arial" w:eastAsia="Arial" w:hAnsi="Arial"/>
          <w:b w:val="false"/>
          <w:bCs w:val="false"/>
          <w:color w:val="666666"/>
          <w:sz w:val="19"/>
          <w:szCs w:val="19"/>
        </w:rPr>
        <w:t xml:space="preserve">Automated Testing</w:t>
      </w:r>
    </w:p>
    <w:p>
      <w:pPr>
        <w:spacing w:before="20" w:after="20" w:line="260"/>
        <w:ind w:left="360"/>
      </w:pPr>
      <w:r>
        <w:rPr>
          <w:rFonts w:ascii="Arial" w:cs="Arial" w:eastAsia="Arial" w:hAnsi="Arial"/>
          <w:b w:val="false"/>
          <w:bCs w:val="false"/>
          <w:color w:val="666666"/>
          <w:sz w:val="19"/>
          <w:szCs w:val="19"/>
        </w:rPr>
        <w:t xml:space="preserve">Human Simulation</w:t>
      </w:r>
    </w:p>
    <w:p>
      <w:pPr>
        <w:spacing w:before="20" w:after="20" w:line="260"/>
        <w:ind w:left="360"/>
      </w:pPr>
      <w:r>
        <w:rPr>
          <w:rFonts w:ascii="Arial" w:cs="Arial" w:eastAsia="Arial" w:hAnsi="Arial"/>
          <w:b w:val="false"/>
          <w:bCs w:val="false"/>
          <w:color w:val="666666"/>
          <w:sz w:val="19"/>
          <w:szCs w:val="19"/>
        </w:rPr>
        <w:t xml:space="preserve">Expert Inspection</w:t>
      </w:r>
    </w:p>
    <w:p>
      <w:pPr>
        <w:spacing w:before="20" w:after="20" w:line="260"/>
        <w:ind w:left="360"/>
      </w:pPr>
      <w:r>
        <w:rPr>
          <w:rFonts w:ascii="Arial" w:cs="Arial" w:eastAsia="Arial" w:hAnsi="Arial"/>
          <w:b w:val="false"/>
          <w:bCs w:val="false"/>
          <w:color w:val="666666"/>
          <w:sz w:val="19"/>
          <w:szCs w:val="19"/>
        </w:rPr>
        <w:t xml:space="preserve">Continuous Monitoring Verification</w:t>
      </w:r>
    </w:p>
    <w:p>
      <w:pPr>
        <w:spacing w:before="40" w:after="40" w:line="260"/>
        <w:ind w:left="0"/>
      </w:pPr>
      <w:r>
        <w:rPr>
          <w:rFonts w:ascii="Arial" w:cs="Arial" w:eastAsia="Arial" w:hAnsi="Arial"/>
          <w:b/>
          <w:bCs/>
          <w:color w:val="333333"/>
          <w:sz w:val="21"/>
          <w:szCs w:val="21"/>
        </w:rPr>
        <w:t xml:space="preserve">Scoring Methodology</w:t>
      </w:r>
    </w:p>
    <w:p>
      <w:pPr>
        <w:spacing w:before="20" w:after="20" w:line="260"/>
        <w:ind w:left="360"/>
      </w:pPr>
      <w:r>
        <w:rPr>
          <w:rFonts w:ascii="Arial" w:cs="Arial" w:eastAsia="Arial" w:hAnsi="Arial"/>
          <w:b w:val="false"/>
          <w:bCs w:val="false"/>
          <w:color w:val="666666"/>
          <w:sz w:val="19"/>
          <w:szCs w:val="19"/>
        </w:rPr>
        <w:t xml:space="preserve">Domain Scoring</w:t>
      </w:r>
    </w:p>
    <w:p>
      <w:pPr>
        <w:spacing w:before="20" w:after="20" w:line="260"/>
        <w:ind w:left="360"/>
      </w:pPr>
      <w:r>
        <w:rPr>
          <w:rFonts w:ascii="Arial" w:cs="Arial" w:eastAsia="Arial" w:hAnsi="Arial"/>
          <w:b w:val="false"/>
          <w:bCs w:val="false"/>
          <w:color w:val="666666"/>
          <w:sz w:val="19"/>
          <w:szCs w:val="19"/>
        </w:rPr>
        <w:t xml:space="preserve">Blocking ACRs</w:t>
      </w:r>
    </w:p>
    <w:p>
      <w:pPr>
        <w:spacing w:before="20" w:after="20" w:line="260"/>
        <w:ind w:left="360"/>
      </w:pPr>
      <w:r>
        <w:rPr>
          <w:rFonts w:ascii="Arial" w:cs="Arial" w:eastAsia="Arial" w:hAnsi="Arial"/>
          <w:b w:val="false"/>
          <w:bCs w:val="false"/>
          <w:color w:val="666666"/>
          <w:sz w:val="19"/>
          <w:szCs w:val="19"/>
        </w:rPr>
        <w:t xml:space="preserve">Conditional Pass</w:t>
      </w:r>
    </w:p>
    <w:p>
      <w:pPr>
        <w:spacing w:before="20" w:after="20" w:line="260"/>
        <w:ind w:left="360"/>
      </w:pPr>
      <w:r>
        <w:rPr>
          <w:rFonts w:ascii="Arial" w:cs="Arial" w:eastAsia="Arial" w:hAnsi="Arial"/>
          <w:b w:val="false"/>
          <w:bCs w:val="false"/>
          <w:color w:val="666666"/>
          <w:sz w:val="19"/>
          <w:szCs w:val="19"/>
        </w:rPr>
        <w:t xml:space="preserve">Overall Certification Decision</w:t>
      </w:r>
    </w:p>
    <w:p>
      <w:pPr>
        <w:spacing w:before="200" w:after="80"/>
      </w:pPr>
      <w:r>
        <w:rPr>
          <w:rFonts w:ascii="Arial" w:cs="Arial" w:eastAsia="Arial" w:hAnsi="Arial"/>
          <w:b/>
          <w:bCs/>
          <w:color w:val="1B2A4A"/>
          <w:sz w:val="22"/>
          <w:szCs w:val="22"/>
        </w:rPr>
        <w:t xml:space="preserve">PART IV — CERTIFICATION LEVELS</w:t>
      </w:r>
    </w:p>
    <w:p>
      <w:pPr>
        <w:spacing w:before="40" w:after="40" w:line="260"/>
        <w:ind w:left="0"/>
      </w:pPr>
      <w:r>
        <w:rPr>
          <w:rFonts w:ascii="Arial" w:cs="Arial" w:eastAsia="Arial" w:hAnsi="Arial"/>
          <w:b/>
          <w:bCs/>
          <w:color w:val="333333"/>
          <w:sz w:val="21"/>
          <w:szCs w:val="21"/>
        </w:rPr>
        <w:t xml:space="preserve">Level 1 — Supervised Operational Reliability</w:t>
      </w:r>
    </w:p>
    <w:p>
      <w:pPr>
        <w:spacing w:before="40" w:after="40" w:line="260"/>
        <w:ind w:left="0"/>
      </w:pPr>
      <w:r>
        <w:rPr>
          <w:rFonts w:ascii="Arial" w:cs="Arial" w:eastAsia="Arial" w:hAnsi="Arial"/>
          <w:b/>
          <w:bCs/>
          <w:color w:val="333333"/>
          <w:sz w:val="21"/>
          <w:szCs w:val="21"/>
        </w:rPr>
        <w:t xml:space="preserve">Level 2 — Bounded Autonomous Deployment</w:t>
      </w:r>
    </w:p>
    <w:p>
      <w:pPr>
        <w:spacing w:before="40" w:after="40" w:line="260"/>
        <w:ind w:left="0"/>
      </w:pPr>
      <w:r>
        <w:rPr>
          <w:rFonts w:ascii="Arial" w:cs="Arial" w:eastAsia="Arial" w:hAnsi="Arial"/>
          <w:b/>
          <w:bCs/>
          <w:color w:val="333333"/>
          <w:sz w:val="21"/>
          <w:szCs w:val="21"/>
        </w:rPr>
        <w:t xml:space="preserve">Level 3 — High-Stakes Autonomous Certification</w:t>
      </w:r>
    </w:p>
    <w:p>
      <w:pPr>
        <w:spacing w:before="40" w:after="40" w:line="260"/>
        <w:ind w:left="0"/>
      </w:pPr>
      <w:r>
        <w:rPr>
          <w:rFonts w:ascii="Arial" w:cs="Arial" w:eastAsia="Arial" w:hAnsi="Arial"/>
          <w:b/>
          <w:bCs/>
          <w:color w:val="333333"/>
          <w:sz w:val="21"/>
          <w:szCs w:val="21"/>
        </w:rPr>
        <w:t xml:space="preserve">Certification Level Comparison</w:t>
      </w:r>
    </w:p>
    <w:p>
      <w:pPr>
        <w:spacing w:before="200" w:after="80"/>
      </w:pPr>
      <w:r>
        <w:rPr>
          <w:rFonts w:ascii="Arial" w:cs="Arial" w:eastAsia="Arial" w:hAnsi="Arial"/>
          <w:b/>
          <w:bCs/>
          <w:color w:val="1B2A4A"/>
          <w:sz w:val="22"/>
          <w:szCs w:val="22"/>
        </w:rPr>
        <w:t xml:space="preserve">PART V — CERTIFICATION LIFECYCLE</w:t>
      </w:r>
    </w:p>
    <w:p>
      <w:pPr>
        <w:spacing w:before="40" w:after="40" w:line="260"/>
        <w:ind w:left="0"/>
      </w:pPr>
      <w:r>
        <w:rPr>
          <w:rFonts w:ascii="Arial" w:cs="Arial" w:eastAsia="Arial" w:hAnsi="Arial"/>
          <w:b/>
          <w:bCs/>
          <w:color w:val="333333"/>
          <w:sz w:val="21"/>
          <w:szCs w:val="21"/>
        </w:rPr>
        <w:t xml:space="preserve">Phase 1: System Registration</w:t>
      </w:r>
    </w:p>
    <w:p>
      <w:pPr>
        <w:spacing w:before="40" w:after="40" w:line="260"/>
        <w:ind w:left="0"/>
      </w:pPr>
      <w:r>
        <w:rPr>
          <w:rFonts w:ascii="Arial" w:cs="Arial" w:eastAsia="Arial" w:hAnsi="Arial"/>
          <w:b/>
          <w:bCs/>
          <w:color w:val="333333"/>
          <w:sz w:val="21"/>
          <w:szCs w:val="21"/>
        </w:rPr>
        <w:t xml:space="preserve">Phase 2: Risk Classification</w:t>
      </w:r>
    </w:p>
    <w:p>
      <w:pPr>
        <w:spacing w:before="40" w:after="40" w:line="260"/>
        <w:ind w:left="0"/>
      </w:pPr>
      <w:r>
        <w:rPr>
          <w:rFonts w:ascii="Arial" w:cs="Arial" w:eastAsia="Arial" w:hAnsi="Arial"/>
          <w:b/>
          <w:bCs/>
          <w:color w:val="333333"/>
          <w:sz w:val="21"/>
          <w:szCs w:val="21"/>
        </w:rPr>
        <w:t xml:space="preserve">Phase 3: Domain Mapping</w:t>
      </w:r>
    </w:p>
    <w:p>
      <w:pPr>
        <w:spacing w:before="40" w:after="40" w:line="260"/>
        <w:ind w:left="0"/>
      </w:pPr>
      <w:r>
        <w:rPr>
          <w:rFonts w:ascii="Arial" w:cs="Arial" w:eastAsia="Arial" w:hAnsi="Arial"/>
          <w:b/>
          <w:bCs/>
          <w:color w:val="333333"/>
          <w:sz w:val="21"/>
          <w:szCs w:val="21"/>
        </w:rPr>
        <w:t xml:space="preserve">Phase 4: ACR Evaluation</w:t>
      </w:r>
    </w:p>
    <w:p>
      <w:pPr>
        <w:spacing w:before="40" w:after="40" w:line="260"/>
        <w:ind w:left="0"/>
      </w:pPr>
      <w:r>
        <w:rPr>
          <w:rFonts w:ascii="Arial" w:cs="Arial" w:eastAsia="Arial" w:hAnsi="Arial"/>
          <w:b/>
          <w:bCs/>
          <w:color w:val="333333"/>
          <w:sz w:val="21"/>
          <w:szCs w:val="21"/>
        </w:rPr>
        <w:t xml:space="preserve">Phase 5: Adversarial Simulation</w:t>
      </w:r>
    </w:p>
    <w:p>
      <w:pPr>
        <w:spacing w:before="40" w:after="40" w:line="260"/>
        <w:ind w:left="0"/>
      </w:pPr>
      <w:r>
        <w:rPr>
          <w:rFonts w:ascii="Arial" w:cs="Arial" w:eastAsia="Arial" w:hAnsi="Arial"/>
          <w:b/>
          <w:bCs/>
          <w:color w:val="333333"/>
          <w:sz w:val="21"/>
          <w:szCs w:val="21"/>
        </w:rPr>
        <w:t xml:space="preserve">Phase 6: Human Expert Review</w:t>
      </w:r>
    </w:p>
    <w:p>
      <w:pPr>
        <w:spacing w:before="40" w:after="40" w:line="260"/>
        <w:ind w:left="0"/>
      </w:pPr>
      <w:r>
        <w:rPr>
          <w:rFonts w:ascii="Arial" w:cs="Arial" w:eastAsia="Arial" w:hAnsi="Arial"/>
          <w:b/>
          <w:bCs/>
          <w:color w:val="333333"/>
          <w:sz w:val="21"/>
          <w:szCs w:val="21"/>
        </w:rPr>
        <w:t xml:space="preserve">Phase 7: Certification Decision</w:t>
      </w:r>
    </w:p>
    <w:p>
      <w:pPr>
        <w:spacing w:before="40" w:after="40" w:line="260"/>
        <w:ind w:left="0"/>
      </w:pPr>
      <w:r>
        <w:rPr>
          <w:rFonts w:ascii="Arial" w:cs="Arial" w:eastAsia="Arial" w:hAnsi="Arial"/>
          <w:b/>
          <w:bCs/>
          <w:color w:val="333333"/>
          <w:sz w:val="21"/>
          <w:szCs w:val="21"/>
        </w:rPr>
        <w:t xml:space="preserve">Phase 8: Registry Publication</w:t>
      </w:r>
    </w:p>
    <w:p>
      <w:pPr>
        <w:spacing w:before="40" w:after="40" w:line="260"/>
        <w:ind w:left="0"/>
      </w:pPr>
      <w:r>
        <w:rPr>
          <w:rFonts w:ascii="Arial" w:cs="Arial" w:eastAsia="Arial" w:hAnsi="Arial"/>
          <w:b/>
          <w:bCs/>
          <w:color w:val="333333"/>
          <w:sz w:val="21"/>
          <w:szCs w:val="21"/>
        </w:rPr>
        <w:t xml:space="preserve">Phase 9: Continuous Monitoring Enrollment</w:t>
      </w:r>
    </w:p>
    <w:p>
      <w:pPr>
        <w:spacing w:before="40" w:after="40" w:line="260"/>
        <w:ind w:left="0"/>
      </w:pPr>
      <w:r>
        <w:rPr>
          <w:rFonts w:ascii="Arial" w:cs="Arial" w:eastAsia="Arial" w:hAnsi="Arial"/>
          <w:b/>
          <w:bCs/>
          <w:color w:val="333333"/>
          <w:sz w:val="21"/>
          <w:szCs w:val="21"/>
        </w:rPr>
        <w:t xml:space="preserve">Phase 10: Reassessment</w:t>
      </w:r>
    </w:p>
    <w:p>
      <w:pPr>
        <w:spacing w:before="200" w:after="80"/>
      </w:pPr>
      <w:r>
        <w:rPr>
          <w:rFonts w:ascii="Arial" w:cs="Arial" w:eastAsia="Arial" w:hAnsi="Arial"/>
          <w:b/>
          <w:bCs/>
          <w:color w:val="1B2A4A"/>
          <w:sz w:val="22"/>
          <w:szCs w:val="22"/>
        </w:rPr>
        <w:t xml:space="preserve">PART VI — TESTING AND MONITORING PLATFORM ARCHITECTURE</w:t>
      </w:r>
    </w:p>
    <w:p>
      <w:pPr>
        <w:spacing w:before="40" w:after="40" w:line="260"/>
        <w:ind w:left="0"/>
      </w:pPr>
      <w:r>
        <w:rPr>
          <w:rFonts w:ascii="Arial" w:cs="Arial" w:eastAsia="Arial" w:hAnsi="Arial"/>
          <w:b/>
          <w:bCs/>
          <w:color w:val="333333"/>
          <w:sz w:val="21"/>
          <w:szCs w:val="21"/>
        </w:rPr>
        <w:t xml:space="preserve">Platform Overview</w:t>
      </w:r>
    </w:p>
    <w:p>
      <w:pPr>
        <w:spacing w:before="40" w:after="40" w:line="260"/>
        <w:ind w:left="0"/>
      </w:pPr>
      <w:r>
        <w:rPr>
          <w:rFonts w:ascii="Arial" w:cs="Arial" w:eastAsia="Arial" w:hAnsi="Arial"/>
          <w:b/>
          <w:bCs/>
          <w:color w:val="333333"/>
          <w:sz w:val="21"/>
          <w:szCs w:val="21"/>
        </w:rPr>
        <w:t xml:space="preserve">Component 1: Simulation Sandbox Engine</w:t>
      </w:r>
    </w:p>
    <w:p>
      <w:pPr>
        <w:spacing w:before="40" w:after="40" w:line="260"/>
        <w:ind w:left="0"/>
      </w:pPr>
      <w:r>
        <w:rPr>
          <w:rFonts w:ascii="Arial" w:cs="Arial" w:eastAsia="Arial" w:hAnsi="Arial"/>
          <w:b/>
          <w:bCs/>
          <w:color w:val="333333"/>
          <w:sz w:val="21"/>
          <w:szCs w:val="21"/>
        </w:rPr>
        <w:t xml:space="preserve">Component 2: Adversarial Harness</w:t>
      </w:r>
    </w:p>
    <w:p>
      <w:pPr>
        <w:spacing w:before="40" w:after="40" w:line="260"/>
        <w:ind w:left="0"/>
      </w:pPr>
      <w:r>
        <w:rPr>
          <w:rFonts w:ascii="Arial" w:cs="Arial" w:eastAsia="Arial" w:hAnsi="Arial"/>
          <w:b/>
          <w:bCs/>
          <w:color w:val="333333"/>
          <w:sz w:val="21"/>
          <w:szCs w:val="21"/>
        </w:rPr>
        <w:t xml:space="preserve">Component 3: Behavioral Telemetry SDK</w:t>
      </w:r>
    </w:p>
    <w:p>
      <w:pPr>
        <w:spacing w:before="40" w:after="40" w:line="260"/>
        <w:ind w:left="0"/>
      </w:pPr>
      <w:r>
        <w:rPr>
          <w:rFonts w:ascii="Arial" w:cs="Arial" w:eastAsia="Arial" w:hAnsi="Arial"/>
          <w:b/>
          <w:bCs/>
          <w:color w:val="333333"/>
          <w:sz w:val="21"/>
          <w:szCs w:val="21"/>
        </w:rPr>
        <w:t xml:space="preserve">Component 4: Drift Detection Engine</w:t>
      </w:r>
    </w:p>
    <w:p>
      <w:pPr>
        <w:spacing w:before="40" w:after="40" w:line="260"/>
        <w:ind w:left="0"/>
      </w:pPr>
      <w:r>
        <w:rPr>
          <w:rFonts w:ascii="Arial" w:cs="Arial" w:eastAsia="Arial" w:hAnsi="Arial"/>
          <w:b/>
          <w:bCs/>
          <w:color w:val="333333"/>
          <w:sz w:val="21"/>
          <w:szCs w:val="21"/>
        </w:rPr>
        <w:t xml:space="preserve">Component 5: Certification Scoring Engine</w:t>
      </w:r>
    </w:p>
    <w:p>
      <w:pPr>
        <w:spacing w:before="40" w:after="40" w:line="260"/>
        <w:ind w:left="0"/>
      </w:pPr>
      <w:r>
        <w:rPr>
          <w:rFonts w:ascii="Arial" w:cs="Arial" w:eastAsia="Arial" w:hAnsi="Arial"/>
          <w:b/>
          <w:bCs/>
          <w:color w:val="333333"/>
          <w:sz w:val="21"/>
          <w:szCs w:val="21"/>
        </w:rPr>
        <w:t xml:space="preserve">Component 6: Continuous Assurance Platform</w:t>
      </w:r>
    </w:p>
    <w:p>
      <w:pPr>
        <w:spacing w:before="200" w:after="80"/>
      </w:pPr>
      <w:r>
        <w:rPr>
          <w:rFonts w:ascii="Arial" w:cs="Arial" w:eastAsia="Arial" w:hAnsi="Arial"/>
          <w:b/>
          <w:bCs/>
          <w:color w:val="1B2A4A"/>
          <w:sz w:val="22"/>
          <w:szCs w:val="22"/>
        </w:rPr>
        <w:t xml:space="preserve">PART VII — REGULATORY ALIGNMENT AND COMPLIANCE MAPPING</w:t>
      </w:r>
    </w:p>
    <w:p>
      <w:pPr>
        <w:spacing w:before="40" w:after="40" w:line="260"/>
        <w:ind w:left="0"/>
      </w:pPr>
      <w:r>
        <w:rPr>
          <w:rFonts w:ascii="Arial" w:cs="Arial" w:eastAsia="Arial" w:hAnsi="Arial"/>
          <w:b/>
          <w:bCs/>
          <w:color w:val="333333"/>
          <w:sz w:val="21"/>
          <w:szCs w:val="21"/>
        </w:rPr>
        <w:t xml:space="preserve">Regulatory Framework Mapping</w:t>
      </w:r>
    </w:p>
    <w:p>
      <w:pPr>
        <w:spacing w:before="40" w:after="40" w:line="260"/>
        <w:ind w:left="0"/>
      </w:pPr>
      <w:r>
        <w:rPr>
          <w:rFonts w:ascii="Arial" w:cs="Arial" w:eastAsia="Arial" w:hAnsi="Arial"/>
          <w:b/>
          <w:bCs/>
          <w:color w:val="333333"/>
          <w:sz w:val="21"/>
          <w:szCs w:val="21"/>
        </w:rPr>
        <w:t xml:space="preserve">Compliance Integration Guidance</w:t>
      </w:r>
    </w:p>
    <w:p>
      <w:pPr>
        <w:spacing w:before="200" w:after="80"/>
      </w:pPr>
      <w:r>
        <w:rPr>
          <w:rFonts w:ascii="Arial" w:cs="Arial" w:eastAsia="Arial" w:hAnsi="Arial"/>
          <w:b/>
          <w:bCs/>
          <w:color w:val="1B2A4A"/>
          <w:sz w:val="22"/>
          <w:szCs w:val="22"/>
        </w:rPr>
        <w:t xml:space="preserve">PART VIII — APPENDICES</w:t>
      </w:r>
    </w:p>
    <w:p>
      <w:pPr>
        <w:spacing w:before="40" w:after="40" w:line="260"/>
        <w:ind w:left="0"/>
      </w:pPr>
      <w:r>
        <w:rPr>
          <w:rFonts w:ascii="Arial" w:cs="Arial" w:eastAsia="Arial" w:hAnsi="Arial"/>
          <w:b/>
          <w:bCs/>
          <w:color w:val="333333"/>
          <w:sz w:val="21"/>
          <w:szCs w:val="21"/>
        </w:rPr>
        <w:t xml:space="preserve">Appendix A: Companion Documents</w:t>
      </w:r>
    </w:p>
    <w:p>
      <w:pPr>
        <w:spacing w:before="40" w:after="40" w:line="260"/>
        <w:ind w:left="0"/>
      </w:pPr>
      <w:r>
        <w:rPr>
          <w:rFonts w:ascii="Arial" w:cs="Arial" w:eastAsia="Arial" w:hAnsi="Arial"/>
          <w:b/>
          <w:bCs/>
          <w:color w:val="333333"/>
          <w:sz w:val="21"/>
          <w:szCs w:val="21"/>
        </w:rPr>
        <w:t xml:space="preserve">Appendix B: Industry-Specific Guidance</w:t>
      </w:r>
    </w:p>
    <w:p>
      <w:pPr>
        <w:spacing w:before="40" w:after="40" w:line="260"/>
        <w:ind w:left="0"/>
      </w:pPr>
      <w:r>
        <w:rPr>
          <w:rFonts w:ascii="Arial" w:cs="Arial" w:eastAsia="Arial" w:hAnsi="Arial"/>
          <w:b/>
          <w:bCs/>
          <w:color w:val="333333"/>
          <w:sz w:val="21"/>
          <w:szCs w:val="21"/>
        </w:rPr>
        <w:t xml:space="preserve">Appendix C: Certification Pathways and Platform Integration</w:t>
      </w:r>
    </w:p>
    <w:p>
      <w:pPr>
        <w:spacing w:before="20" w:after="20" w:line="260"/>
        <w:ind w:left="360"/>
      </w:pPr>
      <w:r>
        <w:rPr>
          <w:rFonts w:ascii="Arial" w:cs="Arial" w:eastAsia="Arial" w:hAnsi="Arial"/>
          <w:b w:val="false"/>
          <w:bCs w:val="false"/>
          <w:color w:val="666666"/>
          <w:sz w:val="19"/>
          <w:szCs w:val="19"/>
        </w:rPr>
        <w:t xml:space="preserve">Pathway 1: Self-Serve Certification via the ARA Platform</w:t>
      </w:r>
    </w:p>
    <w:p>
      <w:pPr>
        <w:spacing w:before="20" w:after="20" w:line="260"/>
        <w:ind w:left="360"/>
      </w:pPr>
      <w:r>
        <w:rPr>
          <w:rFonts w:ascii="Arial" w:cs="Arial" w:eastAsia="Arial" w:hAnsi="Arial"/>
          <w:b w:val="false"/>
          <w:bCs w:val="false"/>
          <w:color w:val="666666"/>
          <w:sz w:val="19"/>
          <w:szCs w:val="19"/>
        </w:rPr>
        <w:t xml:space="preserve">Pathway 2: Authorized Validation Body (AVB) Engagement</w:t>
      </w:r>
    </w:p>
    <w:p>
      <w:pPr>
        <w:spacing w:before="20" w:after="20" w:line="260"/>
        <w:ind w:left="360"/>
      </w:pPr>
      <w:r>
        <w:rPr>
          <w:rFonts w:ascii="Arial" w:cs="Arial" w:eastAsia="Arial" w:hAnsi="Arial"/>
          <w:b w:val="false"/>
          <w:bCs w:val="false"/>
          <w:color w:val="666666"/>
          <w:sz w:val="19"/>
          <w:szCs w:val="19"/>
        </w:rPr>
        <w:t xml:space="preserve">Persistent Infrastructure Integration</w:t>
      </w:r>
    </w:p>
    <w:p>
      <w:pPr>
        <w:spacing w:before="20" w:after="20" w:line="260"/>
        <w:ind w:left="360"/>
      </w:pPr>
      <w:r>
        <w:rPr>
          <w:rFonts w:ascii="Arial" w:cs="Arial" w:eastAsia="Arial" w:hAnsi="Arial"/>
          <w:b w:val="false"/>
          <w:bCs w:val="false"/>
          <w:color w:val="666666"/>
          <w:sz w:val="19"/>
          <w:szCs w:val="19"/>
        </w:rPr>
        <w:t xml:space="preserve">The Role of Human Expertise in an AI-Native Certification Model</w:t>
      </w:r>
    </w:p>
    <w:p>
      <w:pPr>
        <w:spacing w:before="40" w:after="40" w:line="260"/>
        <w:ind w:left="0"/>
      </w:pPr>
      <w:r>
        <w:rPr>
          <w:rFonts w:ascii="Arial" w:cs="Arial" w:eastAsia="Arial" w:hAnsi="Arial"/>
          <w:b/>
          <w:bCs/>
          <w:color w:val="333333"/>
          <w:sz w:val="21"/>
          <w:szCs w:val="21"/>
        </w:rPr>
        <w:t xml:space="preserve">Appendix D: Certification Mark and Registry</w:t>
      </w:r>
    </w:p>
    <w:p>
      <w:pPr>
        <w:sectPr>
          <w:headerReference w:type="default" r:id="rId6"/>
          <w:footerReference w:type="default" r:id="rId7"/>
          <w:pgSz w:w="12240" w:h="15840" w:orient="portrait"/>
          <w:pgMar w:top="1440" w:right="1440" w:bottom="1440" w:left="1440" w:header="708" w:footer="708" w:gutter="0"/>
          <w:pgNumType/>
          <w:docGrid w:linePitch="360"/>
        </w:sectPr>
      </w:pPr>
    </w:p>
    <w:p>
      <w:pPr>
        <w:pageBreakBefore/>
      </w:pPr>
    </w:p>
    <w:p>
      <w:pPr>
        <w:spacing w:before="600" w:after="200"/>
        <w:jc w:val="center"/>
      </w:pPr>
      <w:r>
        <w:rPr>
          <w:rFonts w:ascii="Arial" w:cs="Arial" w:eastAsia="Arial" w:hAnsi="Arial"/>
          <w:b/>
          <w:bCs/>
          <w:color w:val="1B2A4A"/>
          <w:sz w:val="36"/>
          <w:szCs w:val="36"/>
        </w:rPr>
        <w:t xml:space="preserve">PART I</w:t>
      </w:r>
    </w:p>
    <w:p>
      <w:pPr>
        <w:pBdr>
          <w:bottom w:val="single" w:color="3B7DD8" w:sz="4" w:space="8"/>
        </w:pBdr>
        <w:spacing w:after="400"/>
        <w:jc w:val="center"/>
      </w:pPr>
      <w:r>
        <w:rPr>
          <w:rFonts w:ascii="Arial" w:cs="Arial" w:eastAsia="Arial" w:hAnsi="Arial"/>
          <w:color w:val="2E4A7A"/>
          <w:sz w:val="30"/>
          <w:szCs w:val="30"/>
        </w:rPr>
        <w:t xml:space="preserve">FOUNDATIONAL CHARTER</w:t>
      </w:r>
    </w:p>
    <w:p>
      <w:pPr>
        <w:pStyle w:val="Heading1"/>
        <w:spacing w:before="360" w:after="200"/>
      </w:pPr>
      <w:r>
        <w:rPr>
          <w:rFonts w:ascii="Arial" w:cs="Arial" w:eastAsia="Arial" w:hAnsi="Arial"/>
          <w:b/>
          <w:bCs/>
          <w:color w:val="1B2A4A"/>
          <w:sz w:val="32"/>
          <w:szCs w:val="32"/>
        </w:rPr>
        <w:t xml:space="preserve">Article 1 — Mission Statement</w:t>
      </w:r>
    </w:p>
    <w:p>
      <w:pPr>
        <w:spacing w:before="80" w:after="80" w:line="276"/>
        <w:jc w:val="both"/>
      </w:pPr>
      <w:r>
        <w:rPr>
          <w:rFonts w:ascii="Arial" w:cs="Arial" w:eastAsia="Arial" w:hAnsi="Arial"/>
          <w:i w:val="false"/>
          <w:iCs w:val="false"/>
          <w:color w:val="333333"/>
          <w:sz w:val="21"/>
          <w:szCs w:val="21"/>
        </w:rPr>
        <w:t xml:space="preserve">The Autonomous Reliability Assurance Foundation (ARAF) exists to define, publish, and maintain global standards for the operational reliability, behavioral integrity, and safe deployment of autonomous systems operating in digital and physical environments.</w:t>
      </w:r>
    </w:p>
    <w:p>
      <w:pPr>
        <w:spacing w:before="80" w:after="80" w:line="276"/>
        <w:jc w:val="both"/>
      </w:pPr>
      <w:r>
        <w:rPr>
          <w:rFonts w:ascii="Arial" w:cs="Arial" w:eastAsia="Arial" w:hAnsi="Arial"/>
          <w:i w:val="false"/>
          <w:iCs w:val="false"/>
          <w:color w:val="333333"/>
          <w:sz w:val="21"/>
          <w:szCs w:val="21"/>
        </w:rPr>
        <w:t xml:space="preserve">ARAF establishes the Autonomous Reliability Assurance (ARA) Standard as the minimum safety and reliability floor for autonomous systems deployed in production environments. The Foundation operates on the principle that the proliferation of autonomous decision-making systems demands an institutional response comparable in rigor to those that govern aviation safety, pharmaceutical approval, and financial system integrity.</w:t>
      </w:r>
    </w:p>
    <w:p>
      <w:pPr>
        <w:spacing w:before="80" w:after="80" w:line="276"/>
        <w:jc w:val="both"/>
      </w:pPr>
      <w:r>
        <w:rPr>
          <w:rFonts w:ascii="Arial" w:cs="Arial" w:eastAsia="Arial" w:hAnsi="Arial"/>
          <w:i w:val="false"/>
          <w:iCs w:val="false"/>
          <w:color w:val="333333"/>
          <w:sz w:val="21"/>
          <w:szCs w:val="21"/>
        </w:rPr>
        <w:t xml:space="preserve">The mission of ARAF is achieved through five core functions: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Standards Development</w:t>
      </w:r>
      <w:r>
        <w:rPr>
          <w:rFonts w:ascii="Arial" w:cs="Arial" w:eastAsia="Arial" w:hAnsi="Arial"/>
          <w:color w:val="333333"/>
          <w:sz w:val="21"/>
          <w:szCs w:val="21"/>
        </w:rPr>
        <w:t xml:space="preserve">: Defining measurable, testable, and enforceable requirements for autonomous system reliability across domains and deployment contexts.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Certification Governance</w:t>
      </w:r>
      <w:r>
        <w:rPr>
          <w:rFonts w:ascii="Arial" w:cs="Arial" w:eastAsia="Arial" w:hAnsi="Arial"/>
          <w:color w:val="333333"/>
          <w:sz w:val="21"/>
          <w:szCs w:val="21"/>
        </w:rPr>
        <w:t xml:space="preserve">: Establishing and administering a transparent, tiered certification framework through which autonomous systems demonstrate compliance.</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Accreditation Oversight</w:t>
      </w:r>
      <w:r>
        <w:rPr>
          <w:rFonts w:ascii="Arial" w:cs="Arial" w:eastAsia="Arial" w:hAnsi="Arial"/>
          <w:color w:val="333333"/>
          <w:sz w:val="21"/>
          <w:szCs w:val="21"/>
        </w:rPr>
        <w:t xml:space="preserve">: Qualifying and monitoring independent testing entities authorized to conduct ARA evaluations.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Continuous Assurance</w:t>
      </w:r>
      <w:r>
        <w:rPr>
          <w:rFonts w:ascii="Arial" w:cs="Arial" w:eastAsia="Arial" w:hAnsi="Arial"/>
          <w:color w:val="333333"/>
          <w:sz w:val="21"/>
          <w:szCs w:val="21"/>
        </w:rPr>
        <w:t xml:space="preserve">: Maintaining post-certification monitoring requirements that ensure sustained compliance throughout a system’s operational lifecycle.</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Public Trust</w:t>
      </w:r>
      <w:r>
        <w:rPr>
          <w:rFonts w:ascii="Arial" w:cs="Arial" w:eastAsia="Arial" w:hAnsi="Arial"/>
          <w:color w:val="333333"/>
          <w:sz w:val="21"/>
          <w:szCs w:val="21"/>
        </w:rPr>
        <w:t xml:space="preserve">: Operating with transparency, independence, and institutional integrity to serve the public interest in the safe deployment of autonomous systems.</w:t>
      </w:r>
    </w:p>
    <w:p>
      <w:pPr>
        <w:pStyle w:val="Heading1"/>
        <w:spacing w:before="360" w:after="200"/>
      </w:pPr>
      <w:r>
        <w:rPr>
          <w:rFonts w:ascii="Arial" w:cs="Arial" w:eastAsia="Arial" w:hAnsi="Arial"/>
          <w:b/>
          <w:bCs/>
          <w:color w:val="1B2A4A"/>
          <w:sz w:val="32"/>
          <w:szCs w:val="32"/>
        </w:rPr>
        <w:t xml:space="preserve">Article 2 — Scope and Applicability</w:t>
      </w:r>
    </w:p>
    <w:p>
      <w:pPr>
        <w:pStyle w:val="Heading2"/>
        <w:spacing w:before="280" w:after="160"/>
      </w:pPr>
      <w:r>
        <w:rPr>
          <w:rFonts w:ascii="Arial" w:cs="Arial" w:eastAsia="Arial" w:hAnsi="Arial"/>
          <w:b/>
          <w:bCs/>
          <w:color w:val="2E4A7A"/>
          <w:sz w:val="26"/>
          <w:szCs w:val="26"/>
        </w:rPr>
        <w:t xml:space="preserve">2.1 Definition of Autonomous System</w:t>
      </w:r>
    </w:p>
    <w:p>
      <w:pPr>
        <w:spacing w:before="80" w:after="80" w:line="276"/>
        <w:jc w:val="both"/>
      </w:pPr>
      <w:r>
        <w:rPr>
          <w:rFonts w:ascii="Arial" w:cs="Arial" w:eastAsia="Arial" w:hAnsi="Arial"/>
          <w:i w:val="false"/>
          <w:iCs w:val="false"/>
          <w:color w:val="333333"/>
          <w:sz w:val="21"/>
          <w:szCs w:val="21"/>
        </w:rPr>
        <w:t xml:space="preserve">For the purposes of ARA certification, an </w:t>
      </w:r>
      <w:r>
        <w:rPr>
          <w:rFonts w:ascii="Arial" w:cs="Arial" w:eastAsia="Arial" w:hAnsi="Arial"/>
          <w:b/>
          <w:bCs/>
          <w:color w:val="333333"/>
          <w:sz w:val="21"/>
          <w:szCs w:val="21"/>
        </w:rPr>
        <w:t xml:space="preserve">Autonomous System</w:t>
      </w:r>
      <w:r>
        <w:rPr>
          <w:rFonts w:ascii="Arial" w:cs="Arial" w:eastAsia="Arial" w:hAnsi="Arial"/>
          <w:i w:val="false"/>
          <w:iCs w:val="false"/>
          <w:color w:val="333333"/>
          <w:sz w:val="21"/>
          <w:szCs w:val="21"/>
        </w:rPr>
        <w:t xml:space="preserve"> is defined as any software or hardware system capable of independently making decisions, initiating actions, or executing workflows without explicit human authorization per action.</w:t>
      </w:r>
    </w:p>
    <w:p>
      <w:pPr>
        <w:spacing w:before="80" w:after="80" w:line="276"/>
        <w:jc w:val="both"/>
      </w:pPr>
      <w:r>
        <w:rPr>
          <w:rFonts w:ascii="Arial" w:cs="Arial" w:eastAsia="Arial" w:hAnsi="Arial"/>
          <w:i w:val="false"/>
          <w:iCs w:val="false"/>
          <w:color w:val="333333"/>
          <w:sz w:val="21"/>
          <w:szCs w:val="21"/>
        </w:rPr>
        <w:t xml:space="preserve">This definition is intentionally broad and technology-agnostic. It encompasses current and foreseeable autonomous system architectures regardless of the underlying model, algorithm, or physical form. The determining characteristic is not the technology employed but the nature of the system’s operational autonomy.</w:t>
      </w:r>
    </w:p>
    <w:p>
      <w:pPr>
        <w:pStyle w:val="Heading3"/>
        <w:spacing w:before="200" w:after="120"/>
      </w:pPr>
      <w:r>
        <w:rPr>
          <w:rFonts w:ascii="Arial" w:cs="Arial" w:eastAsia="Arial" w:hAnsi="Arial"/>
          <w:b/>
          <w:bCs/>
          <w:color w:val="2E4A7A"/>
          <w:sz w:val="22"/>
          <w:szCs w:val="22"/>
        </w:rPr>
        <w:t xml:space="preserve">2.1.1 Systems Within Scope</w:t>
      </w:r>
    </w:p>
    <w:p>
      <w:pPr>
        <w:spacing w:before="80" w:after="80" w:line="276"/>
        <w:jc w:val="both"/>
      </w:pPr>
      <w:r>
        <w:rPr>
          <w:rFonts w:ascii="Arial" w:cs="Arial" w:eastAsia="Arial" w:hAnsi="Arial"/>
          <w:i w:val="false"/>
          <w:iCs w:val="false"/>
          <w:color w:val="333333"/>
          <w:sz w:val="21"/>
          <w:szCs w:val="21"/>
        </w:rPr>
        <w:t xml:space="preserve">The following system categories fall within the scope of ARA certification. This list is illustrative, not exhaustive: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AI Agents</w:t>
      </w:r>
      <w:r>
        <w:rPr>
          <w:rFonts w:ascii="Arial" w:cs="Arial" w:eastAsia="Arial" w:hAnsi="Arial"/>
          <w:color w:val="333333"/>
          <w:sz w:val="21"/>
          <w:szCs w:val="21"/>
        </w:rPr>
        <w:t xml:space="preserve">: Single-purpose or general-purpose AI systems that autonomously select and execute actions to achieve defined objectives.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Multi-Agent Systems (MAS)</w:t>
      </w:r>
      <w:r>
        <w:rPr>
          <w:rFonts w:ascii="Arial" w:cs="Arial" w:eastAsia="Arial" w:hAnsi="Arial"/>
          <w:color w:val="333333"/>
          <w:sz w:val="21"/>
          <w:szCs w:val="21"/>
        </w:rPr>
        <w:t xml:space="preserve">: Architectures comprising multiple autonomous agents that coordinate, negotiate, or compete to execute workflows.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Enterprise AI Workflows</w:t>
      </w:r>
      <w:r>
        <w:rPr>
          <w:rFonts w:ascii="Arial" w:cs="Arial" w:eastAsia="Arial" w:hAnsi="Arial"/>
          <w:color w:val="333333"/>
          <w:sz w:val="21"/>
          <w:szCs w:val="21"/>
        </w:rPr>
        <w:t xml:space="preserve">: Autonomous process chains deployed within organizational systems for business operations including procurement, settlement, reconciliation, and customer service.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Robotic Systems</w:t>
      </w:r>
      <w:r>
        <w:rPr>
          <w:rFonts w:ascii="Arial" w:cs="Arial" w:eastAsia="Arial" w:hAnsi="Arial"/>
          <w:color w:val="333333"/>
          <w:sz w:val="21"/>
          <w:szCs w:val="21"/>
        </w:rPr>
        <w:t xml:space="preserve">: Physical autonomous systems including industrial robots, service robots, drones, and autonomous material handling equipment.</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Cyber-Physical AI Systems</w:t>
      </w:r>
      <w:r>
        <w:rPr>
          <w:rFonts w:ascii="Arial" w:cs="Arial" w:eastAsia="Arial" w:hAnsi="Arial"/>
          <w:color w:val="333333"/>
          <w:sz w:val="21"/>
          <w:szCs w:val="21"/>
        </w:rPr>
        <w:t xml:space="preserve">: Systems where AI-driven decisions directly control physical actuators, sensors, or environmental interactions.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Autonomous Vehicles</w:t>
      </w:r>
      <w:r>
        <w:rPr>
          <w:rFonts w:ascii="Arial" w:cs="Arial" w:eastAsia="Arial" w:hAnsi="Arial"/>
          <w:color w:val="333333"/>
          <w:sz w:val="21"/>
          <w:szCs w:val="21"/>
        </w:rPr>
        <w:t xml:space="preserve">: Ground, aerial, marine, and space vehicles capable of navigation and operation without continuous human control.</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Industrial Automation Platforms</w:t>
      </w:r>
      <w:r>
        <w:rPr>
          <w:rFonts w:ascii="Arial" w:cs="Arial" w:eastAsia="Arial" w:hAnsi="Arial"/>
          <w:color w:val="333333"/>
          <w:sz w:val="21"/>
          <w:szCs w:val="21"/>
        </w:rPr>
        <w:t xml:space="preserve">: Autonomous control systems governing manufacturing, energy, logistics, and infrastructure operations.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Embedded AI Decision Systems</w:t>
      </w:r>
      <w:r>
        <w:rPr>
          <w:rFonts w:ascii="Arial" w:cs="Arial" w:eastAsia="Arial" w:hAnsi="Arial"/>
          <w:color w:val="333333"/>
          <w:sz w:val="21"/>
          <w:szCs w:val="21"/>
        </w:rPr>
        <w:t xml:space="preserve">: Autonomous decision-making components integrated within larger systems, including medical devices, financial trading systems, and critical infrastructure controllers.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Agentic AI Brokers</w:t>
      </w:r>
      <w:r>
        <w:rPr>
          <w:rFonts w:ascii="Arial" w:cs="Arial" w:eastAsia="Arial" w:hAnsi="Arial"/>
          <w:color w:val="333333"/>
          <w:sz w:val="21"/>
          <w:szCs w:val="21"/>
        </w:rPr>
        <w:t xml:space="preserve">: Systems that autonomously negotiate, transact, or make binding commitments on behalf of organizations or individuals.</w:t>
      </w:r>
    </w:p>
    <w:p>
      <w:pPr>
        <w:pStyle w:val="Heading3"/>
        <w:spacing w:before="200" w:after="120"/>
      </w:pPr>
      <w:r>
        <w:rPr>
          <w:rFonts w:ascii="Arial" w:cs="Arial" w:eastAsia="Arial" w:hAnsi="Arial"/>
          <w:b/>
          <w:bCs/>
          <w:color w:val="2E4A7A"/>
          <w:sz w:val="22"/>
          <w:szCs w:val="22"/>
        </w:rPr>
        <w:t xml:space="preserve">2.1.2 Systems Outside Scope</w:t>
      </w:r>
    </w:p>
    <w:p>
      <w:pPr>
        <w:spacing w:before="80" w:after="80" w:line="276"/>
        <w:jc w:val="both"/>
      </w:pPr>
      <w:r>
        <w:rPr>
          <w:rFonts w:ascii="Arial" w:cs="Arial" w:eastAsia="Arial" w:hAnsi="Arial"/>
          <w:i w:val="false"/>
          <w:iCs w:val="false"/>
          <w:color w:val="333333"/>
          <w:sz w:val="21"/>
          <w:szCs w:val="21"/>
        </w:rPr>
        <w:t xml:space="preserve">The following are explicitly excluded from ARA certification requirements:</w:t>
      </w:r>
    </w:p>
    <w:p>
      <w:pPr>
        <w:pStyle w:val="ListParagraph"/>
        <w:numPr>
          <w:ilvl w:val="0"/>
          <w:numId w:val="2"/>
        </w:numPr>
        <w:spacing w:before="40" w:after="40" w:line="276"/>
      </w:pPr>
      <w:r>
        <w:rPr>
          <w:rFonts w:ascii="Arial" w:cs="Arial" w:eastAsia="Arial" w:hAnsi="Arial"/>
          <w:color w:val="333333"/>
          <w:sz w:val="21"/>
          <w:szCs w:val="21"/>
        </w:rPr>
        <w:t xml:space="preserve">Passive recommendation systems that present options to a human decision-maker without taking autonomous action.</w:t>
      </w:r>
    </w:p>
    <w:p>
      <w:pPr>
        <w:pStyle w:val="ListParagraph"/>
        <w:numPr>
          <w:ilvl w:val="0"/>
          <w:numId w:val="2"/>
        </w:numPr>
        <w:spacing w:before="40" w:after="40" w:line="276"/>
      </w:pPr>
      <w:r>
        <w:rPr>
          <w:rFonts w:ascii="Arial" w:cs="Arial" w:eastAsia="Arial" w:hAnsi="Arial"/>
          <w:color w:val="333333"/>
          <w:sz w:val="21"/>
          <w:szCs w:val="21"/>
        </w:rPr>
        <w:t xml:space="preserve">Traditional software automation operating on deterministic, fully-specified rules with no adaptive or learning capability.</w:t>
      </w:r>
    </w:p>
    <w:p>
      <w:pPr>
        <w:pStyle w:val="ListParagraph"/>
        <w:numPr>
          <w:ilvl w:val="0"/>
          <w:numId w:val="2"/>
        </w:numPr>
        <w:spacing w:before="40" w:after="40" w:line="276"/>
      </w:pPr>
      <w:r>
        <w:rPr>
          <w:rFonts w:ascii="Arial" w:cs="Arial" w:eastAsia="Arial" w:hAnsi="Arial"/>
          <w:color w:val="333333"/>
          <w:sz w:val="21"/>
          <w:szCs w:val="21"/>
        </w:rPr>
        <w:t xml:space="preserve">Data analytics and reporting tools that produce outputs for human review without initiating downstream actions.</w:t>
      </w:r>
    </w:p>
    <w:p>
      <w:pPr>
        <w:pStyle w:val="ListParagraph"/>
        <w:numPr>
          <w:ilvl w:val="0"/>
          <w:numId w:val="2"/>
        </w:numPr>
        <w:spacing w:before="40" w:after="40" w:line="276"/>
      </w:pPr>
      <w:r>
        <w:rPr>
          <w:rFonts w:ascii="Arial" w:cs="Arial" w:eastAsia="Arial" w:hAnsi="Arial"/>
          <w:color w:val="333333"/>
          <w:sz w:val="21"/>
          <w:szCs w:val="21"/>
        </w:rPr>
        <w:t xml:space="preserve">Systems operating exclusively in non-production sandbox or research environments with no pathway to production deployment.</w:t>
      </w:r>
    </w:p>
    <w:p>
      <w:pPr>
        <w:pBdr>
          <w:left w:val="single" w:color="3B7DD8" w:sz="12" w:space="8"/>
        </w:pBdr>
        <w:spacing w:before="120" w:after="120" w:line="276"/>
        <w:ind w:left="360"/>
      </w:pPr>
      <w:r>
        <w:rPr>
          <w:rFonts w:ascii="Arial" w:cs="Arial" w:eastAsia="Arial" w:hAnsi="Arial"/>
          <w:b/>
          <w:bCs/>
          <w:color w:val="3B7DD8"/>
          <w:sz w:val="20"/>
          <w:szCs w:val="20"/>
        </w:rPr>
        <w:t xml:space="preserve">Clarification: </w:t>
      </w:r>
      <w:r>
        <w:rPr>
          <w:rFonts w:ascii="Arial" w:cs="Arial" w:eastAsia="Arial" w:hAnsi="Arial"/>
          <w:color w:val="666666"/>
          <w:sz w:val="20"/>
          <w:szCs w:val="20"/>
        </w:rPr>
        <w:t xml:space="preserve">A system that begins as a recommendation engine but is configured to auto-execute recommendations without human approval transitions into ARA scope at the point of autonomous action.</w:t>
      </w:r>
    </w:p>
    <w:p>
      <w:pPr>
        <w:pStyle w:val="Heading2"/>
        <w:spacing w:before="280" w:after="160"/>
      </w:pPr>
      <w:r>
        <w:rPr>
          <w:rFonts w:ascii="Arial" w:cs="Arial" w:eastAsia="Arial" w:hAnsi="Arial"/>
          <w:b/>
          <w:bCs/>
          <w:color w:val="2E4A7A"/>
          <w:sz w:val="26"/>
          <w:szCs w:val="26"/>
        </w:rPr>
        <w:t xml:space="preserve">2.2 Certification Scope</w:t>
      </w:r>
    </w:p>
    <w:p>
      <w:pPr>
        <w:spacing w:before="80" w:after="80" w:line="276"/>
        <w:jc w:val="both"/>
      </w:pPr>
      <w:r>
        <w:rPr>
          <w:rFonts w:ascii="Arial" w:cs="Arial" w:eastAsia="Arial" w:hAnsi="Arial"/>
          <w:i w:val="false"/>
          <w:iCs w:val="false"/>
          <w:color w:val="333333"/>
          <w:sz w:val="21"/>
          <w:szCs w:val="21"/>
        </w:rPr>
        <w:t xml:space="preserve">ARA certification evaluates the following properties of autonomous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 Evaluated</w:t>
            </w:r>
          </w:p>
        </w:tc>
        <w:tc>
          <w:tcPr>
            <w:tcW w:type="dxa" w:w="65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Behavioral Reliability</w:t>
            </w:r>
          </w:p>
        </w:tc>
        <w:tc>
          <w:tcPr>
            <w:tcW w:type="dxa" w:w="6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Consistency and predictability of system outputs under normal and stressed operating conditions</w:t>
            </w:r>
          </w:p>
        </w:tc>
      </w:tr>
      <w:tr>
        <w:tc>
          <w:tcPr>
            <w:tcW w:type="dxa" w:w="2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Bounded Autonomy</w:t>
            </w:r>
          </w:p>
        </w:tc>
        <w:tc>
          <w:tcPr>
            <w:tcW w:type="dxa" w:w="65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Enforcement of defined operational boundaries, permitted actions, and restricted behaviors</w:t>
            </w:r>
          </w:p>
        </w:tc>
      </w:tr>
      <w:tr>
        <w:tc>
          <w:tcPr>
            <w:tcW w:type="dxa" w:w="2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Adversarial Resilience</w:t>
            </w:r>
          </w:p>
        </w:tc>
        <w:tc>
          <w:tcPr>
            <w:tcW w:type="dxa" w:w="6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Robustness against intentional manipulation, injection attacks, and adversarial inputs</w:t>
            </w:r>
          </w:p>
        </w:tc>
      </w:tr>
      <w:tr>
        <w:tc>
          <w:tcPr>
            <w:tcW w:type="dxa" w:w="2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Failure Containment</w:t>
            </w:r>
          </w:p>
        </w:tc>
        <w:tc>
          <w:tcPr>
            <w:tcW w:type="dxa" w:w="65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Capacity to detect, isolate, and recover from failures without cascading impact</w:t>
            </w:r>
          </w:p>
        </w:tc>
      </w:tr>
      <w:tr>
        <w:tc>
          <w:tcPr>
            <w:tcW w:type="dxa" w:w="2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Auditability</w:t>
            </w:r>
          </w:p>
        </w:tc>
        <w:tc>
          <w:tcPr>
            <w:tcW w:type="dxa" w:w="6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Completeness and accessibility of decision logs, action traces, and compliance artifacts</w:t>
            </w:r>
          </w:p>
        </w:tc>
      </w:tr>
      <w:tr>
        <w:tc>
          <w:tcPr>
            <w:tcW w:type="dxa" w:w="2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Continuous Operational Stability</w:t>
            </w:r>
          </w:p>
        </w:tc>
        <w:tc>
          <w:tcPr>
            <w:tcW w:type="dxa" w:w="65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Sustained reliability over time with drift detection and ongoing monitoring</w:t>
            </w:r>
          </w:p>
        </w:tc>
      </w:tr>
    </w:tbl>
    <w:p>
      <w:pPr>
        <w:spacing w:before="100" w:after="0"/>
      </w:pP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ARA does NOT certify</w:t>
      </w:r>
      <w:r>
        <w:rPr>
          <w:rFonts w:ascii="Arial" w:cs="Arial" w:eastAsia="Arial" w:hAnsi="Arial"/>
          <w:i w:val="false"/>
          <w:iCs w:val="false"/>
          <w:color w:val="333333"/>
          <w:sz w:val="21"/>
          <w:szCs w:val="21"/>
        </w:rPr>
        <w:t xml:space="preserve"> the following properties. This exclusion is deliberate and fundamental to the standard’s institutional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Property NOT Evaluated</w:t>
            </w:r>
          </w:p>
        </w:tc>
        <w:tc>
          <w:tcPr>
            <w:tcW w:type="dxa" w:w="61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Rationale for Exclusion</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Intelligence or Capability Superiority</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 is not a performance benchmark. It certifies deployability, not competitive ranking.</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Ethical Alignment</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Ethical frameworks are contested, jurisdiction-specific, and outside the scope of operational reliability standards.</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Political or Ideological Neutrality</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Content and opinion governance are distinct from operational reliability and are addressed by other instruments.</w:t>
            </w:r>
          </w:p>
        </w:tc>
      </w:tr>
      <w:tr>
        <w:tc>
          <w:tcPr>
            <w:tcW w:type="dxa" w:w="3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Performance Leadership</w:t>
            </w:r>
          </w:p>
        </w:tc>
        <w:tc>
          <w:tcPr>
            <w:tcW w:type="dxa" w:w="61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Comparative model performance is a market function, not a safety function.</w:t>
            </w:r>
          </w:p>
        </w:tc>
      </w:tr>
      <w:tr>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Model Ranking</w:t>
            </w:r>
          </w:p>
        </w:tc>
        <w:tc>
          <w:tcPr>
            <w:tcW w:type="dxa" w:w="61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Leaderboard positioning has no bearing on whether a system is safe to deploy autonomously.</w:t>
            </w:r>
          </w:p>
        </w:tc>
      </w:tr>
    </w:tbl>
    <w:p>
      <w:pPr>
        <w:pBdr>
          <w:left w:val="single" w:color="3B7DD8" w:sz="12" w:space="8"/>
        </w:pBdr>
        <w:spacing w:before="120" w:after="120" w:line="276"/>
        <w:ind w:left="360"/>
      </w:pPr>
      <w:r>
        <w:rPr>
          <w:rFonts w:ascii="Arial" w:cs="Arial" w:eastAsia="Arial" w:hAnsi="Arial"/>
          <w:b/>
          <w:bCs/>
          <w:color w:val="3B7DD8"/>
          <w:sz w:val="20"/>
          <w:szCs w:val="20"/>
        </w:rPr>
        <w:t xml:space="preserve">Design Principle: </w:t>
      </w:r>
      <w:r>
        <w:rPr>
          <w:rFonts w:ascii="Arial" w:cs="Arial" w:eastAsia="Arial" w:hAnsi="Arial"/>
          <w:color w:val="666666"/>
          <w:sz w:val="20"/>
          <w:szCs w:val="20"/>
        </w:rPr>
        <w:t xml:space="preserve">ARA certifies deployability under defined risk conditions. It answers the question: ‘Is this system operationally reliable enough to be trusted with autonomous action?’ It does not answer: ‘Is this system the best?’</w:t>
      </w:r>
    </w:p>
    <w:p>
      <w:pPr>
        <w:pStyle w:val="Heading1"/>
        <w:spacing w:before="360" w:after="200"/>
      </w:pPr>
      <w:r>
        <w:rPr>
          <w:rFonts w:ascii="Arial" w:cs="Arial" w:eastAsia="Arial" w:hAnsi="Arial"/>
          <w:b/>
          <w:bCs/>
          <w:color w:val="1B2A4A"/>
          <w:sz w:val="32"/>
          <w:szCs w:val="32"/>
        </w:rPr>
        <w:t xml:space="preserve">Article 3 — Governing Principles</w:t>
      </w:r>
    </w:p>
    <w:p>
      <w:pPr>
        <w:spacing w:before="80" w:after="80" w:line="276"/>
        <w:jc w:val="both"/>
      </w:pPr>
      <w:r>
        <w:rPr>
          <w:rFonts w:ascii="Arial" w:cs="Arial" w:eastAsia="Arial" w:hAnsi="Arial"/>
          <w:i w:val="false"/>
          <w:iCs w:val="false"/>
          <w:color w:val="333333"/>
          <w:sz w:val="21"/>
          <w:szCs w:val="21"/>
        </w:rPr>
        <w:t xml:space="preserve">The ARA Standard and all ARAF operations are governed by the following foundational principles:</w:t>
      </w:r>
    </w:p>
    <w:p>
      <w:pPr>
        <w:pStyle w:val="Heading3"/>
        <w:spacing w:before="200" w:after="120"/>
      </w:pPr>
      <w:r>
        <w:rPr>
          <w:rFonts w:ascii="Arial" w:cs="Arial" w:eastAsia="Arial" w:hAnsi="Arial"/>
          <w:b/>
          <w:bCs/>
          <w:color w:val="2E4A7A"/>
          <w:sz w:val="22"/>
          <w:szCs w:val="22"/>
        </w:rPr>
        <w:t xml:space="preserve">3.1 Independence</w:t>
      </w:r>
    </w:p>
    <w:p>
      <w:pPr>
        <w:spacing w:before="80" w:after="80" w:line="276"/>
        <w:jc w:val="both"/>
      </w:pPr>
      <w:r>
        <w:rPr>
          <w:rFonts w:ascii="Arial" w:cs="Arial" w:eastAsia="Arial" w:hAnsi="Arial"/>
          <w:i w:val="false"/>
          <w:iCs w:val="false"/>
          <w:color w:val="333333"/>
          <w:sz w:val="21"/>
          <w:szCs w:val="21"/>
        </w:rPr>
        <w:t xml:space="preserve">ARAF shall remain independent from any single commercial entity, technology vendor, government body, or testing organization. No single company, consortium, or interest group may hold a controlling position on any governing body of the Foundation. Independence is the precondition of institutional credibility.</w:t>
      </w:r>
    </w:p>
    <w:p>
      <w:pPr>
        <w:pStyle w:val="Heading3"/>
        <w:spacing w:before="200" w:after="120"/>
      </w:pPr>
      <w:r>
        <w:rPr>
          <w:rFonts w:ascii="Arial" w:cs="Arial" w:eastAsia="Arial" w:hAnsi="Arial"/>
          <w:b/>
          <w:bCs/>
          <w:color w:val="2E4A7A"/>
          <w:sz w:val="22"/>
          <w:szCs w:val="22"/>
        </w:rPr>
        <w:t xml:space="preserve">3.2 Testability</w:t>
      </w:r>
    </w:p>
    <w:p>
      <w:pPr>
        <w:spacing w:before="80" w:after="80" w:line="276"/>
        <w:jc w:val="both"/>
      </w:pPr>
      <w:r>
        <w:rPr>
          <w:rFonts w:ascii="Arial" w:cs="Arial" w:eastAsia="Arial" w:hAnsi="Arial"/>
          <w:i w:val="false"/>
          <w:iCs w:val="false"/>
          <w:color w:val="333333"/>
          <w:sz w:val="21"/>
          <w:szCs w:val="21"/>
        </w:rPr>
        <w:t xml:space="preserve">Every requirement in the ARA Standard must be objectively testable. Requirements that cannot be reduced to a binary (pass/fail) or quantitatively measurable evaluation are excluded from the standard. Opinion-based, subjective, or qualitatively ambiguous requirements have no place in a reliability standard.</w:t>
      </w:r>
    </w:p>
    <w:p>
      <w:pPr>
        <w:pStyle w:val="Heading3"/>
        <w:spacing w:before="200" w:after="120"/>
      </w:pPr>
      <w:r>
        <w:rPr>
          <w:rFonts w:ascii="Arial" w:cs="Arial" w:eastAsia="Arial" w:hAnsi="Arial"/>
          <w:b/>
          <w:bCs/>
          <w:color w:val="2E4A7A"/>
          <w:sz w:val="22"/>
          <w:szCs w:val="22"/>
        </w:rPr>
        <w:t xml:space="preserve">3.3 Technology Neutrality</w:t>
      </w:r>
    </w:p>
    <w:p>
      <w:pPr>
        <w:spacing w:before="80" w:after="80" w:line="276"/>
        <w:jc w:val="both"/>
      </w:pPr>
      <w:r>
        <w:rPr>
          <w:rFonts w:ascii="Arial" w:cs="Arial" w:eastAsia="Arial" w:hAnsi="Arial"/>
          <w:i w:val="false"/>
          <w:iCs w:val="false"/>
          <w:color w:val="333333"/>
          <w:sz w:val="21"/>
          <w:szCs w:val="21"/>
        </w:rPr>
        <w:t xml:space="preserve">The ARA Standard evaluates operational behaviors, not implementation methods. It does not prescribe specific architectures, model types, programming languages, or technological approaches. Systems are evaluated on what they do, not how they are built.</w:t>
      </w:r>
    </w:p>
    <w:p>
      <w:pPr>
        <w:pStyle w:val="Heading3"/>
        <w:spacing w:before="200" w:after="120"/>
      </w:pPr>
      <w:r>
        <w:rPr>
          <w:rFonts w:ascii="Arial" w:cs="Arial" w:eastAsia="Arial" w:hAnsi="Arial"/>
          <w:b/>
          <w:bCs/>
          <w:color w:val="2E4A7A"/>
          <w:sz w:val="22"/>
          <w:szCs w:val="22"/>
        </w:rPr>
        <w:t xml:space="preserve">3.4 Proportionality</w:t>
      </w:r>
    </w:p>
    <w:p>
      <w:pPr>
        <w:spacing w:before="80" w:after="80" w:line="276"/>
        <w:jc w:val="both"/>
      </w:pPr>
      <w:r>
        <w:rPr>
          <w:rFonts w:ascii="Arial" w:cs="Arial" w:eastAsia="Arial" w:hAnsi="Arial"/>
          <w:i w:val="false"/>
          <w:iCs w:val="false"/>
          <w:color w:val="333333"/>
          <w:sz w:val="21"/>
          <w:szCs w:val="21"/>
        </w:rPr>
        <w:t xml:space="preserve">Certification requirements are proportional to the risk profile of the system and its deployment context. A copilot providing suggestions to a human operator is evaluated differently than an autonomous agent executing financial transactions. The tiered certification structure (Levels 1–3) reflects this principle.</w:t>
      </w:r>
    </w:p>
    <w:p>
      <w:pPr>
        <w:pStyle w:val="Heading3"/>
        <w:spacing w:before="200" w:after="120"/>
      </w:pPr>
      <w:r>
        <w:rPr>
          <w:rFonts w:ascii="Arial" w:cs="Arial" w:eastAsia="Arial" w:hAnsi="Arial"/>
          <w:b/>
          <w:bCs/>
          <w:color w:val="2E4A7A"/>
          <w:sz w:val="22"/>
          <w:szCs w:val="22"/>
        </w:rPr>
        <w:t xml:space="preserve">3.5 Transparency</w:t>
      </w:r>
    </w:p>
    <w:p>
      <w:pPr>
        <w:spacing w:before="80" w:after="80" w:line="276"/>
        <w:jc w:val="both"/>
      </w:pPr>
      <w:r>
        <w:rPr>
          <w:rFonts w:ascii="Arial" w:cs="Arial" w:eastAsia="Arial" w:hAnsi="Arial"/>
          <w:i w:val="false"/>
          <w:iCs w:val="false"/>
          <w:color w:val="333333"/>
          <w:sz w:val="21"/>
          <w:szCs w:val="21"/>
        </w:rPr>
        <w:t xml:space="preserve">The ARA Standard, its evaluation criteria, certification decisions, and registry are publicly accessible. Certified systems must maintain public documentation of their certification status. The process by which standards are developed, revised, and enforced is open to public scrutiny.</w:t>
      </w:r>
    </w:p>
    <w:p>
      <w:pPr>
        <w:pStyle w:val="Heading3"/>
        <w:spacing w:before="200" w:after="120"/>
      </w:pPr>
      <w:r>
        <w:rPr>
          <w:rFonts w:ascii="Arial" w:cs="Arial" w:eastAsia="Arial" w:hAnsi="Arial"/>
          <w:b/>
          <w:bCs/>
          <w:color w:val="2E4A7A"/>
          <w:sz w:val="22"/>
          <w:szCs w:val="22"/>
        </w:rPr>
        <w:t xml:space="preserve">3.6 Continuous Validity</w:t>
      </w:r>
    </w:p>
    <w:p>
      <w:pPr>
        <w:spacing w:before="80" w:after="80" w:line="276"/>
        <w:jc w:val="both"/>
      </w:pPr>
      <w:r>
        <w:rPr>
          <w:rFonts w:ascii="Arial" w:cs="Arial" w:eastAsia="Arial" w:hAnsi="Arial"/>
          <w:i w:val="false"/>
          <w:iCs w:val="false"/>
          <w:color w:val="333333"/>
          <w:sz w:val="21"/>
          <w:szCs w:val="21"/>
        </w:rPr>
        <w:t xml:space="preserve">Certification is not a one-time event. It represents a continuous assertion that a system meets the standard’s requirements. Ongoing monitoring, periodic reassessment, and triggered revalidation are integral to the certification lifecycle.</w:t>
      </w:r>
    </w:p>
    <w:p>
      <w:pPr>
        <w:pStyle w:val="Heading3"/>
        <w:spacing w:before="200" w:after="120"/>
      </w:pPr>
      <w:r>
        <w:rPr>
          <w:rFonts w:ascii="Arial" w:cs="Arial" w:eastAsia="Arial" w:hAnsi="Arial"/>
          <w:b/>
          <w:bCs/>
          <w:color w:val="2E4A7A"/>
          <w:sz w:val="22"/>
          <w:szCs w:val="22"/>
        </w:rPr>
        <w:t xml:space="preserve">3.7 Harm Minimization</w:t>
      </w:r>
    </w:p>
    <w:p>
      <w:pPr>
        <w:spacing w:before="80" w:after="80" w:line="276"/>
        <w:jc w:val="both"/>
      </w:pPr>
      <w:r>
        <w:rPr>
          <w:rFonts w:ascii="Arial" w:cs="Arial" w:eastAsia="Arial" w:hAnsi="Arial"/>
          <w:i w:val="false"/>
          <w:iCs w:val="false"/>
          <w:color w:val="333333"/>
          <w:sz w:val="21"/>
          <w:szCs w:val="21"/>
        </w:rPr>
        <w:t xml:space="preserve">The standard is designed first and foremost to prevent harm. Where ambiguity exists in the application of requirements, interpretations that minimize the potential for harm to persons, organizations, and systems shall prevail.</w:t>
      </w:r>
    </w:p>
    <w:p>
      <w:pPr>
        <w:pStyle w:val="Heading1"/>
        <w:spacing w:before="360" w:after="200"/>
      </w:pPr>
      <w:r>
        <w:rPr>
          <w:rFonts w:ascii="Arial" w:cs="Arial" w:eastAsia="Arial" w:hAnsi="Arial"/>
          <w:b/>
          <w:bCs/>
          <w:color w:val="1B2A4A"/>
          <w:sz w:val="32"/>
          <w:szCs w:val="32"/>
        </w:rPr>
        <w:t xml:space="preserve">Article 4 — Governance Structure</w:t>
      </w:r>
    </w:p>
    <w:p>
      <w:pPr>
        <w:spacing w:before="80" w:after="80" w:line="276"/>
        <w:jc w:val="both"/>
      </w:pPr>
      <w:r>
        <w:rPr>
          <w:rFonts w:ascii="Arial" w:cs="Arial" w:eastAsia="Arial" w:hAnsi="Arial"/>
          <w:i w:val="false"/>
          <w:iCs w:val="false"/>
          <w:color w:val="333333"/>
          <w:sz w:val="21"/>
          <w:szCs w:val="21"/>
        </w:rPr>
        <w:t xml:space="preserve">ARAF shall maintain the following governing bodies. Each body operates under a formal charter defining its composition, authority, term limits, conflict-of-interest policies, and decision procedures.</w:t>
      </w:r>
    </w:p>
    <w:p>
      <w:pPr>
        <w:spacing w:before="80" w:after="0"/>
      </w:pPr>
    </w:p>
    <w:p>
      <w:pPr>
        <w:pStyle w:val="Heading2"/>
        <w:spacing w:before="280" w:after="160"/>
      </w:pPr>
      <w:r>
        <w:rPr>
          <w:rFonts w:ascii="Arial" w:cs="Arial" w:eastAsia="Arial" w:hAnsi="Arial"/>
          <w:b/>
          <w:bCs/>
          <w:color w:val="2E4A7A"/>
          <w:sz w:val="26"/>
          <w:szCs w:val="26"/>
        </w:rPr>
        <w:t xml:space="preserve">4.1 Technical Standards Board (TSB)</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Authority</w:t>
      </w:r>
      <w:r>
        <w:rPr>
          <w:rFonts w:ascii="Arial" w:cs="Arial" w:eastAsia="Arial" w:hAnsi="Arial"/>
          <w:i w:val="false"/>
          <w:iCs w:val="false"/>
          <w:color w:val="333333"/>
          <w:sz w:val="21"/>
          <w:szCs w:val="21"/>
        </w:rPr>
        <w:t xml:space="preserve">: The TSB is the ultimate technical authority on the content, interpretation, and revision of the ARA Standard. All standard revisions require TSB supermajority (two-thirds) approval.</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Composition</w:t>
      </w:r>
      <w:r>
        <w:rPr>
          <w:rFonts w:ascii="Arial" w:cs="Arial" w:eastAsia="Arial" w:hAnsi="Arial"/>
          <w:i w:val="false"/>
          <w:iCs w:val="false"/>
          <w:color w:val="333333"/>
          <w:sz w:val="21"/>
          <w:szCs w:val="21"/>
        </w:rPr>
        <w:t xml:space="preserve">: 9–15 members drawn from industry practitioners, academic researchers, and independent technical experts. No more than two members from any single organization. Members serve staggered three-year terms.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Responsibilities</w:t>
      </w:r>
      <w:r>
        <w:rPr>
          <w:rFonts w:ascii="Arial" w:cs="Arial" w:eastAsia="Arial" w:hAnsi="Arial"/>
          <w:i w:val="false"/>
          <w:iCs w:val="false"/>
          <w:color w:val="333333"/>
          <w:sz w:val="21"/>
          <w:szCs w:val="21"/>
        </w:rPr>
        <w:t xml:space="preserve">: Standard development and revision; ACR approval; domain definitions; certification level criteria; technical dispute resolution; accreditation criteria for testing entities.</w:t>
      </w:r>
    </w:p>
    <w:p>
      <w:pPr>
        <w:pStyle w:val="Heading2"/>
        <w:spacing w:before="280" w:after="160"/>
      </w:pPr>
      <w:r>
        <w:rPr>
          <w:rFonts w:ascii="Arial" w:cs="Arial" w:eastAsia="Arial" w:hAnsi="Arial"/>
          <w:b/>
          <w:bCs/>
          <w:color w:val="2E4A7A"/>
          <w:sz w:val="26"/>
          <w:szCs w:val="26"/>
        </w:rPr>
        <w:t xml:space="preserve">4.2 Adversarial Testing Advisory Group (ATAG)</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Authority</w:t>
      </w:r>
      <w:r>
        <w:rPr>
          <w:rFonts w:ascii="Arial" w:cs="Arial" w:eastAsia="Arial" w:hAnsi="Arial"/>
          <w:i w:val="false"/>
          <w:iCs w:val="false"/>
          <w:color w:val="333333"/>
          <w:sz w:val="21"/>
          <w:szCs w:val="21"/>
        </w:rPr>
        <w:t xml:space="preserve">: The ATAG advises the TSB on adversarial testing methodologies, emerging attack vectors, and the adequacy of adversarial robustness requirements.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Composition</w:t>
      </w:r>
      <w:r>
        <w:rPr>
          <w:rFonts w:ascii="Arial" w:cs="Arial" w:eastAsia="Arial" w:hAnsi="Arial"/>
          <w:i w:val="false"/>
          <w:iCs w:val="false"/>
          <w:color w:val="333333"/>
          <w:sz w:val="21"/>
          <w:szCs w:val="21"/>
        </w:rPr>
        <w:t xml:space="preserve">: 5–9 members with demonstrated expertise in red teaming, penetration testing, adversarial machine learning, and cybersecurity. Includes rotating representation from active security research communities.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Responsibilities</w:t>
      </w:r>
      <w:r>
        <w:rPr>
          <w:rFonts w:ascii="Arial" w:cs="Arial" w:eastAsia="Arial" w:hAnsi="Arial"/>
          <w:i w:val="false"/>
          <w:iCs w:val="false"/>
          <w:color w:val="333333"/>
          <w:sz w:val="21"/>
          <w:szCs w:val="21"/>
        </w:rPr>
        <w:t xml:space="preserve">: Adversarial test methodology development; threat landscape monitoring; annual adversarial requirement adequacy review; incident analysis and recommendation.</w:t>
      </w:r>
    </w:p>
    <w:p>
      <w:pPr>
        <w:pStyle w:val="Heading2"/>
        <w:spacing w:before="280" w:after="160"/>
      </w:pPr>
      <w:r>
        <w:rPr>
          <w:rFonts w:ascii="Arial" w:cs="Arial" w:eastAsia="Arial" w:hAnsi="Arial"/>
          <w:b/>
          <w:bCs/>
          <w:color w:val="2E4A7A"/>
          <w:sz w:val="26"/>
          <w:szCs w:val="26"/>
        </w:rPr>
        <w:t xml:space="preserve">4.3 Robotics and Physical Systems Council (RPSC)</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Authority</w:t>
      </w:r>
      <w:r>
        <w:rPr>
          <w:rFonts w:ascii="Arial" w:cs="Arial" w:eastAsia="Arial" w:hAnsi="Arial"/>
          <w:i w:val="false"/>
          <w:iCs w:val="false"/>
          <w:color w:val="333333"/>
          <w:sz w:val="21"/>
          <w:szCs w:val="21"/>
        </w:rPr>
        <w:t xml:space="preserve">: The RPSC advises the TSB on requirements specific to autonomous systems operating in the physical world, including environmental interaction, sensor integrity, and human safety proximity.</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Composition</w:t>
      </w:r>
      <w:r>
        <w:rPr>
          <w:rFonts w:ascii="Arial" w:cs="Arial" w:eastAsia="Arial" w:hAnsi="Arial"/>
          <w:i w:val="false"/>
          <w:iCs w:val="false"/>
          <w:color w:val="333333"/>
          <w:sz w:val="21"/>
          <w:szCs w:val="21"/>
        </w:rPr>
        <w:t xml:space="preserve">: 5–9 members with expertise in robotics, autonomous vehicles, industrial automation, sensor systems, and physical safety engineering.</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Responsibilities</w:t>
      </w:r>
      <w:r>
        <w:rPr>
          <w:rFonts w:ascii="Arial" w:cs="Arial" w:eastAsia="Arial" w:hAnsi="Arial"/>
          <w:i w:val="false"/>
          <w:iCs w:val="false"/>
          <w:color w:val="333333"/>
          <w:sz w:val="21"/>
          <w:szCs w:val="21"/>
        </w:rPr>
        <w:t xml:space="preserve">: Physical systems extension domain development; sensor and actuator integrity requirements; environmental unpredictability standards; human-robot interaction safety.</w:t>
      </w:r>
    </w:p>
    <w:p>
      <w:pPr>
        <w:pStyle w:val="Heading2"/>
        <w:spacing w:before="280" w:after="160"/>
      </w:pPr>
      <w:r>
        <w:rPr>
          <w:rFonts w:ascii="Arial" w:cs="Arial" w:eastAsia="Arial" w:hAnsi="Arial"/>
          <w:b/>
          <w:bCs/>
          <w:color w:val="2E4A7A"/>
          <w:sz w:val="26"/>
          <w:szCs w:val="26"/>
        </w:rPr>
        <w:t xml:space="preserve">4.4 Risk and Compliance Advisory Council (RCAC)</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Authority</w:t>
      </w:r>
      <w:r>
        <w:rPr>
          <w:rFonts w:ascii="Arial" w:cs="Arial" w:eastAsia="Arial" w:hAnsi="Arial"/>
          <w:i w:val="false"/>
          <w:iCs w:val="false"/>
          <w:color w:val="333333"/>
          <w:sz w:val="21"/>
          <w:szCs w:val="21"/>
        </w:rPr>
        <w:t xml:space="preserve">: The RCAC advises on regulatory alignment, risk classification methodologies, and the integration of ARA certification with existing compliance frameworks.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Composition</w:t>
      </w:r>
      <w:r>
        <w:rPr>
          <w:rFonts w:ascii="Arial" w:cs="Arial" w:eastAsia="Arial" w:hAnsi="Arial"/>
          <w:i w:val="false"/>
          <w:iCs w:val="false"/>
          <w:color w:val="333333"/>
          <w:sz w:val="21"/>
          <w:szCs w:val="21"/>
        </w:rPr>
        <w:t xml:space="preserve">: 5–9 members with expertise in regulatory compliance, risk management, legal frameworks, and institutional governance. Includes representation from multiple jurisdictions.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Responsibilities</w:t>
      </w:r>
      <w:r>
        <w:rPr>
          <w:rFonts w:ascii="Arial" w:cs="Arial" w:eastAsia="Arial" w:hAnsi="Arial"/>
          <w:i w:val="false"/>
          <w:iCs w:val="false"/>
          <w:color w:val="333333"/>
          <w:sz w:val="21"/>
          <w:szCs w:val="21"/>
        </w:rPr>
        <w:t xml:space="preserve">: Regulatory mapping and alignment guidance; risk classification framework; compliance integration advisories; jurisdictional applicability guidance.</w:t>
      </w:r>
    </w:p>
    <w:p>
      <w:pPr>
        <w:pStyle w:val="Heading2"/>
        <w:spacing w:before="280" w:after="160"/>
      </w:pPr>
      <w:r>
        <w:rPr>
          <w:rFonts w:ascii="Arial" w:cs="Arial" w:eastAsia="Arial" w:hAnsi="Arial"/>
          <w:b/>
          <w:bCs/>
          <w:color w:val="2E4A7A"/>
          <w:sz w:val="26"/>
          <w:szCs w:val="26"/>
        </w:rPr>
        <w:t xml:space="preserve">4.5 Public Interest Oversight Panel (PIOP)</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Authority</w:t>
      </w:r>
      <w:r>
        <w:rPr>
          <w:rFonts w:ascii="Arial" w:cs="Arial" w:eastAsia="Arial" w:hAnsi="Arial"/>
          <w:i w:val="false"/>
          <w:iCs w:val="false"/>
          <w:color w:val="333333"/>
          <w:sz w:val="21"/>
          <w:szCs w:val="21"/>
        </w:rPr>
        <w:t xml:space="preserve">: The PIOP provides independent oversight to ensure ARAF operations serve the public interest and do not become captured by commercial interests.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Composition</w:t>
      </w:r>
      <w:r>
        <w:rPr>
          <w:rFonts w:ascii="Arial" w:cs="Arial" w:eastAsia="Arial" w:hAnsi="Arial"/>
          <w:i w:val="false"/>
          <w:iCs w:val="false"/>
          <w:color w:val="333333"/>
          <w:sz w:val="21"/>
          <w:szCs w:val="21"/>
        </w:rPr>
        <w:t xml:space="preserve">: 5–7 members including consumer advocates, civil society representatives, independent ethicists, and public policy experts. No member may hold concurrent employment with any organization subject to ARA certification.</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Responsibilities</w:t>
      </w:r>
      <w:r>
        <w:rPr>
          <w:rFonts w:ascii="Arial" w:cs="Arial" w:eastAsia="Arial" w:hAnsi="Arial"/>
          <w:i w:val="false"/>
          <w:iCs w:val="false"/>
          <w:color w:val="333333"/>
          <w:sz w:val="21"/>
          <w:szCs w:val="21"/>
        </w:rPr>
        <w:t xml:space="preserve">: Annual public interest review; conflict-of-interest monitoring; public comment process oversight; transparency reporting.</w:t>
      </w:r>
    </w:p>
    <w:p>
      <w:pPr>
        <w:pStyle w:val="Heading2"/>
        <w:spacing w:before="280" w:after="160"/>
      </w:pPr>
      <w:r>
        <w:rPr>
          <w:rFonts w:ascii="Arial" w:cs="Arial" w:eastAsia="Arial" w:hAnsi="Arial"/>
          <w:b/>
          <w:bCs/>
          <w:color w:val="2E4A7A"/>
          <w:sz w:val="26"/>
          <w:szCs w:val="26"/>
        </w:rPr>
        <w:t xml:space="preserve">4.6 Governance Integrity Provisions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Single-Entity Control</w:t>
      </w:r>
      <w:r>
        <w:rPr>
          <w:rFonts w:ascii="Arial" w:cs="Arial" w:eastAsia="Arial" w:hAnsi="Arial"/>
          <w:color w:val="333333"/>
          <w:sz w:val="21"/>
          <w:szCs w:val="21"/>
        </w:rPr>
        <w:t xml:space="preserve">: No single company, consortium, or interest group may control a voting majority on any governing body.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Conflict of Interest</w:t>
      </w:r>
      <w:r>
        <w:rPr>
          <w:rFonts w:ascii="Arial" w:cs="Arial" w:eastAsia="Arial" w:hAnsi="Arial"/>
          <w:color w:val="333333"/>
          <w:sz w:val="21"/>
          <w:szCs w:val="21"/>
        </w:rPr>
        <w:t xml:space="preserve">: All governing body members must file annual conflict-of-interest disclosures. Members must recuse themselves from decisions involving their employers, clients, or financial interests.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Term Limits</w:t>
      </w:r>
      <w:r>
        <w:rPr>
          <w:rFonts w:ascii="Arial" w:cs="Arial" w:eastAsia="Arial" w:hAnsi="Arial"/>
          <w:color w:val="333333"/>
          <w:sz w:val="21"/>
          <w:szCs w:val="21"/>
        </w:rPr>
        <w:t xml:space="preserve">: No individual may serve more than two consecutive terms on any single governing body.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Financial Independence</w:t>
      </w:r>
      <w:r>
        <w:rPr>
          <w:rFonts w:ascii="Arial" w:cs="Arial" w:eastAsia="Arial" w:hAnsi="Arial"/>
          <w:color w:val="333333"/>
          <w:sz w:val="21"/>
          <w:szCs w:val="21"/>
        </w:rPr>
        <w:t xml:space="preserve">: ARAF shall maintain diversified funding sources. No single entity may provide more than 15% of the Foundation’s annual operating budget.</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Anti-Capture Provisions</w:t>
      </w:r>
      <w:r>
        <w:rPr>
          <w:rFonts w:ascii="Arial" w:cs="Arial" w:eastAsia="Arial" w:hAnsi="Arial"/>
          <w:color w:val="333333"/>
          <w:sz w:val="21"/>
          <w:szCs w:val="21"/>
        </w:rPr>
        <w:t xml:space="preserve">: The PIOP has authority to initiate an independent review of any ARAF decision or governance practice it believes compromises institutional independence.</w:t>
      </w:r>
    </w:p>
    <w:p>
      <w:pPr>
        <w:pStyle w:val="Heading1"/>
        <w:spacing w:before="360" w:after="200"/>
      </w:pPr>
      <w:r>
        <w:rPr>
          <w:rFonts w:ascii="Arial" w:cs="Arial" w:eastAsia="Arial" w:hAnsi="Arial"/>
          <w:b/>
          <w:bCs/>
          <w:color w:val="1B2A4A"/>
          <w:sz w:val="32"/>
          <w:szCs w:val="32"/>
        </w:rPr>
        <w:t xml:space="preserve">Article 5 — Standard Versioning and Revision</w:t>
      </w:r>
    </w:p>
    <w:p>
      <w:pPr>
        <w:pStyle w:val="Heading2"/>
        <w:spacing w:before="280" w:after="160"/>
      </w:pPr>
      <w:r>
        <w:rPr>
          <w:rFonts w:ascii="Arial" w:cs="Arial" w:eastAsia="Arial" w:hAnsi="Arial"/>
          <w:b/>
          <w:bCs/>
          <w:color w:val="2E4A7A"/>
          <w:sz w:val="26"/>
          <w:szCs w:val="26"/>
        </w:rPr>
        <w:t xml:space="preserve">5.1 Versioning Scheme</w:t>
      </w:r>
    </w:p>
    <w:p>
      <w:pPr>
        <w:spacing w:before="80" w:after="80" w:line="276"/>
        <w:jc w:val="both"/>
      </w:pPr>
      <w:r>
        <w:rPr>
          <w:rFonts w:ascii="Arial" w:cs="Arial" w:eastAsia="Arial" w:hAnsi="Arial"/>
          <w:i w:val="false"/>
          <w:iCs w:val="false"/>
          <w:color w:val="333333"/>
          <w:sz w:val="21"/>
          <w:szCs w:val="21"/>
        </w:rPr>
        <w:t xml:space="preserve">The ARA Standard follows semantic versioning:</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Major versions</w:t>
      </w:r>
      <w:r>
        <w:rPr>
          <w:rFonts w:ascii="Arial" w:cs="Arial" w:eastAsia="Arial" w:hAnsi="Arial"/>
          <w:color w:val="333333"/>
          <w:sz w:val="21"/>
          <w:szCs w:val="21"/>
        </w:rPr>
        <w:t xml:space="preserve"> (v1.0, v2.0): Structural changes to domains, certification levels, or foundational requirements. Require full public review and TSB supermajority.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Minor versions</w:t>
      </w:r>
      <w:r>
        <w:rPr>
          <w:rFonts w:ascii="Arial" w:cs="Arial" w:eastAsia="Arial" w:hAnsi="Arial"/>
          <w:color w:val="333333"/>
          <w:sz w:val="21"/>
          <w:szCs w:val="21"/>
        </w:rPr>
        <w:t xml:space="preserve"> (v1.1, v1.2): Addition of new ACRs, refinement of existing ACRs, or clarification of requirements. Require TSB simple majority.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Errata</w:t>
      </w:r>
      <w:r>
        <w:rPr>
          <w:rFonts w:ascii="Arial" w:cs="Arial" w:eastAsia="Arial" w:hAnsi="Arial"/>
          <w:color w:val="333333"/>
          <w:sz w:val="21"/>
          <w:szCs w:val="21"/>
        </w:rPr>
        <w:t xml:space="preserve"> (v1.0.1): Correction of typographical, logical, or referential errors without substantive change. Require TSB chair approval and notification.</w:t>
      </w:r>
    </w:p>
    <w:p>
      <w:pPr>
        <w:pStyle w:val="Heading2"/>
        <w:spacing w:before="280" w:after="160"/>
      </w:pPr>
      <w:r>
        <w:rPr>
          <w:rFonts w:ascii="Arial" w:cs="Arial" w:eastAsia="Arial" w:hAnsi="Arial"/>
          <w:b/>
          <w:bCs/>
          <w:color w:val="2E4A7A"/>
          <w:sz w:val="26"/>
          <w:szCs w:val="26"/>
        </w:rPr>
        <w:t xml:space="preserve">5.2 Revision Process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Proposal</w:t>
      </w:r>
      <w:r>
        <w:rPr>
          <w:rFonts w:ascii="Arial" w:cs="Arial" w:eastAsia="Arial" w:hAnsi="Arial"/>
          <w:color w:val="333333"/>
          <w:sz w:val="21"/>
          <w:szCs w:val="21"/>
        </w:rPr>
        <w:t xml:space="preserve">: Any governing body member, AVB, or public commenter may submit a revision proposal with technical justification.</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Technical Review</w:t>
      </w:r>
      <w:r>
        <w:rPr>
          <w:rFonts w:ascii="Arial" w:cs="Arial" w:eastAsia="Arial" w:hAnsi="Arial"/>
          <w:color w:val="333333"/>
          <w:sz w:val="21"/>
          <w:szCs w:val="21"/>
        </w:rPr>
        <w:t xml:space="preserve">: The TSB assigns a review committee to evaluate the proposal, including impact analysis on existing certifications.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Public Comment</w:t>
      </w:r>
      <w:r>
        <w:rPr>
          <w:rFonts w:ascii="Arial" w:cs="Arial" w:eastAsia="Arial" w:hAnsi="Arial"/>
          <w:color w:val="333333"/>
          <w:sz w:val="21"/>
          <w:szCs w:val="21"/>
        </w:rPr>
        <w:t xml:space="preserve">: Major and minor revisions enter a minimum 60-day public comment period. Comments are catalogued and formally addressed.</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Voting</w:t>
      </w:r>
      <w:r>
        <w:rPr>
          <w:rFonts w:ascii="Arial" w:cs="Arial" w:eastAsia="Arial" w:hAnsi="Arial"/>
          <w:color w:val="333333"/>
          <w:sz w:val="21"/>
          <w:szCs w:val="21"/>
        </w:rPr>
        <w:t xml:space="preserve">: The TSB votes on the revision. Major revisions require two-thirds supermajority; minor revisions require simple majority.</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Publication</w:t>
      </w:r>
      <w:r>
        <w:rPr>
          <w:rFonts w:ascii="Arial" w:cs="Arial" w:eastAsia="Arial" w:hAnsi="Arial"/>
          <w:color w:val="333333"/>
          <w:sz w:val="21"/>
          <w:szCs w:val="21"/>
        </w:rPr>
        <w:t xml:space="preserve">: Approved revisions are published with an effective date, transition guidance, and impact assessment for existing certifications.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Transition Period</w:t>
      </w:r>
      <w:r>
        <w:rPr>
          <w:rFonts w:ascii="Arial" w:cs="Arial" w:eastAsia="Arial" w:hAnsi="Arial"/>
          <w:color w:val="333333"/>
          <w:sz w:val="21"/>
          <w:szCs w:val="21"/>
        </w:rPr>
        <w:t xml:space="preserve">: Existing certified systems are granted a defined transition period (typically 12 months for major revisions, 6 months for minor) to achieve compliance with new requirements.</w:t>
      </w:r>
    </w:p>
    <w:p>
      <w:pPr>
        <w:pStyle w:val="Heading2"/>
        <w:spacing w:before="280" w:after="160"/>
      </w:pPr>
      <w:r>
        <w:rPr>
          <w:rFonts w:ascii="Arial" w:cs="Arial" w:eastAsia="Arial" w:hAnsi="Arial"/>
          <w:b/>
          <w:bCs/>
          <w:color w:val="2E4A7A"/>
          <w:sz w:val="26"/>
          <w:szCs w:val="26"/>
        </w:rPr>
        <w:t xml:space="preserve">5.3 Backwards Compatibility</w:t>
      </w:r>
    </w:p>
    <w:p>
      <w:pPr>
        <w:spacing w:before="80" w:after="80" w:line="276"/>
        <w:jc w:val="both"/>
      </w:pPr>
      <w:r>
        <w:rPr>
          <w:rFonts w:ascii="Arial" w:cs="Arial" w:eastAsia="Arial" w:hAnsi="Arial"/>
          <w:i w:val="false"/>
          <w:iCs w:val="false"/>
          <w:color w:val="333333"/>
          <w:sz w:val="21"/>
          <w:szCs w:val="21"/>
        </w:rPr>
        <w:t xml:space="preserve">Revisions shall maintain backwards compatibility where possible. Where breaking changes are unavoidable, the TSB must publish a detailed migration guide and extend the transition period proportionally.</w:t>
      </w:r>
    </w:p>
    <w:p>
      <w:pPr>
        <w:pStyle w:val="Heading1"/>
        <w:spacing w:before="360" w:after="200"/>
      </w:pPr>
      <w:r>
        <w:rPr>
          <w:rFonts w:ascii="Arial" w:cs="Arial" w:eastAsia="Arial" w:hAnsi="Arial"/>
          <w:b/>
          <w:bCs/>
          <w:color w:val="1B2A4A"/>
          <w:sz w:val="32"/>
          <w:szCs w:val="32"/>
        </w:rPr>
        <w:t xml:space="preserve">Article 6 — Certification Authority and Authorized Validation Bodies</w:t>
      </w:r>
    </w:p>
    <w:p>
      <w:pPr>
        <w:pStyle w:val="Heading2"/>
        <w:spacing w:before="280" w:after="160"/>
      </w:pPr>
      <w:r>
        <w:rPr>
          <w:rFonts w:ascii="Arial" w:cs="Arial" w:eastAsia="Arial" w:hAnsi="Arial"/>
          <w:b/>
          <w:bCs/>
          <w:color w:val="2E4A7A"/>
          <w:sz w:val="26"/>
          <w:szCs w:val="26"/>
        </w:rPr>
        <w:t xml:space="preserve">6.1 Certification Authority</w:t>
      </w:r>
    </w:p>
    <w:p>
      <w:pPr>
        <w:spacing w:before="80" w:after="80" w:line="276"/>
        <w:jc w:val="both"/>
      </w:pPr>
      <w:r>
        <w:rPr>
          <w:rFonts w:ascii="Arial" w:cs="Arial" w:eastAsia="Arial" w:hAnsi="Arial"/>
          <w:i w:val="false"/>
          <w:iCs w:val="false"/>
          <w:color w:val="333333"/>
          <w:sz w:val="21"/>
          <w:szCs w:val="21"/>
        </w:rPr>
        <w:t xml:space="preserve">Only Authorized Validation Bodies (AVBs) may conduct ARA evaluations and issue certification recommendations. Final certification decisions rest with the ARAF Certification Office, which reviews AVB evaluation reports before issuing or denying certification.</w:t>
      </w:r>
    </w:p>
    <w:p>
      <w:pPr>
        <w:pStyle w:val="Heading2"/>
        <w:spacing w:before="280" w:after="160"/>
      </w:pPr>
      <w:r>
        <w:rPr>
          <w:rFonts w:ascii="Arial" w:cs="Arial" w:eastAsia="Arial" w:hAnsi="Arial"/>
          <w:b/>
          <w:bCs/>
          <w:color w:val="2E4A7A"/>
          <w:sz w:val="26"/>
          <w:szCs w:val="26"/>
        </w:rPr>
        <w:t xml:space="preserve">6.2 AVB Authorization Requirements</w:t>
      </w:r>
    </w:p>
    <w:p>
      <w:pPr>
        <w:spacing w:before="80" w:after="80" w:line="276"/>
        <w:jc w:val="both"/>
      </w:pPr>
      <w:r>
        <w:rPr>
          <w:rFonts w:ascii="Arial" w:cs="Arial" w:eastAsia="Arial" w:hAnsi="Arial"/>
          <w:i w:val="false"/>
          <w:iCs w:val="false"/>
          <w:color w:val="333333"/>
          <w:sz w:val="21"/>
          <w:szCs w:val="21"/>
        </w:rPr>
        <w:t xml:space="preserve">To become an Authorized Validation Body, an organization must demonstrate: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Independence</w:t>
      </w:r>
      <w:r>
        <w:rPr>
          <w:rFonts w:ascii="Arial" w:cs="Arial" w:eastAsia="Arial" w:hAnsi="Arial"/>
          <w:color w:val="333333"/>
          <w:sz w:val="21"/>
          <w:szCs w:val="21"/>
        </w:rPr>
        <w:t xml:space="preserve">: No financial, ownership, or contractual relationship with the entity seeking certification that would compromise objectivity.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Technical Competency</w:t>
      </w:r>
      <w:r>
        <w:rPr>
          <w:rFonts w:ascii="Arial" w:cs="Arial" w:eastAsia="Arial" w:hAnsi="Arial"/>
          <w:color w:val="333333"/>
          <w:sz w:val="21"/>
          <w:szCs w:val="21"/>
        </w:rPr>
        <w:t xml:space="preserve">: Demonstrated expertise in autonomous systems evaluation, adversarial testing, and the specific domain(s) for which accreditation is sought.</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Operational Capacity</w:t>
      </w:r>
      <w:r>
        <w:rPr>
          <w:rFonts w:ascii="Arial" w:cs="Arial" w:eastAsia="Arial" w:hAnsi="Arial"/>
          <w:color w:val="333333"/>
          <w:sz w:val="21"/>
          <w:szCs w:val="21"/>
        </w:rPr>
        <w:t xml:space="preserve">: Sufficient infrastructure, personnel, and processes to conduct complete ARA evaluations at the requested certification level.</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Quality Management</w:t>
      </w:r>
      <w:r>
        <w:rPr>
          <w:rFonts w:ascii="Arial" w:cs="Arial" w:eastAsia="Arial" w:hAnsi="Arial"/>
          <w:color w:val="333333"/>
          <w:sz w:val="21"/>
          <w:szCs w:val="21"/>
        </w:rPr>
        <w:t xml:space="preserve">: A documented quality management system with internal audit, corrective action, and continual improvement processes.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Insurance and Liability</w:t>
      </w:r>
      <w:r>
        <w:rPr>
          <w:rFonts w:ascii="Arial" w:cs="Arial" w:eastAsia="Arial" w:hAnsi="Arial"/>
          <w:color w:val="333333"/>
          <w:sz w:val="21"/>
          <w:szCs w:val="21"/>
        </w:rPr>
        <w:t xml:space="preserve">: Adequate professional liability coverage proportional to the certification levels and domains for which accreditation is sought.</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Confidentiality Controls</w:t>
      </w:r>
      <w:r>
        <w:rPr>
          <w:rFonts w:ascii="Arial" w:cs="Arial" w:eastAsia="Arial" w:hAnsi="Arial"/>
          <w:color w:val="333333"/>
          <w:sz w:val="21"/>
          <w:szCs w:val="21"/>
        </w:rPr>
        <w:t xml:space="preserve">: Documented procedures for protecting proprietary information encountered during evaluations.</w:t>
      </w:r>
    </w:p>
    <w:p>
      <w:pPr>
        <w:pStyle w:val="Heading2"/>
        <w:spacing w:before="280" w:after="160"/>
      </w:pPr>
      <w:r>
        <w:rPr>
          <w:rFonts w:ascii="Arial" w:cs="Arial" w:eastAsia="Arial" w:hAnsi="Arial"/>
          <w:b/>
          <w:bCs/>
          <w:color w:val="2E4A7A"/>
          <w:sz w:val="26"/>
          <w:szCs w:val="26"/>
        </w:rPr>
        <w:t xml:space="preserve">6.3 Certification Requirements</w:t>
      </w:r>
    </w:p>
    <w:p>
      <w:pPr>
        <w:spacing w:before="80" w:after="80" w:line="276"/>
        <w:jc w:val="both"/>
      </w:pPr>
      <w:r>
        <w:rPr>
          <w:rFonts w:ascii="Arial" w:cs="Arial" w:eastAsia="Arial" w:hAnsi="Arial"/>
          <w:i w:val="false"/>
          <w:iCs w:val="false"/>
          <w:color w:val="333333"/>
          <w:sz w:val="21"/>
          <w:szCs w:val="21"/>
        </w:rPr>
        <w:t xml:space="preserve">All ARA certifications require:</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Complete Domain Evaluation</w:t>
      </w:r>
      <w:r>
        <w:rPr>
          <w:rFonts w:ascii="Arial" w:cs="Arial" w:eastAsia="Arial" w:hAnsi="Arial"/>
          <w:color w:val="333333"/>
          <w:sz w:val="21"/>
          <w:szCs w:val="21"/>
        </w:rPr>
        <w:t xml:space="preserve">: Assessment against every applicable reliability domain at the requested certification level.</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ACR-Level Evidence</w:t>
      </w:r>
      <w:r>
        <w:rPr>
          <w:rFonts w:ascii="Arial" w:cs="Arial" w:eastAsia="Arial" w:hAnsi="Arial"/>
          <w:color w:val="333333"/>
          <w:sz w:val="21"/>
          <w:szCs w:val="21"/>
        </w:rPr>
        <w:t xml:space="preserve">: Documentary evidence of compliance for each individual ACR, linked to specific evidence artifacts.</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Independent Verification</w:t>
      </w:r>
      <w:r>
        <w:rPr>
          <w:rFonts w:ascii="Arial" w:cs="Arial" w:eastAsia="Arial" w:hAnsi="Arial"/>
          <w:color w:val="333333"/>
          <w:sz w:val="21"/>
          <w:szCs w:val="21"/>
        </w:rPr>
        <w:t xml:space="preserve">: At least one evaluation component independently verified by a second qualified assessor.</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Formal Documentation</w:t>
      </w:r>
      <w:r>
        <w:rPr>
          <w:rFonts w:ascii="Arial" w:cs="Arial" w:eastAsia="Arial" w:hAnsi="Arial"/>
          <w:color w:val="333333"/>
          <w:sz w:val="21"/>
          <w:szCs w:val="21"/>
        </w:rPr>
        <w:t xml:space="preserve">: A complete evaluation report meeting ARAF documentation standards, including methodology, findings, evidence references, and recommendation.</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Certification Review</w:t>
      </w:r>
      <w:r>
        <w:rPr>
          <w:rFonts w:ascii="Arial" w:cs="Arial" w:eastAsia="Arial" w:hAnsi="Arial"/>
          <w:color w:val="333333"/>
          <w:sz w:val="21"/>
          <w:szCs w:val="21"/>
        </w:rPr>
        <w:t xml:space="preserve">: Review and approval by the ARAF Certification Office before issuance.</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Registry Publication</w:t>
      </w:r>
      <w:r>
        <w:rPr>
          <w:rFonts w:ascii="Arial" w:cs="Arial" w:eastAsia="Arial" w:hAnsi="Arial"/>
          <w:color w:val="333333"/>
          <w:sz w:val="21"/>
          <w:szCs w:val="21"/>
        </w:rPr>
        <w:t xml:space="preserve">: Registration in the public ARA Certification Registry with certification level, date, scope, and conditions.</w:t>
      </w:r>
    </w:p>
    <w:p>
      <w:pPr>
        <w:pStyle w:val="Heading1"/>
        <w:spacing w:before="360" w:after="200"/>
      </w:pPr>
      <w:r>
        <w:rPr>
          <w:rFonts w:ascii="Arial" w:cs="Arial" w:eastAsia="Arial" w:hAnsi="Arial"/>
          <w:b/>
          <w:bCs/>
          <w:color w:val="1B2A4A"/>
          <w:sz w:val="32"/>
          <w:szCs w:val="32"/>
        </w:rPr>
        <w:t xml:space="preserve">Article 7 — Revocation and Suspension Authority</w:t>
      </w:r>
    </w:p>
    <w:p>
      <w:pPr>
        <w:spacing w:before="80" w:after="80" w:line="276"/>
        <w:jc w:val="both"/>
      </w:pPr>
      <w:r>
        <w:rPr>
          <w:rFonts w:ascii="Arial" w:cs="Arial" w:eastAsia="Arial" w:hAnsi="Arial"/>
          <w:i w:val="false"/>
          <w:iCs w:val="false"/>
          <w:color w:val="333333"/>
          <w:sz w:val="21"/>
          <w:szCs w:val="21"/>
        </w:rPr>
        <w:t xml:space="preserve">Certification may be suspended or revoked under the following conditions:</w:t>
      </w:r>
    </w:p>
    <w:p>
      <w:pPr>
        <w:pStyle w:val="Heading3"/>
        <w:spacing w:before="200" w:after="120"/>
      </w:pPr>
      <w:r>
        <w:rPr>
          <w:rFonts w:ascii="Arial" w:cs="Arial" w:eastAsia="Arial" w:hAnsi="Arial"/>
          <w:b/>
          <w:bCs/>
          <w:color w:val="2E4A7A"/>
          <w:sz w:val="22"/>
          <w:szCs w:val="22"/>
        </w:rPr>
        <w:t xml:space="preserve">7.1 Grounds for Suspension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Material System Drift</w:t>
      </w:r>
      <w:r>
        <w:rPr>
          <w:rFonts w:ascii="Arial" w:cs="Arial" w:eastAsia="Arial" w:hAnsi="Arial"/>
          <w:color w:val="333333"/>
          <w:sz w:val="21"/>
          <w:szCs w:val="21"/>
        </w:rPr>
        <w:t xml:space="preserve">: Detected behavioral drift exceeding defined thresholds without revalidation.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Monitoring Lapse</w:t>
      </w:r>
      <w:r>
        <w:rPr>
          <w:rFonts w:ascii="Arial" w:cs="Arial" w:eastAsia="Arial" w:hAnsi="Arial"/>
          <w:color w:val="333333"/>
          <w:sz w:val="21"/>
          <w:szCs w:val="21"/>
        </w:rPr>
        <w:t xml:space="preserve">: Failure to maintain required continuous monitoring for a period exceeding 30 consecutive days.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Non-Cooperation</w:t>
      </w:r>
      <w:r>
        <w:rPr>
          <w:rFonts w:ascii="Arial" w:cs="Arial" w:eastAsia="Arial" w:hAnsi="Arial"/>
          <w:color w:val="333333"/>
          <w:sz w:val="21"/>
          <w:szCs w:val="21"/>
        </w:rPr>
        <w:t xml:space="preserve">: Failure to provide requested evidence, access, or documentation during an audit or investigation.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Reported Incidents</w:t>
      </w:r>
      <w:r>
        <w:rPr>
          <w:rFonts w:ascii="Arial" w:cs="Arial" w:eastAsia="Arial" w:hAnsi="Arial"/>
          <w:color w:val="333333"/>
          <w:sz w:val="21"/>
          <w:szCs w:val="21"/>
        </w:rPr>
        <w:t xml:space="preserve">: Credible reports of reliability failures in production that have not been investigated and remediated.</w:t>
      </w:r>
    </w:p>
    <w:p>
      <w:pPr>
        <w:pStyle w:val="Heading3"/>
        <w:spacing w:before="200" w:after="120"/>
      </w:pPr>
      <w:r>
        <w:rPr>
          <w:rFonts w:ascii="Arial" w:cs="Arial" w:eastAsia="Arial" w:hAnsi="Arial"/>
          <w:b/>
          <w:bCs/>
          <w:color w:val="2E4A7A"/>
          <w:sz w:val="22"/>
          <w:szCs w:val="22"/>
        </w:rPr>
        <w:t xml:space="preserve">7.2 Grounds for Revocation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Safety Control Disablement</w:t>
      </w:r>
      <w:r>
        <w:rPr>
          <w:rFonts w:ascii="Arial" w:cs="Arial" w:eastAsia="Arial" w:hAnsi="Arial"/>
          <w:color w:val="333333"/>
          <w:sz w:val="21"/>
          <w:szCs w:val="21"/>
        </w:rPr>
        <w:t xml:space="preserve">: Deliberate disabling of safety controls, human override mechanisms, or escalation pathways.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Unrecertified Modification</w:t>
      </w:r>
      <w:r>
        <w:rPr>
          <w:rFonts w:ascii="Arial" w:cs="Arial" w:eastAsia="Arial" w:hAnsi="Arial"/>
          <w:color w:val="333333"/>
          <w:sz w:val="21"/>
          <w:szCs w:val="21"/>
        </w:rPr>
        <w:t xml:space="preserve">: Material modification of the certified system without completing required recertification.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Repeated Violations</w:t>
      </w:r>
      <w:r>
        <w:rPr>
          <w:rFonts w:ascii="Arial" w:cs="Arial" w:eastAsia="Arial" w:hAnsi="Arial"/>
          <w:color w:val="333333"/>
          <w:sz w:val="21"/>
          <w:szCs w:val="21"/>
        </w:rPr>
        <w:t xml:space="preserve">: Three or more suspension events within a 24-month period.</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Fraud or Misrepresentation</w:t>
      </w:r>
      <w:r>
        <w:rPr>
          <w:rFonts w:ascii="Arial" w:cs="Arial" w:eastAsia="Arial" w:hAnsi="Arial"/>
          <w:color w:val="333333"/>
          <w:sz w:val="21"/>
          <w:szCs w:val="21"/>
        </w:rPr>
        <w:t xml:space="preserve">: Falsification of evidence, test results, or compliance documentation.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Critical Production Failure</w:t>
      </w:r>
      <w:r>
        <w:rPr>
          <w:rFonts w:ascii="Arial" w:cs="Arial" w:eastAsia="Arial" w:hAnsi="Arial"/>
          <w:color w:val="333333"/>
          <w:sz w:val="21"/>
          <w:szCs w:val="21"/>
        </w:rPr>
        <w:t xml:space="preserve">: A failure event resulting in material harm that is attributable to a deficiency the certification process should have identified.</w:t>
      </w:r>
    </w:p>
    <w:p>
      <w:pPr>
        <w:pStyle w:val="Heading3"/>
        <w:spacing w:before="200" w:after="120"/>
      </w:pPr>
      <w:r>
        <w:rPr>
          <w:rFonts w:ascii="Arial" w:cs="Arial" w:eastAsia="Arial" w:hAnsi="Arial"/>
          <w:b/>
          <w:bCs/>
          <w:color w:val="2E4A7A"/>
          <w:sz w:val="22"/>
          <w:szCs w:val="22"/>
        </w:rPr>
        <w:t xml:space="preserve">7.3 Due Process</w:t>
      </w:r>
    </w:p>
    <w:p>
      <w:pPr>
        <w:spacing w:before="80" w:after="80" w:line="276"/>
        <w:jc w:val="both"/>
      </w:pPr>
      <w:r>
        <w:rPr>
          <w:rFonts w:ascii="Arial" w:cs="Arial" w:eastAsia="Arial" w:hAnsi="Arial"/>
          <w:i w:val="false"/>
          <w:iCs w:val="false"/>
          <w:color w:val="333333"/>
          <w:sz w:val="21"/>
          <w:szCs w:val="21"/>
        </w:rPr>
        <w:t xml:space="preserve">No certification shall be suspended or revoked without formal notice to the certified entity, an opportunity to respond, and a documented decision by the ARAF Certification Office. Revocation decisions may be appealed to the TSB within 30 days. Suspensions take effect immediately but may be lifted upon satisfactory remediation.</w:t>
      </w:r>
    </w:p>
    <w:p>
      <w:pPr>
        <w:pStyle w:val="Heading1"/>
        <w:spacing w:before="360" w:after="200"/>
      </w:pPr>
      <w:r>
        <w:rPr>
          <w:rFonts w:ascii="Arial" w:cs="Arial" w:eastAsia="Arial" w:hAnsi="Arial"/>
          <w:b/>
          <w:bCs/>
          <w:color w:val="1B2A4A"/>
          <w:sz w:val="32"/>
          <w:szCs w:val="32"/>
        </w:rPr>
        <w:t xml:space="preserve">Article 8 — Intellectual Property and Licensing</w:t>
      </w:r>
    </w:p>
    <w:p>
      <w:pPr>
        <w:spacing w:before="80" w:after="80" w:line="276"/>
        <w:jc w:val="both"/>
      </w:pPr>
      <w:r>
        <w:rPr>
          <w:rFonts w:ascii="Arial" w:cs="Arial" w:eastAsia="Arial" w:hAnsi="Arial"/>
          <w:i w:val="false"/>
          <w:iCs w:val="false"/>
          <w:color w:val="333333"/>
          <w:sz w:val="21"/>
          <w:szCs w:val="21"/>
        </w:rPr>
        <w:t xml:space="preserve">The ARA Standard document is published under a public-access license permitting unrestricted reading, reference, and implementation. The standard text may be reproduced for educational, regulatory, and compliance purposes with attribution.</w:t>
      </w:r>
    </w:p>
    <w:p>
      <w:pPr>
        <w:spacing w:before="80" w:after="80" w:line="276"/>
        <w:jc w:val="both"/>
      </w:pPr>
      <w:r>
        <w:rPr>
          <w:rFonts w:ascii="Arial" w:cs="Arial" w:eastAsia="Arial" w:hAnsi="Arial"/>
          <w:i w:val="false"/>
          <w:iCs w:val="false"/>
          <w:color w:val="333333"/>
          <w:sz w:val="21"/>
          <w:szCs w:val="21"/>
        </w:rPr>
        <w:t xml:space="preserve">The ARAF name, ARA certification marks, and associated trademarks are the exclusive property of the Foundation and may only be used by certified entities in accordance with the ARAF Trademark Usage Policy.</w:t>
      </w:r>
    </w:p>
    <w:p>
      <w:pPr>
        <w:spacing w:before="80" w:after="80" w:line="276"/>
        <w:jc w:val="both"/>
      </w:pPr>
      <w:r>
        <w:rPr>
          <w:rFonts w:ascii="Arial" w:cs="Arial" w:eastAsia="Arial" w:hAnsi="Arial"/>
          <w:i w:val="false"/>
          <w:iCs w:val="false"/>
          <w:color w:val="333333"/>
          <w:sz w:val="21"/>
          <w:szCs w:val="21"/>
        </w:rPr>
        <w:t xml:space="preserve">ARAF does not claim intellectual property rights over any system, technology, or methodology evaluated under the standard. The certification process does not transfer any IP rights in either direction.</w:t>
      </w:r>
    </w:p>
    <w:p>
      <w:pPr>
        <w:pageBreakBefore/>
      </w:pPr>
    </w:p>
    <w:p>
      <w:pPr>
        <w:spacing w:before="600" w:after="200"/>
        <w:jc w:val="center"/>
      </w:pPr>
      <w:r>
        <w:rPr>
          <w:rFonts w:ascii="Arial" w:cs="Arial" w:eastAsia="Arial" w:hAnsi="Arial"/>
          <w:b/>
          <w:bCs/>
          <w:color w:val="1B2A4A"/>
          <w:sz w:val="36"/>
          <w:szCs w:val="36"/>
        </w:rPr>
        <w:t xml:space="preserve">PART II</w:t>
      </w:r>
    </w:p>
    <w:p>
      <w:pPr>
        <w:pBdr>
          <w:bottom w:val="single" w:color="3B7DD8" w:sz="4" w:space="8"/>
        </w:pBdr>
        <w:spacing w:after="400"/>
        <w:jc w:val="center"/>
      </w:pPr>
      <w:r>
        <w:rPr>
          <w:rFonts w:ascii="Arial" w:cs="Arial" w:eastAsia="Arial" w:hAnsi="Arial"/>
          <w:color w:val="2E4A7A"/>
          <w:sz w:val="30"/>
          <w:szCs w:val="30"/>
        </w:rPr>
        <w:t xml:space="preserve">THE CORE RELIABILITY DOMAINS</w:t>
      </w:r>
    </w:p>
    <w:p>
      <w:pPr>
        <w:spacing w:before="80" w:after="80" w:line="276"/>
        <w:jc w:val="both"/>
      </w:pPr>
      <w:r>
        <w:rPr>
          <w:rFonts w:ascii="Arial" w:cs="Arial" w:eastAsia="Arial" w:hAnsi="Arial"/>
          <w:i w:val="false"/>
          <w:iCs w:val="false"/>
          <w:color w:val="333333"/>
          <w:sz w:val="21"/>
          <w:szCs w:val="21"/>
        </w:rPr>
        <w:t xml:space="preserve">The ARA Standard defines twelve core reliability domains and one physical systems extension domain. Together, these domains constitute the complete evaluation framework for autonomous system certification. Every ARA-certified system must be evaluated against all applicable domains at the appropriate certification level.</w:t>
      </w:r>
    </w:p>
    <w:p>
      <w:pPr>
        <w:spacing w:before="80" w:after="80" w:line="276"/>
        <w:jc w:val="both"/>
      </w:pPr>
      <w:r>
        <w:rPr>
          <w:rFonts w:ascii="Arial" w:cs="Arial" w:eastAsia="Arial" w:hAnsi="Arial"/>
          <w:i w:val="false"/>
          <w:iCs w:val="false"/>
          <w:color w:val="333333"/>
          <w:sz w:val="21"/>
          <w:szCs w:val="21"/>
        </w:rPr>
        <w:t xml:space="preserve">Each domain addresses a distinct dimension of operational reliability. The domains are designed to be mutually reinforcing: compliance with any single domain is insufficient without compliance across the full domain set. Reliability is a system property, not a feature.</w:t>
      </w:r>
    </w:p>
    <w:p>
      <w:pPr>
        <w:spacing w:before="80" w:after="80" w:line="276"/>
        <w:jc w:val="both"/>
      </w:pPr>
      <w:r>
        <w:rPr>
          <w:rFonts w:ascii="Arial" w:cs="Arial" w:eastAsia="Arial" w:hAnsi="Arial"/>
          <w:i w:val="false"/>
          <w:iCs w:val="false"/>
          <w:color w:val="333333"/>
          <w:sz w:val="21"/>
          <w:szCs w:val="21"/>
        </w:rPr>
        <w:t xml:space="preserve">For each domain, this section specifies the domain purpose, governing principle, mandatory requirements, indicative ACR count, and representative ACR examples. The complete ACR matrix is published as a companion document (ARAF-ARA-ACR-2026-001).</w:t>
      </w:r>
    </w:p>
    <w:p>
      <w:pPr>
        <w:spacing w:before="100" w:after="0"/>
      </w:pPr>
    </w:p>
    <w:p>
      <w:pPr>
        <w:pStyle w:val="Heading1"/>
        <w:spacing w:before="360" w:after="200"/>
      </w:pPr>
      <w:r>
        <w:rPr>
          <w:rFonts w:ascii="Arial" w:cs="Arial" w:eastAsia="Arial" w:hAnsi="Arial"/>
          <w:b/>
          <w:bCs/>
          <w:color w:val="1B2A4A"/>
          <w:sz w:val="32"/>
          <w:szCs w:val="32"/>
        </w:rPr>
        <w:t xml:space="preserve">Domain 1 — Autonomy Scope Definition</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every autonomous system operates within explicitly defined, documented, and enforced boundaries. No autonomous system should have undefined or unlimited operational scope.</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An autonomous system must know what it is permitted to do, what it is prohibited from doing, and where the boundaries of its authority lie. These boundaries must be documented, tested, and enforceable.</w:t>
      </w:r>
    </w:p>
    <w:p>
      <w:pPr>
        <w:pStyle w:val="Heading2"/>
        <w:spacing w:before="280" w:after="160"/>
      </w:pPr>
      <w:r>
        <w:rPr>
          <w:rFonts w:ascii="Arial" w:cs="Arial" w:eastAsia="Arial" w:hAnsi="Arial"/>
          <w:b/>
          <w:bCs/>
          <w:color w:val="2E4A7A"/>
          <w:sz w:val="26"/>
          <w:szCs w:val="26"/>
        </w:rPr>
        <w:t xml:space="preserve">1.1 Mandatory Requirements</w:t>
      </w:r>
    </w:p>
    <w:p>
      <w:pPr>
        <w:pStyle w:val="ListParagraph"/>
        <w:numPr>
          <w:ilvl w:val="0"/>
          <w:numId w:val="2"/>
        </w:numPr>
        <w:spacing w:before="40" w:after="40" w:line="276"/>
      </w:pPr>
      <w:r>
        <w:rPr>
          <w:rFonts w:ascii="Arial" w:cs="Arial" w:eastAsia="Arial" w:hAnsi="Arial"/>
          <w:color w:val="333333"/>
          <w:sz w:val="21"/>
          <w:szCs w:val="21"/>
        </w:rPr>
        <w:t xml:space="preserve">Explicitly define all operational boundaries in machine-readable and human-readable format.</w:t>
      </w:r>
    </w:p>
    <w:p>
      <w:pPr>
        <w:pStyle w:val="ListParagraph"/>
        <w:numPr>
          <w:ilvl w:val="0"/>
          <w:numId w:val="2"/>
        </w:numPr>
        <w:spacing w:before="40" w:after="40" w:line="276"/>
      </w:pPr>
      <w:r>
        <w:rPr>
          <w:rFonts w:ascii="Arial" w:cs="Arial" w:eastAsia="Arial" w:hAnsi="Arial"/>
          <w:color w:val="333333"/>
          <w:sz w:val="21"/>
          <w:szCs w:val="21"/>
        </w:rPr>
        <w:t xml:space="preserve">Enumerate all permitted action classes with specificity sufficient for automated enforcement.</w:t>
      </w:r>
    </w:p>
    <w:p>
      <w:pPr>
        <w:pStyle w:val="ListParagraph"/>
        <w:numPr>
          <w:ilvl w:val="0"/>
          <w:numId w:val="2"/>
        </w:numPr>
        <w:spacing w:before="40" w:after="40" w:line="276"/>
      </w:pPr>
      <w:r>
        <w:rPr>
          <w:rFonts w:ascii="Arial" w:cs="Arial" w:eastAsia="Arial" w:hAnsi="Arial"/>
          <w:color w:val="333333"/>
          <w:sz w:val="21"/>
          <w:szCs w:val="21"/>
        </w:rPr>
        <w:t xml:space="preserve">Define all restricted and prohibited action classes with equal specificity.</w:t>
      </w:r>
    </w:p>
    <w:p>
      <w:pPr>
        <w:pStyle w:val="ListParagraph"/>
        <w:numPr>
          <w:ilvl w:val="0"/>
          <w:numId w:val="2"/>
        </w:numPr>
        <w:spacing w:before="40" w:after="40" w:line="276"/>
      </w:pPr>
      <w:r>
        <w:rPr>
          <w:rFonts w:ascii="Arial" w:cs="Arial" w:eastAsia="Arial" w:hAnsi="Arial"/>
          <w:color w:val="333333"/>
          <w:sz w:val="21"/>
          <w:szCs w:val="21"/>
        </w:rPr>
        <w:t xml:space="preserve">Document all tool, API, and resource access policies including conditions, rate limits, and scope restrictions.</w:t>
      </w:r>
    </w:p>
    <w:p>
      <w:pPr>
        <w:pStyle w:val="ListParagraph"/>
        <w:numPr>
          <w:ilvl w:val="0"/>
          <w:numId w:val="2"/>
        </w:numPr>
        <w:spacing w:before="40" w:after="40" w:line="276"/>
      </w:pPr>
      <w:r>
        <w:rPr>
          <w:rFonts w:ascii="Arial" w:cs="Arial" w:eastAsia="Arial" w:hAnsi="Arial"/>
          <w:color w:val="333333"/>
          <w:sz w:val="21"/>
          <w:szCs w:val="21"/>
        </w:rPr>
        <w:t xml:space="preserve">Establish and document the system’s decision authority level for each action class (autonomous, supervised, or escalation-required).</w:t>
      </w:r>
    </w:p>
    <w:p>
      <w:pPr>
        <w:pStyle w:val="ListParagraph"/>
        <w:numPr>
          <w:ilvl w:val="0"/>
          <w:numId w:val="2"/>
        </w:numPr>
        <w:spacing w:before="40" w:after="40" w:line="276"/>
      </w:pPr>
      <w:r>
        <w:rPr>
          <w:rFonts w:ascii="Arial" w:cs="Arial" w:eastAsia="Arial" w:hAnsi="Arial"/>
          <w:color w:val="333333"/>
          <w:sz w:val="21"/>
          <w:szCs w:val="21"/>
        </w:rPr>
        <w:t xml:space="preserve">Define geographic, temporal, and contextual constraints on system operation where applicable.</w:t>
      </w:r>
    </w:p>
    <w:p>
      <w:pPr>
        <w:pStyle w:val="ListParagraph"/>
        <w:numPr>
          <w:ilvl w:val="0"/>
          <w:numId w:val="2"/>
        </w:numPr>
        <w:spacing w:before="40" w:after="40" w:line="276"/>
      </w:pPr>
      <w:r>
        <w:rPr>
          <w:rFonts w:ascii="Arial" w:cs="Arial" w:eastAsia="Arial" w:hAnsi="Arial"/>
          <w:color w:val="333333"/>
          <w:sz w:val="21"/>
          <w:szCs w:val="21"/>
        </w:rPr>
        <w:t xml:space="preserve">Maintain a versioned boundary specification document that is updated with each system change.</w:t>
      </w:r>
    </w:p>
    <w:p>
      <w:pPr>
        <w:pStyle w:val="ListParagraph"/>
        <w:numPr>
          <w:ilvl w:val="0"/>
          <w:numId w:val="2"/>
        </w:numPr>
        <w:spacing w:before="40" w:after="40" w:line="276"/>
      </w:pPr>
      <w:r>
        <w:rPr>
          <w:rFonts w:ascii="Arial" w:cs="Arial" w:eastAsia="Arial" w:hAnsi="Arial"/>
          <w:color w:val="333333"/>
          <w:sz w:val="21"/>
          <w:szCs w:val="21"/>
        </w:rPr>
        <w:t xml:space="preserve">Implement runtime enforcement mechanisms that actively prevent boundary violations, not merely log them.</w:t>
      </w:r>
    </w:p>
    <w:p>
      <w:pPr>
        <w:pStyle w:val="ListParagraph"/>
        <w:numPr>
          <w:ilvl w:val="0"/>
          <w:numId w:val="2"/>
        </w:numPr>
        <w:spacing w:before="40" w:after="40" w:line="276"/>
      </w:pPr>
      <w:r>
        <w:rPr>
          <w:rFonts w:ascii="Arial" w:cs="Arial" w:eastAsia="Arial" w:hAnsi="Arial"/>
          <w:color w:val="333333"/>
          <w:sz w:val="21"/>
          <w:szCs w:val="21"/>
        </w:rPr>
        <w:t xml:space="preserve">Define and document the system’s behavior when it encounters an action request outside its defined scope.</w:t>
      </w:r>
    </w:p>
    <w:p>
      <w:pPr>
        <w:pStyle w:val="ListParagraph"/>
        <w:numPr>
          <w:ilvl w:val="0"/>
          <w:numId w:val="2"/>
        </w:numPr>
        <w:spacing w:before="40" w:after="40" w:line="276"/>
      </w:pPr>
      <w:r>
        <w:rPr>
          <w:rFonts w:ascii="Arial" w:cs="Arial" w:eastAsia="Arial" w:hAnsi="Arial"/>
          <w:color w:val="333333"/>
          <w:sz w:val="21"/>
          <w:szCs w:val="21"/>
        </w:rPr>
        <w:t xml:space="preserve">Test boundary enforcement under adversarial conditions including attempts to expand scope through social engineering, prompt injection, or indirect manipulation.</w:t>
      </w:r>
    </w:p>
    <w:p>
      <w:pPr>
        <w:pStyle w:val="Heading2"/>
        <w:spacing w:before="280" w:after="160"/>
      </w:pPr>
      <w:r>
        <w:rPr>
          <w:rFonts w:ascii="Arial" w:cs="Arial" w:eastAsia="Arial" w:hAnsi="Arial"/>
          <w:b/>
          <w:bCs/>
          <w:color w:val="2E4A7A"/>
          <w:sz w:val="26"/>
          <w:szCs w:val="26"/>
        </w:rPr>
        <w:t xml:space="preserve">1.2 ACR Coverage</w:t>
      </w:r>
    </w:p>
    <w:p>
      <w:pPr>
        <w:spacing w:before="80" w:after="80" w:line="276"/>
        <w:jc w:val="both"/>
      </w:pPr>
      <w:r>
        <w:rPr>
          <w:rFonts w:ascii="Arial" w:cs="Arial" w:eastAsia="Arial" w:hAnsi="Arial"/>
          <w:i w:val="false"/>
          <w:iCs w:val="false"/>
          <w:color w:val="333333"/>
          <w:sz w:val="21"/>
          <w:szCs w:val="21"/>
        </w:rPr>
        <w:t xml:space="preserve">Domain 1 contains </w:t>
      </w:r>
      <w:r>
        <w:rPr>
          <w:rFonts w:ascii="Arial" w:cs="Arial" w:eastAsia="Arial" w:hAnsi="Arial"/>
          <w:b/>
          <w:bCs/>
          <w:color w:val="333333"/>
          <w:sz w:val="21"/>
          <w:szCs w:val="21"/>
        </w:rPr>
        <w:t xml:space="preserve">24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ACR-1.01: The system SHALL maintain a machine-readable operational boundary specification document that enumerates all permitted action classes. [Evidence: Boundary specification document with version control.]</w:t>
      </w:r>
    </w:p>
    <w:p>
      <w:pPr>
        <w:spacing w:before="40" w:after="40" w:line="276"/>
        <w:ind w:left="480"/>
      </w:pPr>
      <w:r>
        <w:rPr>
          <w:rFonts w:ascii="Courier New" w:cs="Courier New" w:eastAsia="Courier New" w:hAnsi="Courier New"/>
          <w:color w:val="333333"/>
          <w:sz w:val="18"/>
          <w:szCs w:val="18"/>
        </w:rPr>
        <w:t xml:space="preserve">ACR-1.05: The system SHALL reject or escalate any action request that falls outside its defined permitted action classes. [Evidence: Test logs demonstrating rejection of out-of-scope requests.]</w:t>
      </w:r>
    </w:p>
    <w:p>
      <w:pPr>
        <w:spacing w:before="40" w:after="40" w:line="276"/>
        <w:ind w:left="480"/>
      </w:pPr>
      <w:r>
        <w:rPr>
          <w:rFonts w:ascii="Courier New" w:cs="Courier New" w:eastAsia="Courier New" w:hAnsi="Courier New"/>
          <w:color w:val="333333"/>
          <w:sz w:val="18"/>
          <w:szCs w:val="18"/>
        </w:rPr>
        <w:t xml:space="preserve">ACR-1.12: Boundary enforcement SHALL be tested under adversarial conditions including prompt injection attempts to expand operational scope. [Evidence: Adversarial test report with pass/fail results.]</w:t>
      </w:r>
    </w:p>
    <w:p>
      <w:pPr>
        <w:spacing w:before="40" w:after="40" w:line="276"/>
        <w:ind w:left="480"/>
      </w:pPr>
      <w:r>
        <w:rPr>
          <w:rFonts w:ascii="Courier New" w:cs="Courier New" w:eastAsia="Courier New" w:hAnsi="Courier New"/>
          <w:color w:val="333333"/>
          <w:sz w:val="18"/>
          <w:szCs w:val="18"/>
        </w:rPr>
        <w:t xml:space="preserve">ACR-1.18: The system SHALL log all boundary violation attempts with full context including the requesting entity, the attempted action, and the enforcement decision. [Evidence: Violation log samples with required fields.]</w:t>
      </w:r>
    </w:p>
    <w:p>
      <w:pPr>
        <w:spacing w:before="100" w:after="0"/>
      </w:pPr>
    </w:p>
    <w:p>
      <w:pPr>
        <w:pStyle w:val="Heading1"/>
        <w:spacing w:before="360" w:after="200"/>
      </w:pPr>
      <w:r>
        <w:rPr>
          <w:rFonts w:ascii="Arial" w:cs="Arial" w:eastAsia="Arial" w:hAnsi="Arial"/>
          <w:b/>
          <w:bCs/>
          <w:color w:val="1B2A4A"/>
          <w:sz w:val="32"/>
          <w:szCs w:val="32"/>
        </w:rPr>
        <w:t xml:space="preserve">Domain 2 — Decision Integrity</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autonomous system decisions are traceable, factually grounded, and free from fabrication, hallucination, or unsupported assertions that could lead to unreliable outcomes.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Every decision an autonomous system makes must be traceable to its inputs, reasoning must be inspectable, and the system must never fabricate facts, state, or authority it does not possess.</w:t>
      </w:r>
    </w:p>
    <w:p>
      <w:pPr>
        <w:pStyle w:val="Heading2"/>
        <w:spacing w:before="280" w:after="160"/>
      </w:pPr>
      <w:r>
        <w:rPr>
          <w:rFonts w:ascii="Arial" w:cs="Arial" w:eastAsia="Arial" w:hAnsi="Arial"/>
          <w:b/>
          <w:bCs/>
          <w:color w:val="2E4A7A"/>
          <w:sz w:val="26"/>
          <w:szCs w:val="26"/>
        </w:rPr>
        <w:t xml:space="preserve">2.1 Mandatory Requirements</w:t>
      </w:r>
    </w:p>
    <w:p>
      <w:pPr>
        <w:pStyle w:val="ListParagraph"/>
        <w:numPr>
          <w:ilvl w:val="0"/>
          <w:numId w:val="2"/>
        </w:numPr>
        <w:spacing w:before="40" w:after="40" w:line="276"/>
      </w:pPr>
      <w:r>
        <w:rPr>
          <w:rFonts w:ascii="Arial" w:cs="Arial" w:eastAsia="Arial" w:hAnsi="Arial"/>
          <w:color w:val="333333"/>
          <w:sz w:val="21"/>
          <w:szCs w:val="21"/>
        </w:rPr>
        <w:t xml:space="preserve">Maintain reasoning traceability for all decisions with sufficient granularity to support post-hoc audit.</w:t>
      </w:r>
    </w:p>
    <w:p>
      <w:pPr>
        <w:pStyle w:val="ListParagraph"/>
        <w:numPr>
          <w:ilvl w:val="0"/>
          <w:numId w:val="2"/>
        </w:numPr>
        <w:spacing w:before="40" w:after="40" w:line="276"/>
      </w:pPr>
      <w:r>
        <w:rPr>
          <w:rFonts w:ascii="Arial" w:cs="Arial" w:eastAsia="Arial" w:hAnsi="Arial"/>
          <w:color w:val="333333"/>
          <w:sz w:val="21"/>
          <w:szCs w:val="21"/>
        </w:rPr>
        <w:t xml:space="preserve">Prevent unsupported factual assertions in system outputs, including fabricated data, invented references, and false claims of system state.</w:t>
      </w:r>
    </w:p>
    <w:p>
      <w:pPr>
        <w:pStyle w:val="ListParagraph"/>
        <w:numPr>
          <w:ilvl w:val="0"/>
          <w:numId w:val="2"/>
        </w:numPr>
        <w:spacing w:before="40" w:after="40" w:line="276"/>
      </w:pPr>
      <w:r>
        <w:rPr>
          <w:rFonts w:ascii="Arial" w:cs="Arial" w:eastAsia="Arial" w:hAnsi="Arial"/>
          <w:color w:val="333333"/>
          <w:sz w:val="21"/>
          <w:szCs w:val="21"/>
        </w:rPr>
        <w:t xml:space="preserve">Prevent fabricated system state references including false claims about completed actions, existing configurations, or available resources.</w:t>
      </w:r>
    </w:p>
    <w:p>
      <w:pPr>
        <w:pStyle w:val="ListParagraph"/>
        <w:numPr>
          <w:ilvl w:val="0"/>
          <w:numId w:val="2"/>
        </w:numPr>
        <w:spacing w:before="40" w:after="40" w:line="276"/>
      </w:pPr>
      <w:r>
        <w:rPr>
          <w:rFonts w:ascii="Arial" w:cs="Arial" w:eastAsia="Arial" w:hAnsi="Arial"/>
          <w:color w:val="333333"/>
          <w:sz w:val="21"/>
          <w:szCs w:val="21"/>
        </w:rPr>
        <w:t xml:space="preserve">Preserve instruction hierarchy such that system-level constraints always override user-level instructions and user-level instructions always override contextual suggestions.</w:t>
      </w:r>
    </w:p>
    <w:p>
      <w:pPr>
        <w:pStyle w:val="ListParagraph"/>
        <w:numPr>
          <w:ilvl w:val="0"/>
          <w:numId w:val="2"/>
        </w:numPr>
        <w:spacing w:before="40" w:after="40" w:line="276"/>
      </w:pPr>
      <w:r>
        <w:rPr>
          <w:rFonts w:ascii="Arial" w:cs="Arial" w:eastAsia="Arial" w:hAnsi="Arial"/>
          <w:color w:val="333333"/>
          <w:sz w:val="21"/>
          <w:szCs w:val="21"/>
        </w:rPr>
        <w:t xml:space="preserve">Detect and flag low-confidence decisions before execution, with configurable confidence thresholds.</w:t>
      </w:r>
    </w:p>
    <w:p>
      <w:pPr>
        <w:pStyle w:val="ListParagraph"/>
        <w:numPr>
          <w:ilvl w:val="0"/>
          <w:numId w:val="2"/>
        </w:numPr>
        <w:spacing w:before="40" w:after="40" w:line="276"/>
      </w:pPr>
      <w:r>
        <w:rPr>
          <w:rFonts w:ascii="Arial" w:cs="Arial" w:eastAsia="Arial" w:hAnsi="Arial"/>
          <w:color w:val="333333"/>
          <w:sz w:val="21"/>
          <w:szCs w:val="21"/>
        </w:rPr>
        <w:t xml:space="preserve">Maintain decision provenance records linking each decision to its input data, applicable rules, and contextual factors.</w:t>
      </w:r>
    </w:p>
    <w:p>
      <w:pPr>
        <w:pStyle w:val="ListParagraph"/>
        <w:numPr>
          <w:ilvl w:val="0"/>
          <w:numId w:val="2"/>
        </w:numPr>
        <w:spacing w:before="40" w:after="40" w:line="276"/>
      </w:pPr>
      <w:r>
        <w:rPr>
          <w:rFonts w:ascii="Arial" w:cs="Arial" w:eastAsia="Arial" w:hAnsi="Arial"/>
          <w:color w:val="333333"/>
          <w:sz w:val="21"/>
          <w:szCs w:val="21"/>
        </w:rPr>
        <w:t xml:space="preserve">Implement mechanisms to distinguish between factual assertions, inferences, estimations, and uncertainties in system outputs.</w:t>
      </w:r>
    </w:p>
    <w:p>
      <w:pPr>
        <w:pStyle w:val="ListParagraph"/>
        <w:numPr>
          <w:ilvl w:val="0"/>
          <w:numId w:val="2"/>
        </w:numPr>
        <w:spacing w:before="40" w:after="40" w:line="276"/>
      </w:pPr>
      <w:r>
        <w:rPr>
          <w:rFonts w:ascii="Arial" w:cs="Arial" w:eastAsia="Arial" w:hAnsi="Arial"/>
          <w:color w:val="333333"/>
          <w:sz w:val="21"/>
          <w:szCs w:val="21"/>
        </w:rPr>
        <w:t xml:space="preserve">Prevent conflicting simultaneous decisions within multi-step workflows.</w:t>
      </w:r>
    </w:p>
    <w:p>
      <w:pPr>
        <w:pStyle w:val="ListParagraph"/>
        <w:numPr>
          <w:ilvl w:val="0"/>
          <w:numId w:val="2"/>
        </w:numPr>
        <w:spacing w:before="40" w:after="40" w:line="276"/>
      </w:pPr>
      <w:r>
        <w:rPr>
          <w:rFonts w:ascii="Arial" w:cs="Arial" w:eastAsia="Arial" w:hAnsi="Arial"/>
          <w:color w:val="333333"/>
          <w:sz w:val="21"/>
          <w:szCs w:val="21"/>
        </w:rPr>
        <w:t xml:space="preserve">Detect circular reasoning and self-referential justification in decision chains.</w:t>
      </w:r>
    </w:p>
    <w:p>
      <w:pPr>
        <w:pStyle w:val="ListParagraph"/>
        <w:numPr>
          <w:ilvl w:val="0"/>
          <w:numId w:val="2"/>
        </w:numPr>
        <w:spacing w:before="40" w:after="40" w:line="276"/>
      </w:pPr>
      <w:r>
        <w:rPr>
          <w:rFonts w:ascii="Arial" w:cs="Arial" w:eastAsia="Arial" w:hAnsi="Arial"/>
          <w:color w:val="333333"/>
          <w:sz w:val="21"/>
          <w:szCs w:val="21"/>
        </w:rPr>
        <w:t xml:space="preserve">Support decision replay capability allowing auditors to reproduce and evaluate past decisions given the same inputs.</w:t>
      </w:r>
    </w:p>
    <w:p>
      <w:pPr>
        <w:pStyle w:val="Heading2"/>
        <w:spacing w:before="280" w:after="160"/>
      </w:pPr>
      <w:r>
        <w:rPr>
          <w:rFonts w:ascii="Arial" w:cs="Arial" w:eastAsia="Arial" w:hAnsi="Arial"/>
          <w:b/>
          <w:bCs/>
          <w:color w:val="2E4A7A"/>
          <w:sz w:val="26"/>
          <w:szCs w:val="26"/>
        </w:rPr>
        <w:t xml:space="preserve">2.2 ACR Coverage</w:t>
      </w:r>
    </w:p>
    <w:p>
      <w:pPr>
        <w:spacing w:before="80" w:after="80" w:line="276"/>
        <w:jc w:val="both"/>
      </w:pPr>
      <w:r>
        <w:rPr>
          <w:rFonts w:ascii="Arial" w:cs="Arial" w:eastAsia="Arial" w:hAnsi="Arial"/>
          <w:i w:val="false"/>
          <w:iCs w:val="false"/>
          <w:color w:val="333333"/>
          <w:sz w:val="21"/>
          <w:szCs w:val="21"/>
        </w:rPr>
        <w:t xml:space="preserve">Domain 2 contains </w:t>
      </w:r>
      <w:r>
        <w:rPr>
          <w:rFonts w:ascii="Arial" w:cs="Arial" w:eastAsia="Arial" w:hAnsi="Arial"/>
          <w:b/>
          <w:bCs/>
          <w:color w:val="333333"/>
          <w:sz w:val="21"/>
          <w:szCs w:val="21"/>
        </w:rPr>
        <w:t xml:space="preserve">32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ACR-2.01: Every system decision SHALL be traceable to its input data sources and applicable decision rules. [Evidence: Decision trace logs with input-output linkage.]</w:t>
      </w:r>
    </w:p>
    <w:p>
      <w:pPr>
        <w:spacing w:before="40" w:after="40" w:line="276"/>
        <w:ind w:left="480"/>
      </w:pPr>
      <w:r>
        <w:rPr>
          <w:rFonts w:ascii="Courier New" w:cs="Courier New" w:eastAsia="Courier New" w:hAnsi="Courier New"/>
          <w:color w:val="333333"/>
          <w:sz w:val="18"/>
          <w:szCs w:val="18"/>
        </w:rPr>
        <w:t xml:space="preserve">ACR-2.08: The system SHALL NOT fabricate information about its own state, completed actions, or available capabilities. [Evidence: Test suite results demonstrating hallucination detection.]</w:t>
      </w:r>
    </w:p>
    <w:p>
      <w:pPr>
        <w:spacing w:before="40" w:after="40" w:line="276"/>
        <w:ind w:left="480"/>
      </w:pPr>
      <w:r>
        <w:rPr>
          <w:rFonts w:ascii="Courier New" w:cs="Courier New" w:eastAsia="Courier New" w:hAnsi="Courier New"/>
          <w:color w:val="333333"/>
          <w:sz w:val="18"/>
          <w:szCs w:val="18"/>
        </w:rPr>
        <w:t xml:space="preserve">ACR-2.15: System-level constraints SHALL always override user-level instructions in the instruction hierarchy. [Evidence: Test logs showing hierarchy enforcement under conflicting instructions.]</w:t>
      </w:r>
    </w:p>
    <w:p>
      <w:pPr>
        <w:spacing w:before="40" w:after="40" w:line="276"/>
        <w:ind w:left="480"/>
      </w:pPr>
      <w:r>
        <w:rPr>
          <w:rFonts w:ascii="Courier New" w:cs="Courier New" w:eastAsia="Courier New" w:hAnsi="Courier New"/>
          <w:color w:val="333333"/>
          <w:sz w:val="18"/>
          <w:szCs w:val="18"/>
        </w:rPr>
        <w:t xml:space="preserve">ACR-2.22: The system SHALL flag decisions with confidence below configurable thresholds for human review before execution. [Evidence: Configuration records and test logs.]</w:t>
      </w:r>
    </w:p>
    <w:p>
      <w:pPr>
        <w:spacing w:before="100" w:after="0"/>
      </w:pPr>
    </w:p>
    <w:p>
      <w:pPr>
        <w:pStyle w:val="Heading1"/>
        <w:spacing w:before="360" w:after="200"/>
      </w:pPr>
      <w:r>
        <w:rPr>
          <w:rFonts w:ascii="Arial" w:cs="Arial" w:eastAsia="Arial" w:hAnsi="Arial"/>
          <w:b/>
          <w:bCs/>
          <w:color w:val="1B2A4A"/>
          <w:sz w:val="32"/>
          <w:szCs w:val="32"/>
        </w:rPr>
        <w:t xml:space="preserve">Domain 3 — Tool and API Governance</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autonomous systems interact with external tools, APIs, and services in a controlled, auditable, and secure manner that prevents unauthorized access, unintended actions, and supply-chain attacks.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External tools and APIs are extensions of the system’s operational scope. Every tool invocation must be authorized, validated, and auditable. The system must treat external tool outputs as untrusted data.</w:t>
      </w:r>
    </w:p>
    <w:p>
      <w:pPr>
        <w:pStyle w:val="Heading2"/>
        <w:spacing w:before="280" w:after="160"/>
      </w:pPr>
      <w:r>
        <w:rPr>
          <w:rFonts w:ascii="Arial" w:cs="Arial" w:eastAsia="Arial" w:hAnsi="Arial"/>
          <w:b/>
          <w:bCs/>
          <w:color w:val="2E4A7A"/>
          <w:sz w:val="26"/>
          <w:szCs w:val="26"/>
        </w:rPr>
        <w:t xml:space="preserve">3.1 Mandatory Requirements</w:t>
      </w:r>
    </w:p>
    <w:p>
      <w:pPr>
        <w:pStyle w:val="ListParagraph"/>
        <w:numPr>
          <w:ilvl w:val="0"/>
          <w:numId w:val="2"/>
        </w:numPr>
        <w:spacing w:before="40" w:after="40" w:line="276"/>
      </w:pPr>
      <w:r>
        <w:rPr>
          <w:rFonts w:ascii="Arial" w:cs="Arial" w:eastAsia="Arial" w:hAnsi="Arial"/>
          <w:color w:val="333333"/>
          <w:sz w:val="21"/>
          <w:szCs w:val="21"/>
        </w:rPr>
        <w:t xml:space="preserve">Enforce tool invocation restrictions based on documented authorization policies.</w:t>
      </w:r>
    </w:p>
    <w:p>
      <w:pPr>
        <w:pStyle w:val="ListParagraph"/>
        <w:numPr>
          <w:ilvl w:val="0"/>
          <w:numId w:val="2"/>
        </w:numPr>
        <w:spacing w:before="40" w:after="40" w:line="276"/>
      </w:pPr>
      <w:r>
        <w:rPr>
          <w:rFonts w:ascii="Arial" w:cs="Arial" w:eastAsia="Arial" w:hAnsi="Arial"/>
          <w:color w:val="333333"/>
          <w:sz w:val="21"/>
          <w:szCs w:val="21"/>
        </w:rPr>
        <w:t xml:space="preserve">Prevent unauthorized tool chaining where the output of one tool triggers another without explicit authorization.</w:t>
      </w:r>
    </w:p>
    <w:p>
      <w:pPr>
        <w:pStyle w:val="ListParagraph"/>
        <w:numPr>
          <w:ilvl w:val="0"/>
          <w:numId w:val="2"/>
        </w:numPr>
        <w:spacing w:before="40" w:after="40" w:line="276"/>
      </w:pPr>
      <w:r>
        <w:rPr>
          <w:rFonts w:ascii="Arial" w:cs="Arial" w:eastAsia="Arial" w:hAnsi="Arial"/>
          <w:color w:val="333333"/>
          <w:sz w:val="21"/>
          <w:szCs w:val="21"/>
        </w:rPr>
        <w:t xml:space="preserve">Validate all external tool outputs before incorporating them into decisions or actions.</w:t>
      </w:r>
    </w:p>
    <w:p>
      <w:pPr>
        <w:pStyle w:val="ListParagraph"/>
        <w:numPr>
          <w:ilvl w:val="0"/>
          <w:numId w:val="2"/>
        </w:numPr>
        <w:spacing w:before="40" w:after="40" w:line="276"/>
      </w:pPr>
      <w:r>
        <w:rPr>
          <w:rFonts w:ascii="Arial" w:cs="Arial" w:eastAsia="Arial" w:hAnsi="Arial"/>
          <w:color w:val="333333"/>
          <w:sz w:val="21"/>
          <w:szCs w:val="21"/>
        </w:rPr>
        <w:t xml:space="preserve">Detect and resist tool poisoning attempts where malicious data is injected through tool responses.</w:t>
      </w:r>
    </w:p>
    <w:p>
      <w:pPr>
        <w:pStyle w:val="ListParagraph"/>
        <w:numPr>
          <w:ilvl w:val="0"/>
          <w:numId w:val="2"/>
        </w:numPr>
        <w:spacing w:before="40" w:after="40" w:line="276"/>
      </w:pPr>
      <w:r>
        <w:rPr>
          <w:rFonts w:ascii="Arial" w:cs="Arial" w:eastAsia="Arial" w:hAnsi="Arial"/>
          <w:color w:val="333333"/>
          <w:sz w:val="21"/>
          <w:szCs w:val="21"/>
        </w:rPr>
        <w:t xml:space="preserve">Maintain a tool registry documenting all authorized tools, their capabilities, access conditions, and risk classifications.</w:t>
      </w:r>
    </w:p>
    <w:p>
      <w:pPr>
        <w:pStyle w:val="ListParagraph"/>
        <w:numPr>
          <w:ilvl w:val="0"/>
          <w:numId w:val="2"/>
        </w:numPr>
        <w:spacing w:before="40" w:after="40" w:line="276"/>
      </w:pPr>
      <w:r>
        <w:rPr>
          <w:rFonts w:ascii="Arial" w:cs="Arial" w:eastAsia="Arial" w:hAnsi="Arial"/>
          <w:color w:val="333333"/>
          <w:sz w:val="21"/>
          <w:szCs w:val="21"/>
        </w:rPr>
        <w:t xml:space="preserve">Implement rate limiting and abuse detection for all tool invocations.</w:t>
      </w:r>
    </w:p>
    <w:p>
      <w:pPr>
        <w:pStyle w:val="ListParagraph"/>
        <w:numPr>
          <w:ilvl w:val="0"/>
          <w:numId w:val="2"/>
        </w:numPr>
        <w:spacing w:before="40" w:after="40" w:line="276"/>
      </w:pPr>
      <w:r>
        <w:rPr>
          <w:rFonts w:ascii="Arial" w:cs="Arial" w:eastAsia="Arial" w:hAnsi="Arial"/>
          <w:color w:val="333333"/>
          <w:sz w:val="21"/>
          <w:szCs w:val="21"/>
        </w:rPr>
        <w:t xml:space="preserve">Enforce principle of least privilege for tool access, granting only the minimum capabilities required for each operation.</w:t>
      </w:r>
    </w:p>
    <w:p>
      <w:pPr>
        <w:pStyle w:val="ListParagraph"/>
        <w:numPr>
          <w:ilvl w:val="0"/>
          <w:numId w:val="2"/>
        </w:numPr>
        <w:spacing w:before="40" w:after="40" w:line="276"/>
      </w:pPr>
      <w:r>
        <w:rPr>
          <w:rFonts w:ascii="Arial" w:cs="Arial" w:eastAsia="Arial" w:hAnsi="Arial"/>
          <w:color w:val="333333"/>
          <w:sz w:val="21"/>
          <w:szCs w:val="21"/>
        </w:rPr>
        <w:t xml:space="preserve">Detect anomalous tool usage patterns including unusual invocation frequency, unexpected parameter combinations, or access outside normal operating hours.</w:t>
      </w:r>
    </w:p>
    <w:p>
      <w:pPr>
        <w:pStyle w:val="ListParagraph"/>
        <w:numPr>
          <w:ilvl w:val="0"/>
          <w:numId w:val="2"/>
        </w:numPr>
        <w:spacing w:before="40" w:after="40" w:line="276"/>
      </w:pPr>
      <w:r>
        <w:rPr>
          <w:rFonts w:ascii="Arial" w:cs="Arial" w:eastAsia="Arial" w:hAnsi="Arial"/>
          <w:color w:val="333333"/>
          <w:sz w:val="21"/>
          <w:szCs w:val="21"/>
        </w:rPr>
        <w:t xml:space="preserve">Implement tool output sanitization to prevent injection attacks propagated through tool responses.</w:t>
      </w:r>
    </w:p>
    <w:p>
      <w:pPr>
        <w:pStyle w:val="ListParagraph"/>
        <w:numPr>
          <w:ilvl w:val="0"/>
          <w:numId w:val="2"/>
        </w:numPr>
        <w:spacing w:before="40" w:after="40" w:line="276"/>
      </w:pPr>
      <w:r>
        <w:rPr>
          <w:rFonts w:ascii="Arial" w:cs="Arial" w:eastAsia="Arial" w:hAnsi="Arial"/>
          <w:color w:val="333333"/>
          <w:sz w:val="21"/>
          <w:szCs w:val="21"/>
        </w:rPr>
        <w:t xml:space="preserve">Maintain audit trails for all tool invocations including the invoking context, parameters, response, and downstream actions.</w:t>
      </w:r>
    </w:p>
    <w:p>
      <w:pPr>
        <w:pStyle w:val="Heading2"/>
        <w:spacing w:before="280" w:after="160"/>
      </w:pPr>
      <w:r>
        <w:rPr>
          <w:rFonts w:ascii="Arial" w:cs="Arial" w:eastAsia="Arial" w:hAnsi="Arial"/>
          <w:b/>
          <w:bCs/>
          <w:color w:val="2E4A7A"/>
          <w:sz w:val="26"/>
          <w:szCs w:val="26"/>
        </w:rPr>
        <w:t xml:space="preserve">3.2 ACR Coverage</w:t>
      </w:r>
    </w:p>
    <w:p>
      <w:pPr>
        <w:spacing w:before="80" w:after="80" w:line="276"/>
        <w:jc w:val="both"/>
      </w:pPr>
      <w:r>
        <w:rPr>
          <w:rFonts w:ascii="Arial" w:cs="Arial" w:eastAsia="Arial" w:hAnsi="Arial"/>
          <w:i w:val="false"/>
          <w:iCs w:val="false"/>
          <w:color w:val="333333"/>
          <w:sz w:val="21"/>
          <w:szCs w:val="21"/>
        </w:rPr>
        <w:t xml:space="preserve">Domain 3 contains </w:t>
      </w:r>
      <w:r>
        <w:rPr>
          <w:rFonts w:ascii="Arial" w:cs="Arial" w:eastAsia="Arial" w:hAnsi="Arial"/>
          <w:b/>
          <w:bCs/>
          <w:color w:val="333333"/>
          <w:sz w:val="21"/>
          <w:szCs w:val="21"/>
        </w:rPr>
        <w:t xml:space="preserve">28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ACR-3.01: All tool invocations SHALL be authorized against a documented tool access policy. [Evidence: Tool policy document and authorization enforcement logs.]</w:t>
      </w:r>
    </w:p>
    <w:p>
      <w:pPr>
        <w:spacing w:before="40" w:after="40" w:line="276"/>
        <w:ind w:left="480"/>
      </w:pPr>
      <w:r>
        <w:rPr>
          <w:rFonts w:ascii="Courier New" w:cs="Courier New" w:eastAsia="Courier New" w:hAnsi="Courier New"/>
          <w:color w:val="333333"/>
          <w:sz w:val="18"/>
          <w:szCs w:val="18"/>
        </w:rPr>
        <w:t xml:space="preserve">ACR-3.07: External tool outputs SHALL be validated and sanitized before incorporation into system decisions. [Evidence: Validation rules and test results.]</w:t>
      </w:r>
    </w:p>
    <w:p>
      <w:pPr>
        <w:spacing w:before="40" w:after="40" w:line="276"/>
        <w:ind w:left="480"/>
      </w:pPr>
      <w:r>
        <w:rPr>
          <w:rFonts w:ascii="Courier New" w:cs="Courier New" w:eastAsia="Courier New" w:hAnsi="Courier New"/>
          <w:color w:val="333333"/>
          <w:sz w:val="18"/>
          <w:szCs w:val="18"/>
        </w:rPr>
        <w:t xml:space="preserve">ACR-3.14: The system SHALL detect and reject tool responses containing injection payloads or anomalous data patterns. [Evidence: Tool poisoning test results.]</w:t>
      </w:r>
    </w:p>
    <w:p>
      <w:pPr>
        <w:spacing w:before="100" w:after="0"/>
      </w:pPr>
    </w:p>
    <w:p>
      <w:pPr>
        <w:pStyle w:val="Heading1"/>
        <w:spacing w:before="360" w:after="200"/>
      </w:pPr>
      <w:r>
        <w:rPr>
          <w:rFonts w:ascii="Arial" w:cs="Arial" w:eastAsia="Arial" w:hAnsi="Arial"/>
          <w:b/>
          <w:bCs/>
          <w:color w:val="1B2A4A"/>
          <w:sz w:val="32"/>
          <w:szCs w:val="32"/>
        </w:rPr>
        <w:t xml:space="preserve">Domain 4 — Identity and Permission Containment</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prevent autonomous systems from exceeding their authorized permissions, assuming unauthorized identities, accessing resources across security boundaries, or impersonating entities.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An autonomous system must operate strictly within its assigned identity and permissions. It must never escalate privileges, cross identity boundaries, or act under a false identity.</w:t>
      </w:r>
    </w:p>
    <w:p>
      <w:pPr>
        <w:pStyle w:val="Heading2"/>
        <w:spacing w:before="280" w:after="160"/>
      </w:pPr>
      <w:r>
        <w:rPr>
          <w:rFonts w:ascii="Arial" w:cs="Arial" w:eastAsia="Arial" w:hAnsi="Arial"/>
          <w:b/>
          <w:bCs/>
          <w:color w:val="2E4A7A"/>
          <w:sz w:val="26"/>
          <w:szCs w:val="26"/>
        </w:rPr>
        <w:t xml:space="preserve">4.1 Mandatory Requirements</w:t>
      </w:r>
    </w:p>
    <w:p>
      <w:pPr>
        <w:pStyle w:val="ListParagraph"/>
        <w:numPr>
          <w:ilvl w:val="0"/>
          <w:numId w:val="2"/>
        </w:numPr>
        <w:spacing w:before="40" w:after="40" w:line="276"/>
      </w:pPr>
      <w:r>
        <w:rPr>
          <w:rFonts w:ascii="Arial" w:cs="Arial" w:eastAsia="Arial" w:hAnsi="Arial"/>
          <w:color w:val="333333"/>
          <w:sz w:val="21"/>
          <w:szCs w:val="21"/>
        </w:rPr>
        <w:t xml:space="preserve">Prevent all forms of privilege escalation, whether through exploitation, social engineering, or misconfiguration.</w:t>
      </w:r>
    </w:p>
    <w:p>
      <w:pPr>
        <w:pStyle w:val="ListParagraph"/>
        <w:numPr>
          <w:ilvl w:val="0"/>
          <w:numId w:val="2"/>
        </w:numPr>
        <w:spacing w:before="40" w:after="40" w:line="276"/>
      </w:pPr>
      <w:r>
        <w:rPr>
          <w:rFonts w:ascii="Arial" w:cs="Arial" w:eastAsia="Arial" w:hAnsi="Arial"/>
          <w:color w:val="333333"/>
          <w:sz w:val="21"/>
          <w:szCs w:val="21"/>
        </w:rPr>
        <w:t xml:space="preserve">Respect identity isolation boundaries ensuring that multi-tenant deployments maintain strict separation.</w:t>
      </w:r>
    </w:p>
    <w:p>
      <w:pPr>
        <w:pStyle w:val="ListParagraph"/>
        <w:numPr>
          <w:ilvl w:val="0"/>
          <w:numId w:val="2"/>
        </w:numPr>
        <w:spacing w:before="40" w:after="40" w:line="276"/>
      </w:pPr>
      <w:r>
        <w:rPr>
          <w:rFonts w:ascii="Arial" w:cs="Arial" w:eastAsia="Arial" w:hAnsi="Arial"/>
          <w:color w:val="333333"/>
          <w:sz w:val="21"/>
          <w:szCs w:val="21"/>
        </w:rPr>
        <w:t xml:space="preserve">Prevent cross-tenant data leakage in shared infrastructure environments.</w:t>
      </w:r>
    </w:p>
    <w:p>
      <w:pPr>
        <w:pStyle w:val="ListParagraph"/>
        <w:numPr>
          <w:ilvl w:val="0"/>
          <w:numId w:val="2"/>
        </w:numPr>
        <w:spacing w:before="40" w:after="40" w:line="276"/>
      </w:pPr>
      <w:r>
        <w:rPr>
          <w:rFonts w:ascii="Arial" w:cs="Arial" w:eastAsia="Arial" w:hAnsi="Arial"/>
          <w:color w:val="333333"/>
          <w:sz w:val="21"/>
          <w:szCs w:val="21"/>
        </w:rPr>
        <w:t xml:space="preserve">Prevent the system from impersonating users, administrators, other systems, or external entities.</w:t>
      </w:r>
    </w:p>
    <w:p>
      <w:pPr>
        <w:pStyle w:val="ListParagraph"/>
        <w:numPr>
          <w:ilvl w:val="0"/>
          <w:numId w:val="2"/>
        </w:numPr>
        <w:spacing w:before="40" w:after="40" w:line="276"/>
      </w:pPr>
      <w:r>
        <w:rPr>
          <w:rFonts w:ascii="Arial" w:cs="Arial" w:eastAsia="Arial" w:hAnsi="Arial"/>
          <w:color w:val="333333"/>
          <w:sz w:val="21"/>
          <w:szCs w:val="21"/>
        </w:rPr>
        <w:t xml:space="preserve">Implement session-scoped permissions that do not persist beyond their authorized context.</w:t>
      </w:r>
    </w:p>
    <w:p>
      <w:pPr>
        <w:pStyle w:val="ListParagraph"/>
        <w:numPr>
          <w:ilvl w:val="0"/>
          <w:numId w:val="2"/>
        </w:numPr>
        <w:spacing w:before="40" w:after="40" w:line="276"/>
      </w:pPr>
      <w:r>
        <w:rPr>
          <w:rFonts w:ascii="Arial" w:cs="Arial" w:eastAsia="Arial" w:hAnsi="Arial"/>
          <w:color w:val="333333"/>
          <w:sz w:val="21"/>
          <w:szCs w:val="21"/>
        </w:rPr>
        <w:t xml:space="preserve">Validate permission assertions against authoritative identity providers at each access decision point.</w:t>
      </w:r>
    </w:p>
    <w:p>
      <w:pPr>
        <w:pStyle w:val="ListParagraph"/>
        <w:numPr>
          <w:ilvl w:val="0"/>
          <w:numId w:val="2"/>
        </w:numPr>
        <w:spacing w:before="40" w:after="40" w:line="276"/>
      </w:pPr>
      <w:r>
        <w:rPr>
          <w:rFonts w:ascii="Arial" w:cs="Arial" w:eastAsia="Arial" w:hAnsi="Arial"/>
          <w:color w:val="333333"/>
          <w:sz w:val="21"/>
          <w:szCs w:val="21"/>
        </w:rPr>
        <w:t xml:space="preserve">Detect and reject permission grants from unauthorized sources including injected instructions claiming elevated authority.</w:t>
      </w:r>
    </w:p>
    <w:p>
      <w:pPr>
        <w:pStyle w:val="ListParagraph"/>
        <w:numPr>
          <w:ilvl w:val="0"/>
          <w:numId w:val="2"/>
        </w:numPr>
        <w:spacing w:before="40" w:after="40" w:line="276"/>
      </w:pPr>
      <w:r>
        <w:rPr>
          <w:rFonts w:ascii="Arial" w:cs="Arial" w:eastAsia="Arial" w:hAnsi="Arial"/>
          <w:color w:val="333333"/>
          <w:sz w:val="21"/>
          <w:szCs w:val="21"/>
        </w:rPr>
        <w:t xml:space="preserve">Maintain comprehensive identity and access audit logs.</w:t>
      </w:r>
    </w:p>
    <w:p>
      <w:pPr>
        <w:pStyle w:val="ListParagraph"/>
        <w:numPr>
          <w:ilvl w:val="0"/>
          <w:numId w:val="2"/>
        </w:numPr>
        <w:spacing w:before="40" w:after="40" w:line="276"/>
      </w:pPr>
      <w:r>
        <w:rPr>
          <w:rFonts w:ascii="Arial" w:cs="Arial" w:eastAsia="Arial" w:hAnsi="Arial"/>
          <w:color w:val="333333"/>
          <w:sz w:val="21"/>
          <w:szCs w:val="21"/>
        </w:rPr>
        <w:t xml:space="preserve">Implement credential management controls preventing credential exposure in logs, outputs, or error messages.</w:t>
      </w:r>
    </w:p>
    <w:p>
      <w:pPr>
        <w:pStyle w:val="ListParagraph"/>
        <w:numPr>
          <w:ilvl w:val="0"/>
          <w:numId w:val="2"/>
        </w:numPr>
        <w:spacing w:before="40" w:after="40" w:line="276"/>
      </w:pPr>
      <w:r>
        <w:rPr>
          <w:rFonts w:ascii="Arial" w:cs="Arial" w:eastAsia="Arial" w:hAnsi="Arial"/>
          <w:color w:val="333333"/>
          <w:sz w:val="21"/>
          <w:szCs w:val="21"/>
        </w:rPr>
        <w:t xml:space="preserve">Enforce separation of duties where a single autonomous process cannot both authorize and execute high-impact actions.</w:t>
      </w:r>
    </w:p>
    <w:p>
      <w:pPr>
        <w:pStyle w:val="Heading2"/>
        <w:spacing w:before="280" w:after="160"/>
      </w:pPr>
      <w:r>
        <w:rPr>
          <w:rFonts w:ascii="Arial" w:cs="Arial" w:eastAsia="Arial" w:hAnsi="Arial"/>
          <w:b/>
          <w:bCs/>
          <w:color w:val="2E4A7A"/>
          <w:sz w:val="26"/>
          <w:szCs w:val="26"/>
        </w:rPr>
        <w:t xml:space="preserve">4.2 ACR Coverage</w:t>
      </w:r>
    </w:p>
    <w:p>
      <w:pPr>
        <w:spacing w:before="80" w:after="80" w:line="276"/>
        <w:jc w:val="both"/>
      </w:pPr>
      <w:r>
        <w:rPr>
          <w:rFonts w:ascii="Arial" w:cs="Arial" w:eastAsia="Arial" w:hAnsi="Arial"/>
          <w:i w:val="false"/>
          <w:iCs w:val="false"/>
          <w:color w:val="333333"/>
          <w:sz w:val="21"/>
          <w:szCs w:val="21"/>
        </w:rPr>
        <w:t xml:space="preserve">Domain 4 contains </w:t>
      </w:r>
      <w:r>
        <w:rPr>
          <w:rFonts w:ascii="Arial" w:cs="Arial" w:eastAsia="Arial" w:hAnsi="Arial"/>
          <w:b/>
          <w:bCs/>
          <w:color w:val="333333"/>
          <w:sz w:val="21"/>
          <w:szCs w:val="21"/>
        </w:rPr>
        <w:t xml:space="preserve">22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ACR-4.01: The system SHALL NOT escalate its own permissions through any mechanism. [Evidence: Privilege escalation test suite results.]</w:t>
      </w:r>
    </w:p>
    <w:p>
      <w:pPr>
        <w:spacing w:before="40" w:after="40" w:line="276"/>
        <w:ind w:left="480"/>
      </w:pPr>
      <w:r>
        <w:rPr>
          <w:rFonts w:ascii="Courier New" w:cs="Courier New" w:eastAsia="Courier New" w:hAnsi="Courier New"/>
          <w:color w:val="333333"/>
          <w:sz w:val="18"/>
          <w:szCs w:val="18"/>
        </w:rPr>
        <w:t xml:space="preserve">ACR-4.06: In multi-tenant environments, the system SHALL maintain strict data isolation between tenants. [Evidence: Cross-tenant access test results.]</w:t>
      </w:r>
    </w:p>
    <w:p>
      <w:pPr>
        <w:spacing w:before="100" w:after="0"/>
      </w:pPr>
    </w:p>
    <w:p>
      <w:pPr>
        <w:pStyle w:val="Heading1"/>
        <w:spacing w:before="360" w:after="200"/>
      </w:pPr>
      <w:r>
        <w:rPr>
          <w:rFonts w:ascii="Arial" w:cs="Arial" w:eastAsia="Arial" w:hAnsi="Arial"/>
          <w:b/>
          <w:bCs/>
          <w:color w:val="1B2A4A"/>
          <w:sz w:val="32"/>
          <w:szCs w:val="32"/>
        </w:rPr>
        <w:t xml:space="preserve">Domain 5 — Failure Mode Containment</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when an autonomous system fails, it fails safely, predictably, and without cascading damage to connected systems, data, or operations.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All systems fail. The measure of reliability is not the absence of failure but the containment of its impact. Autonomous systems must detect failures, contain their blast radius, and recover to a known safe state.</w:t>
      </w:r>
    </w:p>
    <w:p>
      <w:pPr>
        <w:pStyle w:val="Heading2"/>
        <w:spacing w:before="280" w:after="160"/>
      </w:pPr>
      <w:r>
        <w:rPr>
          <w:rFonts w:ascii="Arial" w:cs="Arial" w:eastAsia="Arial" w:hAnsi="Arial"/>
          <w:b/>
          <w:bCs/>
          <w:color w:val="2E4A7A"/>
          <w:sz w:val="26"/>
          <w:szCs w:val="26"/>
        </w:rPr>
        <w:t xml:space="preserve">5.1 Mandatory Requirements</w:t>
      </w:r>
    </w:p>
    <w:p>
      <w:pPr>
        <w:pStyle w:val="ListParagraph"/>
        <w:numPr>
          <w:ilvl w:val="0"/>
          <w:numId w:val="2"/>
        </w:numPr>
        <w:spacing w:before="40" w:after="40" w:line="276"/>
      </w:pPr>
      <w:r>
        <w:rPr>
          <w:rFonts w:ascii="Arial" w:cs="Arial" w:eastAsia="Arial" w:hAnsi="Arial"/>
          <w:color w:val="333333"/>
          <w:sz w:val="21"/>
          <w:szCs w:val="21"/>
        </w:rPr>
        <w:t xml:space="preserve">Detect anomalous outputs including outputs that deviate significantly from expected distributions, violate format constraints, or contain impossible values.</w:t>
      </w:r>
    </w:p>
    <w:p>
      <w:pPr>
        <w:pStyle w:val="ListParagraph"/>
        <w:numPr>
          <w:ilvl w:val="0"/>
          <w:numId w:val="2"/>
        </w:numPr>
        <w:spacing w:before="40" w:after="40" w:line="276"/>
      </w:pPr>
      <w:r>
        <w:rPr>
          <w:rFonts w:ascii="Arial" w:cs="Arial" w:eastAsia="Arial" w:hAnsi="Arial"/>
          <w:color w:val="333333"/>
          <w:sz w:val="21"/>
          <w:szCs w:val="21"/>
        </w:rPr>
        <w:t xml:space="preserve">Enter a defined safe fallback state upon detection of critical failures, with the safe state documented and tested.</w:t>
      </w:r>
    </w:p>
    <w:p>
      <w:pPr>
        <w:pStyle w:val="ListParagraph"/>
        <w:numPr>
          <w:ilvl w:val="0"/>
          <w:numId w:val="2"/>
        </w:numPr>
        <w:spacing w:before="40" w:after="40" w:line="276"/>
      </w:pPr>
      <w:r>
        <w:rPr>
          <w:rFonts w:ascii="Arial" w:cs="Arial" w:eastAsia="Arial" w:hAnsi="Arial"/>
          <w:color w:val="333333"/>
          <w:sz w:val="21"/>
          <w:szCs w:val="21"/>
        </w:rPr>
        <w:t xml:space="preserve">Escalate critical failures to human operators with sufficient context for informed intervention.</w:t>
      </w:r>
    </w:p>
    <w:p>
      <w:pPr>
        <w:pStyle w:val="ListParagraph"/>
        <w:numPr>
          <w:ilvl w:val="0"/>
          <w:numId w:val="2"/>
        </w:numPr>
        <w:spacing w:before="40" w:after="40" w:line="276"/>
      </w:pPr>
      <w:r>
        <w:rPr>
          <w:rFonts w:ascii="Arial" w:cs="Arial" w:eastAsia="Arial" w:hAnsi="Arial"/>
          <w:color w:val="333333"/>
          <w:sz w:val="21"/>
          <w:szCs w:val="21"/>
        </w:rPr>
        <w:t xml:space="preserve">Prevent cascading failure across subsystems through isolation mechanisms including circuit breakers, bulkheads, and graceful degradation.</w:t>
      </w:r>
    </w:p>
    <w:p>
      <w:pPr>
        <w:pStyle w:val="ListParagraph"/>
        <w:numPr>
          <w:ilvl w:val="0"/>
          <w:numId w:val="2"/>
        </w:numPr>
        <w:spacing w:before="40" w:after="40" w:line="276"/>
      </w:pPr>
      <w:r>
        <w:rPr>
          <w:rFonts w:ascii="Arial" w:cs="Arial" w:eastAsia="Arial" w:hAnsi="Arial"/>
          <w:color w:val="333333"/>
          <w:sz w:val="21"/>
          <w:szCs w:val="21"/>
        </w:rPr>
        <w:t xml:space="preserve">Implement timeout mechanisms for all operations with defined maximum execution durations.</w:t>
      </w:r>
    </w:p>
    <w:p>
      <w:pPr>
        <w:pStyle w:val="ListParagraph"/>
        <w:numPr>
          <w:ilvl w:val="0"/>
          <w:numId w:val="2"/>
        </w:numPr>
        <w:spacing w:before="40" w:after="40" w:line="276"/>
      </w:pPr>
      <w:r>
        <w:rPr>
          <w:rFonts w:ascii="Arial" w:cs="Arial" w:eastAsia="Arial" w:hAnsi="Arial"/>
          <w:color w:val="333333"/>
          <w:sz w:val="21"/>
          <w:szCs w:val="21"/>
        </w:rPr>
        <w:t xml:space="preserve">Maintain operation idempotency where possible to prevent duplicate actions during retry sequences.</w:t>
      </w:r>
    </w:p>
    <w:p>
      <w:pPr>
        <w:pStyle w:val="ListParagraph"/>
        <w:numPr>
          <w:ilvl w:val="0"/>
          <w:numId w:val="2"/>
        </w:numPr>
        <w:spacing w:before="40" w:after="40" w:line="276"/>
      </w:pPr>
      <w:r>
        <w:rPr>
          <w:rFonts w:ascii="Arial" w:cs="Arial" w:eastAsia="Arial" w:hAnsi="Arial"/>
          <w:color w:val="333333"/>
          <w:sz w:val="21"/>
          <w:szCs w:val="21"/>
        </w:rPr>
        <w:t xml:space="preserve">Implement transaction rollback capabilities for operations that support reversal.</w:t>
      </w:r>
    </w:p>
    <w:p>
      <w:pPr>
        <w:pStyle w:val="ListParagraph"/>
        <w:numPr>
          <w:ilvl w:val="0"/>
          <w:numId w:val="2"/>
        </w:numPr>
        <w:spacing w:before="40" w:after="40" w:line="276"/>
      </w:pPr>
      <w:r>
        <w:rPr>
          <w:rFonts w:ascii="Arial" w:cs="Arial" w:eastAsia="Arial" w:hAnsi="Arial"/>
          <w:color w:val="333333"/>
          <w:sz w:val="21"/>
          <w:szCs w:val="21"/>
        </w:rPr>
        <w:t xml:space="preserve">Detect and handle resource exhaustion conditions including memory, compute, storage, and API rate limits.</w:t>
      </w:r>
    </w:p>
    <w:p>
      <w:pPr>
        <w:pStyle w:val="ListParagraph"/>
        <w:numPr>
          <w:ilvl w:val="0"/>
          <w:numId w:val="2"/>
        </w:numPr>
        <w:spacing w:before="40" w:after="40" w:line="276"/>
      </w:pPr>
      <w:r>
        <w:rPr>
          <w:rFonts w:ascii="Arial" w:cs="Arial" w:eastAsia="Arial" w:hAnsi="Arial"/>
          <w:color w:val="333333"/>
          <w:sz w:val="21"/>
          <w:szCs w:val="21"/>
        </w:rPr>
        <w:t xml:space="preserve">Define and maintain a failure taxonomy classifying failure modes by severity, impact, and required response.</w:t>
      </w:r>
    </w:p>
    <w:p>
      <w:pPr>
        <w:pStyle w:val="ListParagraph"/>
        <w:numPr>
          <w:ilvl w:val="0"/>
          <w:numId w:val="2"/>
        </w:numPr>
        <w:spacing w:before="40" w:after="40" w:line="276"/>
      </w:pPr>
      <w:r>
        <w:rPr>
          <w:rFonts w:ascii="Arial" w:cs="Arial" w:eastAsia="Arial" w:hAnsi="Arial"/>
          <w:color w:val="333333"/>
          <w:sz w:val="21"/>
          <w:szCs w:val="21"/>
        </w:rPr>
        <w:t xml:space="preserve">Test all defined failure modes through deliberate fault injection to verify containment effectiveness.</w:t>
      </w:r>
    </w:p>
    <w:p>
      <w:pPr>
        <w:pStyle w:val="Heading2"/>
        <w:spacing w:before="280" w:after="160"/>
      </w:pPr>
      <w:r>
        <w:rPr>
          <w:rFonts w:ascii="Arial" w:cs="Arial" w:eastAsia="Arial" w:hAnsi="Arial"/>
          <w:b/>
          <w:bCs/>
          <w:color w:val="2E4A7A"/>
          <w:sz w:val="26"/>
          <w:szCs w:val="26"/>
        </w:rPr>
        <w:t xml:space="preserve">5.2 ACR Coverage</w:t>
      </w:r>
    </w:p>
    <w:p>
      <w:pPr>
        <w:spacing w:before="80" w:after="80" w:line="276"/>
        <w:jc w:val="both"/>
      </w:pPr>
      <w:r>
        <w:rPr>
          <w:rFonts w:ascii="Arial" w:cs="Arial" w:eastAsia="Arial" w:hAnsi="Arial"/>
          <w:i w:val="false"/>
          <w:iCs w:val="false"/>
          <w:color w:val="333333"/>
          <w:sz w:val="21"/>
          <w:szCs w:val="21"/>
        </w:rPr>
        <w:t xml:space="preserve">Domain 5 contains </w:t>
      </w:r>
      <w:r>
        <w:rPr>
          <w:rFonts w:ascii="Arial" w:cs="Arial" w:eastAsia="Arial" w:hAnsi="Arial"/>
          <w:b/>
          <w:bCs/>
          <w:color w:val="333333"/>
          <w:sz w:val="21"/>
          <w:szCs w:val="21"/>
        </w:rPr>
        <w:t xml:space="preserve">28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ACR-5.01: The system SHALL detect outputs that deviate from expected distributions by more than defined thresholds. [Evidence: Anomaly detection test results.]</w:t>
      </w:r>
    </w:p>
    <w:p>
      <w:pPr>
        <w:spacing w:before="40" w:after="40" w:line="276"/>
        <w:ind w:left="480"/>
      </w:pPr>
      <w:r>
        <w:rPr>
          <w:rFonts w:ascii="Courier New" w:cs="Courier New" w:eastAsia="Courier New" w:hAnsi="Courier New"/>
          <w:color w:val="333333"/>
          <w:sz w:val="18"/>
          <w:szCs w:val="18"/>
        </w:rPr>
        <w:t xml:space="preserve">ACR-5.04: Upon critical failure detection, the system SHALL enter a documented safe fallback state within defined time bounds. [Evidence: Fault injection test results with timing measurements.]</w:t>
      </w:r>
    </w:p>
    <w:p>
      <w:pPr>
        <w:spacing w:before="40" w:after="40" w:line="276"/>
        <w:ind w:left="480"/>
      </w:pPr>
      <w:r>
        <w:rPr>
          <w:rFonts w:ascii="Courier New" w:cs="Courier New" w:eastAsia="Courier New" w:hAnsi="Courier New"/>
          <w:color w:val="333333"/>
          <w:sz w:val="18"/>
          <w:szCs w:val="18"/>
        </w:rPr>
        <w:t xml:space="preserve">ACR-5.08: The system SHALL implement circuit breakers preventing cascading failure to connected subsystems. [Evidence: Cascade failure test results.]</w:t>
      </w:r>
    </w:p>
    <w:p>
      <w:pPr>
        <w:spacing w:before="100" w:after="0"/>
      </w:pPr>
    </w:p>
    <w:p>
      <w:pPr>
        <w:pStyle w:val="Heading1"/>
        <w:spacing w:before="360" w:after="200"/>
      </w:pPr>
      <w:r>
        <w:rPr>
          <w:rFonts w:ascii="Arial" w:cs="Arial" w:eastAsia="Arial" w:hAnsi="Arial"/>
          <w:b/>
          <w:bCs/>
          <w:color w:val="1B2A4A"/>
          <w:sz w:val="32"/>
          <w:szCs w:val="32"/>
        </w:rPr>
        <w:t xml:space="preserve">Domain 6 — Behavioral Reliability Under Stress</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verify that autonomous systems maintain consistent, predictable behavior under adverse operating conditions including high load, extended operation, degraded inputs, and resource constraints.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Reliability is proven under stress, not under ideal conditions. A system that performs well in testing but degrades in production under load, over time, or with imperfect inputs is not reliable.</w:t>
      </w:r>
    </w:p>
    <w:p>
      <w:pPr>
        <w:pStyle w:val="Heading2"/>
        <w:spacing w:before="280" w:after="160"/>
      </w:pPr>
      <w:r>
        <w:rPr>
          <w:rFonts w:ascii="Arial" w:cs="Arial" w:eastAsia="Arial" w:hAnsi="Arial"/>
          <w:b/>
          <w:bCs/>
          <w:color w:val="2E4A7A"/>
          <w:sz w:val="26"/>
          <w:szCs w:val="26"/>
        </w:rPr>
        <w:t xml:space="preserve">6.1 Mandatory Requirements</w:t>
      </w:r>
    </w:p>
    <w:p>
      <w:pPr>
        <w:pStyle w:val="ListParagraph"/>
        <w:numPr>
          <w:ilvl w:val="0"/>
          <w:numId w:val="2"/>
        </w:numPr>
        <w:spacing w:before="40" w:after="40" w:line="276"/>
      </w:pPr>
      <w:r>
        <w:rPr>
          <w:rFonts w:ascii="Arial" w:cs="Arial" w:eastAsia="Arial" w:hAnsi="Arial"/>
          <w:color w:val="333333"/>
          <w:sz w:val="21"/>
          <w:szCs w:val="21"/>
        </w:rPr>
        <w:t xml:space="preserve">Maintain multi-turn coherence in conversational or sequential-decision systems without losing context or contradicting prior outputs.</w:t>
      </w:r>
    </w:p>
    <w:p>
      <w:pPr>
        <w:pStyle w:val="ListParagraph"/>
        <w:numPr>
          <w:ilvl w:val="0"/>
          <w:numId w:val="2"/>
        </w:numPr>
        <w:spacing w:before="40" w:after="40" w:line="276"/>
      </w:pPr>
      <w:r>
        <w:rPr>
          <w:rFonts w:ascii="Arial" w:cs="Arial" w:eastAsia="Arial" w:hAnsi="Arial"/>
          <w:color w:val="333333"/>
          <w:sz w:val="21"/>
          <w:szCs w:val="21"/>
        </w:rPr>
        <w:t xml:space="preserve">Resist context compression degradation where system performance degrades as operational context grows beyond optimal ranges.</w:t>
      </w:r>
    </w:p>
    <w:p>
      <w:pPr>
        <w:pStyle w:val="ListParagraph"/>
        <w:numPr>
          <w:ilvl w:val="0"/>
          <w:numId w:val="2"/>
        </w:numPr>
        <w:spacing w:before="40" w:after="40" w:line="276"/>
      </w:pPr>
      <w:r>
        <w:rPr>
          <w:rFonts w:ascii="Arial" w:cs="Arial" w:eastAsia="Arial" w:hAnsi="Arial"/>
          <w:color w:val="333333"/>
          <w:sz w:val="21"/>
          <w:szCs w:val="21"/>
        </w:rPr>
        <w:t xml:space="preserve">Preserve memory integrity across extended operation sessions without corruption, confusion, or fabrication of historical state.</w:t>
      </w:r>
    </w:p>
    <w:p>
      <w:pPr>
        <w:pStyle w:val="ListParagraph"/>
        <w:numPr>
          <w:ilvl w:val="0"/>
          <w:numId w:val="2"/>
        </w:numPr>
        <w:spacing w:before="40" w:after="40" w:line="276"/>
      </w:pPr>
      <w:r>
        <w:rPr>
          <w:rFonts w:ascii="Arial" w:cs="Arial" w:eastAsia="Arial" w:hAnsi="Arial"/>
          <w:color w:val="333333"/>
          <w:sz w:val="21"/>
          <w:szCs w:val="21"/>
        </w:rPr>
        <w:t xml:space="preserve">Avoid state corruption under concurrent access, high-throughput, or resource-constrained conditions.</w:t>
      </w:r>
    </w:p>
    <w:p>
      <w:pPr>
        <w:pStyle w:val="ListParagraph"/>
        <w:numPr>
          <w:ilvl w:val="0"/>
          <w:numId w:val="2"/>
        </w:numPr>
        <w:spacing w:before="40" w:after="40" w:line="276"/>
      </w:pPr>
      <w:r>
        <w:rPr>
          <w:rFonts w:ascii="Arial" w:cs="Arial" w:eastAsia="Arial" w:hAnsi="Arial"/>
          <w:color w:val="333333"/>
          <w:sz w:val="21"/>
          <w:szCs w:val="21"/>
        </w:rPr>
        <w:t xml:space="preserve">Maintain behavioral consistency across model or component version transitions.</w:t>
      </w:r>
    </w:p>
    <w:p>
      <w:pPr>
        <w:pStyle w:val="ListParagraph"/>
        <w:numPr>
          <w:ilvl w:val="0"/>
          <w:numId w:val="2"/>
        </w:numPr>
        <w:spacing w:before="40" w:after="40" w:line="276"/>
      </w:pPr>
      <w:r>
        <w:rPr>
          <w:rFonts w:ascii="Arial" w:cs="Arial" w:eastAsia="Arial" w:hAnsi="Arial"/>
          <w:color w:val="333333"/>
          <w:sz w:val="21"/>
          <w:szCs w:val="21"/>
        </w:rPr>
        <w:t xml:space="preserve">Demonstrate graceful degradation under resource constraints rather than catastrophic failure.</w:t>
      </w:r>
    </w:p>
    <w:p>
      <w:pPr>
        <w:pStyle w:val="ListParagraph"/>
        <w:numPr>
          <w:ilvl w:val="0"/>
          <w:numId w:val="2"/>
        </w:numPr>
        <w:spacing w:before="40" w:after="40" w:line="276"/>
      </w:pPr>
      <w:r>
        <w:rPr>
          <w:rFonts w:ascii="Arial" w:cs="Arial" w:eastAsia="Arial" w:hAnsi="Arial"/>
          <w:color w:val="333333"/>
          <w:sz w:val="21"/>
          <w:szCs w:val="21"/>
        </w:rPr>
        <w:t xml:space="preserve">Maintain decision quality within acceptable bounds under time pressure and latency spikes.</w:t>
      </w:r>
    </w:p>
    <w:p>
      <w:pPr>
        <w:pStyle w:val="ListParagraph"/>
        <w:numPr>
          <w:ilvl w:val="0"/>
          <w:numId w:val="2"/>
        </w:numPr>
        <w:spacing w:before="40" w:after="40" w:line="276"/>
      </w:pPr>
      <w:r>
        <w:rPr>
          <w:rFonts w:ascii="Arial" w:cs="Arial" w:eastAsia="Arial" w:hAnsi="Arial"/>
          <w:color w:val="333333"/>
          <w:sz w:val="21"/>
          <w:szCs w:val="21"/>
        </w:rPr>
        <w:t xml:space="preserve">Resist input quality degradation including malformed, incomplete, or noisy input data without producing unreliable outputs.</w:t>
      </w:r>
    </w:p>
    <w:p>
      <w:pPr>
        <w:pStyle w:val="ListParagraph"/>
        <w:numPr>
          <w:ilvl w:val="0"/>
          <w:numId w:val="2"/>
        </w:numPr>
        <w:spacing w:before="40" w:after="40" w:line="276"/>
      </w:pPr>
      <w:r>
        <w:rPr>
          <w:rFonts w:ascii="Arial" w:cs="Arial" w:eastAsia="Arial" w:hAnsi="Arial"/>
          <w:color w:val="333333"/>
          <w:sz w:val="21"/>
          <w:szCs w:val="21"/>
        </w:rPr>
        <w:t xml:space="preserve">Demonstrate stable performance across extended runtime durations including 24/7 operational scenarios.</w:t>
      </w:r>
    </w:p>
    <w:p>
      <w:pPr>
        <w:pStyle w:val="ListParagraph"/>
        <w:numPr>
          <w:ilvl w:val="0"/>
          <w:numId w:val="2"/>
        </w:numPr>
        <w:spacing w:before="40" w:after="40" w:line="276"/>
      </w:pPr>
      <w:r>
        <w:rPr>
          <w:rFonts w:ascii="Arial" w:cs="Arial" w:eastAsia="Arial" w:hAnsi="Arial"/>
          <w:color w:val="333333"/>
          <w:sz w:val="21"/>
          <w:szCs w:val="21"/>
        </w:rPr>
        <w:t xml:space="preserve">Maintain behavioral reliability when operating at throughput levels exceeding normal operating parameters by defined stress multiples.</w:t>
      </w:r>
    </w:p>
    <w:p>
      <w:pPr>
        <w:pStyle w:val="Heading2"/>
        <w:spacing w:before="280" w:after="160"/>
      </w:pPr>
      <w:r>
        <w:rPr>
          <w:rFonts w:ascii="Arial" w:cs="Arial" w:eastAsia="Arial" w:hAnsi="Arial"/>
          <w:b/>
          <w:bCs/>
          <w:color w:val="2E4A7A"/>
          <w:sz w:val="26"/>
          <w:szCs w:val="26"/>
        </w:rPr>
        <w:t xml:space="preserve">6.2 ACR Coverage</w:t>
      </w:r>
    </w:p>
    <w:p>
      <w:pPr>
        <w:spacing w:before="80" w:after="80" w:line="276"/>
        <w:jc w:val="both"/>
      </w:pPr>
      <w:r>
        <w:rPr>
          <w:rFonts w:ascii="Arial" w:cs="Arial" w:eastAsia="Arial" w:hAnsi="Arial"/>
          <w:i w:val="false"/>
          <w:iCs w:val="false"/>
          <w:color w:val="333333"/>
          <w:sz w:val="21"/>
          <w:szCs w:val="21"/>
        </w:rPr>
        <w:t xml:space="preserve">Domain 6 contains </w:t>
      </w:r>
      <w:r>
        <w:rPr>
          <w:rFonts w:ascii="Arial" w:cs="Arial" w:eastAsia="Arial" w:hAnsi="Arial"/>
          <w:b/>
          <w:bCs/>
          <w:color w:val="333333"/>
          <w:sz w:val="21"/>
          <w:szCs w:val="21"/>
        </w:rPr>
        <w:t xml:space="preserve">32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ACR-6.01: The system SHALL maintain multi-turn coherence with no contradictions over sessions of at least [defined length]. [Evidence: Multi-turn consistency test results.]</w:t>
      </w:r>
    </w:p>
    <w:p>
      <w:pPr>
        <w:spacing w:before="40" w:after="40" w:line="276"/>
        <w:ind w:left="480"/>
      </w:pPr>
      <w:r>
        <w:rPr>
          <w:rFonts w:ascii="Courier New" w:cs="Courier New" w:eastAsia="Courier New" w:hAnsi="Courier New"/>
          <w:color w:val="333333"/>
          <w:sz w:val="18"/>
          <w:szCs w:val="18"/>
        </w:rPr>
        <w:t xml:space="preserve">ACR-6.05: System behavior SHALL remain within defined tolerance bands when operating at 2x normal throughput for sustained periods. [Evidence: Stress test results.]</w:t>
      </w:r>
    </w:p>
    <w:p>
      <w:pPr>
        <w:spacing w:before="100" w:after="0"/>
      </w:pPr>
    </w:p>
    <w:p>
      <w:pPr>
        <w:pStyle w:val="Heading1"/>
        <w:spacing w:before="360" w:after="200"/>
      </w:pPr>
      <w:r>
        <w:rPr>
          <w:rFonts w:ascii="Arial" w:cs="Arial" w:eastAsia="Arial" w:hAnsi="Arial"/>
          <w:b/>
          <w:bCs/>
          <w:color w:val="1B2A4A"/>
          <w:sz w:val="32"/>
          <w:szCs w:val="32"/>
        </w:rPr>
        <w:t xml:space="preserve">Domain 7 — Adversarial Robustness</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autonomous systems maintain behavioral reliability when subjected to intentional manipulation by malicious actors, including prompt injection, context poisoning, role confusion, and tool-based attacks.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Adversarial attacks on autonomous systems are not hypothetical; they are a present and escalating threat. A system that cannot resist deliberate manipulation is not safe for autonomous deployment.</w:t>
      </w:r>
    </w:p>
    <w:p>
      <w:pPr>
        <w:pStyle w:val="Heading2"/>
        <w:spacing w:before="280" w:after="160"/>
      </w:pPr>
      <w:r>
        <w:rPr>
          <w:rFonts w:ascii="Arial" w:cs="Arial" w:eastAsia="Arial" w:hAnsi="Arial"/>
          <w:b/>
          <w:bCs/>
          <w:color w:val="2E4A7A"/>
          <w:sz w:val="26"/>
          <w:szCs w:val="26"/>
        </w:rPr>
        <w:t xml:space="preserve">7.1 Mandatory Requirements</w:t>
      </w:r>
    </w:p>
    <w:p>
      <w:pPr>
        <w:pStyle w:val="ListParagraph"/>
        <w:numPr>
          <w:ilvl w:val="0"/>
          <w:numId w:val="2"/>
        </w:numPr>
        <w:spacing w:before="40" w:after="40" w:line="276"/>
      </w:pPr>
      <w:r>
        <w:rPr>
          <w:rFonts w:ascii="Arial" w:cs="Arial" w:eastAsia="Arial" w:hAnsi="Arial"/>
          <w:color w:val="333333"/>
          <w:sz w:val="21"/>
          <w:szCs w:val="21"/>
        </w:rPr>
        <w:t xml:space="preserve">Resist direct prompt injection attacks where malicious instructions are inserted into user inputs.</w:t>
      </w:r>
    </w:p>
    <w:p>
      <w:pPr>
        <w:pStyle w:val="ListParagraph"/>
        <w:numPr>
          <w:ilvl w:val="0"/>
          <w:numId w:val="2"/>
        </w:numPr>
        <w:spacing w:before="40" w:after="40" w:line="276"/>
      </w:pPr>
      <w:r>
        <w:rPr>
          <w:rFonts w:ascii="Arial" w:cs="Arial" w:eastAsia="Arial" w:hAnsi="Arial"/>
          <w:color w:val="333333"/>
          <w:sz w:val="21"/>
          <w:szCs w:val="21"/>
        </w:rPr>
        <w:t xml:space="preserve">Resist indirect prompt injection where malicious instructions are embedded in data retrieved from external sources.</w:t>
      </w:r>
    </w:p>
    <w:p>
      <w:pPr>
        <w:pStyle w:val="ListParagraph"/>
        <w:numPr>
          <w:ilvl w:val="0"/>
          <w:numId w:val="2"/>
        </w:numPr>
        <w:spacing w:before="40" w:after="40" w:line="276"/>
      </w:pPr>
      <w:r>
        <w:rPr>
          <w:rFonts w:ascii="Arial" w:cs="Arial" w:eastAsia="Arial" w:hAnsi="Arial"/>
          <w:color w:val="333333"/>
          <w:sz w:val="21"/>
          <w:szCs w:val="21"/>
        </w:rPr>
        <w:t xml:space="preserve">Resist role confusion attacks that attempt to alter the system’s operational identity, authority level, or behavioral constraints.</w:t>
      </w:r>
    </w:p>
    <w:p>
      <w:pPr>
        <w:pStyle w:val="ListParagraph"/>
        <w:numPr>
          <w:ilvl w:val="0"/>
          <w:numId w:val="2"/>
        </w:numPr>
        <w:spacing w:before="40" w:after="40" w:line="276"/>
      </w:pPr>
      <w:r>
        <w:rPr>
          <w:rFonts w:ascii="Arial" w:cs="Arial" w:eastAsia="Arial" w:hAnsi="Arial"/>
          <w:color w:val="333333"/>
          <w:sz w:val="21"/>
          <w:szCs w:val="21"/>
        </w:rPr>
        <w:t xml:space="preserve">Resist malicious context insertion where adversarial content is injected into the system’s operational context through data sources, tool outputs, or environmental inputs.</w:t>
      </w:r>
    </w:p>
    <w:p>
      <w:pPr>
        <w:pStyle w:val="ListParagraph"/>
        <w:numPr>
          <w:ilvl w:val="0"/>
          <w:numId w:val="2"/>
        </w:numPr>
        <w:spacing w:before="40" w:after="40" w:line="276"/>
      </w:pPr>
      <w:r>
        <w:rPr>
          <w:rFonts w:ascii="Arial" w:cs="Arial" w:eastAsia="Arial" w:hAnsi="Arial"/>
          <w:color w:val="333333"/>
          <w:sz w:val="21"/>
          <w:szCs w:val="21"/>
        </w:rPr>
        <w:t xml:space="preserve">Detect adversarial tool outputs including manipulated API responses, poisoned data feeds, and compromised external services.</w:t>
      </w:r>
    </w:p>
    <w:p>
      <w:pPr>
        <w:pStyle w:val="ListParagraph"/>
        <w:numPr>
          <w:ilvl w:val="0"/>
          <w:numId w:val="2"/>
        </w:numPr>
        <w:spacing w:before="40" w:after="40" w:line="276"/>
      </w:pPr>
      <w:r>
        <w:rPr>
          <w:rFonts w:ascii="Arial" w:cs="Arial" w:eastAsia="Arial" w:hAnsi="Arial"/>
          <w:color w:val="333333"/>
          <w:sz w:val="21"/>
          <w:szCs w:val="21"/>
        </w:rPr>
        <w:t xml:space="preserve">Resist jailbreaking attempts that seek to override safety constraints, operational boundaries, or behavioral policies.</w:t>
      </w:r>
    </w:p>
    <w:p>
      <w:pPr>
        <w:pStyle w:val="ListParagraph"/>
        <w:numPr>
          <w:ilvl w:val="0"/>
          <w:numId w:val="2"/>
        </w:numPr>
        <w:spacing w:before="40" w:after="40" w:line="276"/>
      </w:pPr>
      <w:r>
        <w:rPr>
          <w:rFonts w:ascii="Arial" w:cs="Arial" w:eastAsia="Arial" w:hAnsi="Arial"/>
          <w:color w:val="333333"/>
          <w:sz w:val="21"/>
          <w:szCs w:val="21"/>
        </w:rPr>
        <w:t xml:space="preserve">Resist multi-step adversarial sequences where individual benign-appearing requests combine to achieve a malicious objective.</w:t>
      </w:r>
    </w:p>
    <w:p>
      <w:pPr>
        <w:pStyle w:val="ListParagraph"/>
        <w:numPr>
          <w:ilvl w:val="0"/>
          <w:numId w:val="2"/>
        </w:numPr>
        <w:spacing w:before="40" w:after="40" w:line="276"/>
      </w:pPr>
      <w:r>
        <w:rPr>
          <w:rFonts w:ascii="Arial" w:cs="Arial" w:eastAsia="Arial" w:hAnsi="Arial"/>
          <w:color w:val="333333"/>
          <w:sz w:val="21"/>
          <w:szCs w:val="21"/>
        </w:rPr>
        <w:t xml:space="preserve">Detect and resist social engineering attacks conducted through natural language interaction.</w:t>
      </w:r>
    </w:p>
    <w:p>
      <w:pPr>
        <w:pStyle w:val="ListParagraph"/>
        <w:numPr>
          <w:ilvl w:val="0"/>
          <w:numId w:val="2"/>
        </w:numPr>
        <w:spacing w:before="40" w:after="40" w:line="276"/>
      </w:pPr>
      <w:r>
        <w:rPr>
          <w:rFonts w:ascii="Arial" w:cs="Arial" w:eastAsia="Arial" w:hAnsi="Arial"/>
          <w:color w:val="333333"/>
          <w:sz w:val="21"/>
          <w:szCs w:val="21"/>
        </w:rPr>
        <w:t xml:space="preserve">Maintain adversarial robustness when operating under stress conditions including high load, degraded inputs, and extended operation.</w:t>
      </w:r>
    </w:p>
    <w:p>
      <w:pPr>
        <w:pStyle w:val="ListParagraph"/>
        <w:numPr>
          <w:ilvl w:val="0"/>
          <w:numId w:val="2"/>
        </w:numPr>
        <w:spacing w:before="40" w:after="40" w:line="276"/>
      </w:pPr>
      <w:r>
        <w:rPr>
          <w:rFonts w:ascii="Arial" w:cs="Arial" w:eastAsia="Arial" w:hAnsi="Arial"/>
          <w:color w:val="333333"/>
          <w:sz w:val="21"/>
          <w:szCs w:val="21"/>
        </w:rPr>
        <w:t xml:space="preserve">Resist model extraction and reverse engineering attempts that could expose system vulnerabilities.</w:t>
      </w:r>
    </w:p>
    <w:p>
      <w:pPr>
        <w:pStyle w:val="ListParagraph"/>
        <w:numPr>
          <w:ilvl w:val="0"/>
          <w:numId w:val="2"/>
        </w:numPr>
        <w:spacing w:before="40" w:after="40" w:line="276"/>
      </w:pPr>
      <w:r>
        <w:rPr>
          <w:rFonts w:ascii="Arial" w:cs="Arial" w:eastAsia="Arial" w:hAnsi="Arial"/>
          <w:color w:val="333333"/>
          <w:sz w:val="21"/>
          <w:szCs w:val="21"/>
        </w:rPr>
        <w:t xml:space="preserve">Implement adversarial input detection and logging for post-incident analysis.</w:t>
      </w:r>
    </w:p>
    <w:p>
      <w:pPr>
        <w:pStyle w:val="ListParagraph"/>
        <w:numPr>
          <w:ilvl w:val="0"/>
          <w:numId w:val="2"/>
        </w:numPr>
        <w:spacing w:before="40" w:after="40" w:line="276"/>
      </w:pPr>
      <w:r>
        <w:rPr>
          <w:rFonts w:ascii="Arial" w:cs="Arial" w:eastAsia="Arial" w:hAnsi="Arial"/>
          <w:color w:val="333333"/>
          <w:sz w:val="21"/>
          <w:szCs w:val="21"/>
        </w:rPr>
        <w:t xml:space="preserve">Undergo periodic red team validation by qualified independent assessors.</w:t>
      </w:r>
    </w:p>
    <w:p>
      <w:pPr>
        <w:pStyle w:val="Heading2"/>
        <w:spacing w:before="280" w:after="160"/>
      </w:pPr>
      <w:r>
        <w:rPr>
          <w:rFonts w:ascii="Arial" w:cs="Arial" w:eastAsia="Arial" w:hAnsi="Arial"/>
          <w:b/>
          <w:bCs/>
          <w:color w:val="2E4A7A"/>
          <w:sz w:val="26"/>
          <w:szCs w:val="26"/>
        </w:rPr>
        <w:t xml:space="preserve">7.2 ACR Coverage</w:t>
      </w:r>
    </w:p>
    <w:p>
      <w:pPr>
        <w:spacing w:before="80" w:after="80" w:line="276"/>
        <w:jc w:val="both"/>
      </w:pPr>
      <w:r>
        <w:rPr>
          <w:rFonts w:ascii="Arial" w:cs="Arial" w:eastAsia="Arial" w:hAnsi="Arial"/>
          <w:i w:val="false"/>
          <w:iCs w:val="false"/>
          <w:color w:val="333333"/>
          <w:sz w:val="21"/>
          <w:szCs w:val="21"/>
        </w:rPr>
        <w:t xml:space="preserve">Domain 7 contains </w:t>
      </w:r>
      <w:r>
        <w:rPr>
          <w:rFonts w:ascii="Arial" w:cs="Arial" w:eastAsia="Arial" w:hAnsi="Arial"/>
          <w:b/>
          <w:bCs/>
          <w:color w:val="333333"/>
          <w:sz w:val="21"/>
          <w:szCs w:val="21"/>
        </w:rPr>
        <w:t xml:space="preserve">38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ACR-7.01: The system SHALL resist direct prompt injection attacks with a pass rate of 95% or higher against a standardized injection test suite. [Evidence: Injection test results.]</w:t>
      </w:r>
    </w:p>
    <w:p>
      <w:pPr>
        <w:spacing w:before="40" w:after="40" w:line="276"/>
        <w:ind w:left="480"/>
      </w:pPr>
      <w:r>
        <w:rPr>
          <w:rFonts w:ascii="Courier New" w:cs="Courier New" w:eastAsia="Courier New" w:hAnsi="Courier New"/>
          <w:color w:val="333333"/>
          <w:sz w:val="18"/>
          <w:szCs w:val="18"/>
        </w:rPr>
        <w:t xml:space="preserve">ACR-7.05: The system SHALL detect and reject role confusion attempts with a pass rate of 95% or higher. [Evidence: Role confusion test results.]</w:t>
      </w:r>
    </w:p>
    <w:p>
      <w:pPr>
        <w:spacing w:before="40" w:after="40" w:line="276"/>
        <w:ind w:left="480"/>
      </w:pPr>
      <w:r>
        <w:rPr>
          <w:rFonts w:ascii="Courier New" w:cs="Courier New" w:eastAsia="Courier New" w:hAnsi="Courier New"/>
          <w:color w:val="333333"/>
          <w:sz w:val="18"/>
          <w:szCs w:val="18"/>
        </w:rPr>
        <w:t xml:space="preserve">ACR-7.10: The system SHALL undergo red team validation by qualified independent assessors at least annually. [Evidence: Red team report.]</w:t>
      </w:r>
    </w:p>
    <w:p>
      <w:pPr>
        <w:spacing w:before="100" w:after="0"/>
      </w:pPr>
    </w:p>
    <w:p>
      <w:pPr>
        <w:pStyle w:val="Heading1"/>
        <w:spacing w:before="360" w:after="200"/>
      </w:pPr>
      <w:r>
        <w:rPr>
          <w:rFonts w:ascii="Arial" w:cs="Arial" w:eastAsia="Arial" w:hAnsi="Arial"/>
          <w:b/>
          <w:bCs/>
          <w:color w:val="1B2A4A"/>
          <w:sz w:val="32"/>
          <w:szCs w:val="32"/>
        </w:rPr>
        <w:t xml:space="preserve">Domain 8 — Drift Detection and Stability</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detect, measure, and respond to changes in autonomous system behavior over time that were not the result of intentional, documented system changes.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Autonomous systems change over time. Models are updated, data distributions shift, and environmental conditions evolve. Drift that goes undetected is a reliability failure waiting to happen.</w:t>
      </w:r>
    </w:p>
    <w:p>
      <w:pPr>
        <w:pStyle w:val="Heading2"/>
        <w:spacing w:before="280" w:after="160"/>
      </w:pPr>
      <w:r>
        <w:rPr>
          <w:rFonts w:ascii="Arial" w:cs="Arial" w:eastAsia="Arial" w:hAnsi="Arial"/>
          <w:b/>
          <w:bCs/>
          <w:color w:val="2E4A7A"/>
          <w:sz w:val="26"/>
          <w:szCs w:val="26"/>
        </w:rPr>
        <w:t xml:space="preserve">8.1 Mandatory Requirements</w:t>
      </w:r>
    </w:p>
    <w:p>
      <w:pPr>
        <w:pStyle w:val="ListParagraph"/>
        <w:numPr>
          <w:ilvl w:val="0"/>
          <w:numId w:val="2"/>
        </w:numPr>
        <w:spacing w:before="40" w:after="40" w:line="276"/>
      </w:pPr>
      <w:r>
        <w:rPr>
          <w:rFonts w:ascii="Arial" w:cs="Arial" w:eastAsia="Arial" w:hAnsi="Arial"/>
          <w:color w:val="333333"/>
          <w:sz w:val="21"/>
          <w:szCs w:val="21"/>
        </w:rPr>
        <w:t xml:space="preserve">Detect output distribution drift using statistical methods appropriate to the system’s output modality.</w:t>
      </w:r>
    </w:p>
    <w:p>
      <w:pPr>
        <w:pStyle w:val="ListParagraph"/>
        <w:numPr>
          <w:ilvl w:val="0"/>
          <w:numId w:val="2"/>
        </w:numPr>
        <w:spacing w:before="40" w:after="40" w:line="276"/>
      </w:pPr>
      <w:r>
        <w:rPr>
          <w:rFonts w:ascii="Arial" w:cs="Arial" w:eastAsia="Arial" w:hAnsi="Arial"/>
          <w:color w:val="333333"/>
          <w:sz w:val="21"/>
          <w:szCs w:val="21"/>
        </w:rPr>
        <w:t xml:space="preserve">Detect behavior variance shifts where the consistency of outputs changes even if the mean remains stable.</w:t>
      </w:r>
    </w:p>
    <w:p>
      <w:pPr>
        <w:pStyle w:val="ListParagraph"/>
        <w:numPr>
          <w:ilvl w:val="0"/>
          <w:numId w:val="2"/>
        </w:numPr>
        <w:spacing w:before="40" w:after="40" w:line="276"/>
      </w:pPr>
      <w:r>
        <w:rPr>
          <w:rFonts w:ascii="Arial" w:cs="Arial" w:eastAsia="Arial" w:hAnsi="Arial"/>
          <w:color w:val="333333"/>
          <w:sz w:val="21"/>
          <w:szCs w:val="21"/>
        </w:rPr>
        <w:t xml:space="preserve">Log all model updates, configuration changes, and data pipeline modifications with timestamps and responsible parties.</w:t>
      </w:r>
    </w:p>
    <w:p>
      <w:pPr>
        <w:pStyle w:val="ListParagraph"/>
        <w:numPr>
          <w:ilvl w:val="0"/>
          <w:numId w:val="2"/>
        </w:numPr>
        <w:spacing w:before="40" w:after="40" w:line="276"/>
      </w:pPr>
      <w:r>
        <w:rPr>
          <w:rFonts w:ascii="Arial" w:cs="Arial" w:eastAsia="Arial" w:hAnsi="Arial"/>
          <w:color w:val="333333"/>
          <w:sz w:val="21"/>
          <w:szCs w:val="21"/>
        </w:rPr>
        <w:t xml:space="preserve">Trigger mandatory revalidation when drift metrics exceed predefined thresholds.</w:t>
      </w:r>
    </w:p>
    <w:p>
      <w:pPr>
        <w:pStyle w:val="ListParagraph"/>
        <w:numPr>
          <w:ilvl w:val="0"/>
          <w:numId w:val="2"/>
        </w:numPr>
        <w:spacing w:before="40" w:after="40" w:line="276"/>
      </w:pPr>
      <w:r>
        <w:rPr>
          <w:rFonts w:ascii="Arial" w:cs="Arial" w:eastAsia="Arial" w:hAnsi="Arial"/>
          <w:color w:val="333333"/>
          <w:sz w:val="21"/>
          <w:szCs w:val="21"/>
        </w:rPr>
        <w:t xml:space="preserve">Establish and maintain behavioral baselines against which drift is measured.</w:t>
      </w:r>
    </w:p>
    <w:p>
      <w:pPr>
        <w:pStyle w:val="ListParagraph"/>
        <w:numPr>
          <w:ilvl w:val="0"/>
          <w:numId w:val="2"/>
        </w:numPr>
        <w:spacing w:before="40" w:after="40" w:line="276"/>
      </w:pPr>
      <w:r>
        <w:rPr>
          <w:rFonts w:ascii="Arial" w:cs="Arial" w:eastAsia="Arial" w:hAnsi="Arial"/>
          <w:color w:val="333333"/>
          <w:sz w:val="21"/>
          <w:szCs w:val="21"/>
        </w:rPr>
        <w:t xml:space="preserve">Distinguish between benign drift (e.g., adaptation to legitimate environmental changes) and harmful drift (e.g., degradation, policy violation).</w:t>
      </w:r>
    </w:p>
    <w:p>
      <w:pPr>
        <w:pStyle w:val="ListParagraph"/>
        <w:numPr>
          <w:ilvl w:val="0"/>
          <w:numId w:val="2"/>
        </w:numPr>
        <w:spacing w:before="40" w:after="40" w:line="276"/>
      </w:pPr>
      <w:r>
        <w:rPr>
          <w:rFonts w:ascii="Arial" w:cs="Arial" w:eastAsia="Arial" w:hAnsi="Arial"/>
          <w:color w:val="333333"/>
          <w:sz w:val="21"/>
          <w:szCs w:val="21"/>
        </w:rPr>
        <w:t xml:space="preserve">Implement automated drift alerting with configurable sensitivity and notification channels.</w:t>
      </w:r>
    </w:p>
    <w:p>
      <w:pPr>
        <w:pStyle w:val="ListParagraph"/>
        <w:numPr>
          <w:ilvl w:val="0"/>
          <w:numId w:val="2"/>
        </w:numPr>
        <w:spacing w:before="40" w:after="40" w:line="276"/>
      </w:pPr>
      <w:r>
        <w:rPr>
          <w:rFonts w:ascii="Arial" w:cs="Arial" w:eastAsia="Arial" w:hAnsi="Arial"/>
          <w:color w:val="333333"/>
          <w:sz w:val="21"/>
          <w:szCs w:val="21"/>
        </w:rPr>
        <w:t xml:space="preserve">Maintain drift measurement history for trend analysis and predictive degradation detection.</w:t>
      </w:r>
    </w:p>
    <w:p>
      <w:pPr>
        <w:pStyle w:val="ListParagraph"/>
        <w:numPr>
          <w:ilvl w:val="0"/>
          <w:numId w:val="2"/>
        </w:numPr>
        <w:spacing w:before="40" w:after="40" w:line="276"/>
      </w:pPr>
      <w:r>
        <w:rPr>
          <w:rFonts w:ascii="Arial" w:cs="Arial" w:eastAsia="Arial" w:hAnsi="Arial"/>
          <w:color w:val="333333"/>
          <w:sz w:val="21"/>
          <w:szCs w:val="21"/>
        </w:rPr>
        <w:t xml:space="preserve">Define rollback procedures for reverting to a known-good behavioral state when harmful drift is detected.</w:t>
      </w:r>
    </w:p>
    <w:p>
      <w:pPr>
        <w:pStyle w:val="ListParagraph"/>
        <w:numPr>
          <w:ilvl w:val="0"/>
          <w:numId w:val="2"/>
        </w:numPr>
        <w:spacing w:before="40" w:after="40" w:line="276"/>
      </w:pPr>
      <w:r>
        <w:rPr>
          <w:rFonts w:ascii="Arial" w:cs="Arial" w:eastAsia="Arial" w:hAnsi="Arial"/>
          <w:color w:val="333333"/>
          <w:sz w:val="21"/>
          <w:szCs w:val="21"/>
        </w:rPr>
        <w:t xml:space="preserve">Test drift detection mechanisms through deliberate injection of known drift patterns.</w:t>
      </w:r>
    </w:p>
    <w:p>
      <w:pPr>
        <w:pStyle w:val="Heading2"/>
        <w:spacing w:before="280" w:after="160"/>
      </w:pPr>
      <w:r>
        <w:rPr>
          <w:rFonts w:ascii="Arial" w:cs="Arial" w:eastAsia="Arial" w:hAnsi="Arial"/>
          <w:b/>
          <w:bCs/>
          <w:color w:val="2E4A7A"/>
          <w:sz w:val="26"/>
          <w:szCs w:val="26"/>
        </w:rPr>
        <w:t xml:space="preserve">8.2 ACR Coverage</w:t>
      </w:r>
    </w:p>
    <w:p>
      <w:pPr>
        <w:spacing w:before="80" w:after="80" w:line="276"/>
        <w:jc w:val="both"/>
      </w:pPr>
      <w:r>
        <w:rPr>
          <w:rFonts w:ascii="Arial" w:cs="Arial" w:eastAsia="Arial" w:hAnsi="Arial"/>
          <w:i w:val="false"/>
          <w:iCs w:val="false"/>
          <w:color w:val="333333"/>
          <w:sz w:val="21"/>
          <w:szCs w:val="21"/>
        </w:rPr>
        <w:t xml:space="preserve">Domain 8 contains </w:t>
      </w:r>
      <w:r>
        <w:rPr>
          <w:rFonts w:ascii="Arial" w:cs="Arial" w:eastAsia="Arial" w:hAnsi="Arial"/>
          <w:b/>
          <w:bCs/>
          <w:color w:val="333333"/>
          <w:sz w:val="21"/>
          <w:szCs w:val="21"/>
        </w:rPr>
        <w:t xml:space="preserve">24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ACR-8.01: The system SHALL implement continuous output distribution monitoring with statistical drift detection. [Evidence: Drift monitoring configuration and baseline documentation.]</w:t>
      </w:r>
    </w:p>
    <w:p>
      <w:pPr>
        <w:spacing w:before="40" w:after="40" w:line="276"/>
        <w:ind w:left="480"/>
      </w:pPr>
      <w:r>
        <w:rPr>
          <w:rFonts w:ascii="Courier New" w:cs="Courier New" w:eastAsia="Courier New" w:hAnsi="Courier New"/>
          <w:color w:val="333333"/>
          <w:sz w:val="18"/>
          <w:szCs w:val="18"/>
        </w:rPr>
        <w:t xml:space="preserve">ACR-8.06: Drift exceeding defined thresholds SHALL trigger automated alerting and mandatory revalidation. [Evidence: Alert configuration and revalidation trigger logs.]</w:t>
      </w:r>
    </w:p>
    <w:p>
      <w:pPr>
        <w:spacing w:before="100" w:after="0"/>
      </w:pPr>
    </w:p>
    <w:p>
      <w:pPr>
        <w:pStyle w:val="Heading1"/>
        <w:spacing w:before="360" w:after="200"/>
      </w:pPr>
      <w:r>
        <w:rPr>
          <w:rFonts w:ascii="Arial" w:cs="Arial" w:eastAsia="Arial" w:hAnsi="Arial"/>
          <w:b/>
          <w:bCs/>
          <w:color w:val="1B2A4A"/>
          <w:sz w:val="32"/>
          <w:szCs w:val="32"/>
        </w:rPr>
        <w:t xml:space="preserve">Domain 9 — Monitoring and Telemetry</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autonomous systems produce comprehensive, reliable, and accessible operational telemetry enabling real-time monitoring, incident response, and post-hoc analysis.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An autonomous system that cannot be observed cannot be trusted. Comprehensive monitoring is not optional; it is a precondition of autonomous deployment.</w:t>
      </w:r>
    </w:p>
    <w:p>
      <w:pPr>
        <w:pStyle w:val="Heading2"/>
        <w:spacing w:before="280" w:after="160"/>
      </w:pPr>
      <w:r>
        <w:rPr>
          <w:rFonts w:ascii="Arial" w:cs="Arial" w:eastAsia="Arial" w:hAnsi="Arial"/>
          <w:b/>
          <w:bCs/>
          <w:color w:val="2E4A7A"/>
          <w:sz w:val="26"/>
          <w:szCs w:val="26"/>
        </w:rPr>
        <w:t xml:space="preserve">9.1 Mandatory Requirements</w:t>
      </w:r>
    </w:p>
    <w:p>
      <w:pPr>
        <w:pStyle w:val="ListParagraph"/>
        <w:numPr>
          <w:ilvl w:val="0"/>
          <w:numId w:val="2"/>
        </w:numPr>
        <w:spacing w:before="40" w:after="40" w:line="276"/>
      </w:pPr>
      <w:r>
        <w:rPr>
          <w:rFonts w:ascii="Arial" w:cs="Arial" w:eastAsia="Arial" w:hAnsi="Arial"/>
          <w:color w:val="333333"/>
          <w:sz w:val="21"/>
          <w:szCs w:val="21"/>
        </w:rPr>
        <w:t xml:space="preserve">Log all action traces with sufficient detail to reconstruct the system’s decision and action sequence.</w:t>
      </w:r>
    </w:p>
    <w:p>
      <w:pPr>
        <w:pStyle w:val="ListParagraph"/>
        <w:numPr>
          <w:ilvl w:val="0"/>
          <w:numId w:val="2"/>
        </w:numPr>
        <w:spacing w:before="40" w:after="40" w:line="276"/>
      </w:pPr>
      <w:r>
        <w:rPr>
          <w:rFonts w:ascii="Arial" w:cs="Arial" w:eastAsia="Arial" w:hAnsi="Arial"/>
          <w:color w:val="333333"/>
          <w:sz w:val="21"/>
          <w:szCs w:val="21"/>
        </w:rPr>
        <w:t xml:space="preserve">Log all decision boundaries including the factors that determined why one action was chosen over alternatives.</w:t>
      </w:r>
    </w:p>
    <w:p>
      <w:pPr>
        <w:pStyle w:val="ListParagraph"/>
        <w:numPr>
          <w:ilvl w:val="0"/>
          <w:numId w:val="2"/>
        </w:numPr>
        <w:spacing w:before="40" w:after="40" w:line="276"/>
      </w:pPr>
      <w:r>
        <w:rPr>
          <w:rFonts w:ascii="Arial" w:cs="Arial" w:eastAsia="Arial" w:hAnsi="Arial"/>
          <w:color w:val="333333"/>
          <w:sz w:val="21"/>
          <w:szCs w:val="21"/>
        </w:rPr>
        <w:t xml:space="preserve">Provide replay capability allowing operators and auditors to reproduce past system behavior from logged data.</w:t>
      </w:r>
    </w:p>
    <w:p>
      <w:pPr>
        <w:pStyle w:val="ListParagraph"/>
        <w:numPr>
          <w:ilvl w:val="0"/>
          <w:numId w:val="2"/>
        </w:numPr>
        <w:spacing w:before="40" w:after="40" w:line="276"/>
      </w:pPr>
      <w:r>
        <w:rPr>
          <w:rFonts w:ascii="Arial" w:cs="Arial" w:eastAsia="Arial" w:hAnsi="Arial"/>
          <w:color w:val="333333"/>
          <w:sz w:val="21"/>
          <w:szCs w:val="21"/>
        </w:rPr>
        <w:t xml:space="preserve">Enable real-time anomaly alerts for boundary violations, unusual patterns, and operational anomalies.</w:t>
      </w:r>
    </w:p>
    <w:p>
      <w:pPr>
        <w:pStyle w:val="ListParagraph"/>
        <w:numPr>
          <w:ilvl w:val="0"/>
          <w:numId w:val="2"/>
        </w:numPr>
        <w:spacing w:before="40" w:after="40" w:line="276"/>
      </w:pPr>
      <w:r>
        <w:rPr>
          <w:rFonts w:ascii="Arial" w:cs="Arial" w:eastAsia="Arial" w:hAnsi="Arial"/>
          <w:color w:val="333333"/>
          <w:sz w:val="21"/>
          <w:szCs w:val="21"/>
        </w:rPr>
        <w:t xml:space="preserve">Maintain telemetry data integrity through tamper-evident logging mechanisms.</w:t>
      </w:r>
    </w:p>
    <w:p>
      <w:pPr>
        <w:pStyle w:val="ListParagraph"/>
        <w:numPr>
          <w:ilvl w:val="0"/>
          <w:numId w:val="2"/>
        </w:numPr>
        <w:spacing w:before="40" w:after="40" w:line="276"/>
      </w:pPr>
      <w:r>
        <w:rPr>
          <w:rFonts w:ascii="Arial" w:cs="Arial" w:eastAsia="Arial" w:hAnsi="Arial"/>
          <w:color w:val="333333"/>
          <w:sz w:val="21"/>
          <w:szCs w:val="21"/>
        </w:rPr>
        <w:t xml:space="preserve">Implement structured logging with consistent schema enabling automated analysis and cross-system correlation.</w:t>
      </w:r>
    </w:p>
    <w:p>
      <w:pPr>
        <w:pStyle w:val="ListParagraph"/>
        <w:numPr>
          <w:ilvl w:val="0"/>
          <w:numId w:val="2"/>
        </w:numPr>
        <w:spacing w:before="40" w:after="40" w:line="276"/>
      </w:pPr>
      <w:r>
        <w:rPr>
          <w:rFonts w:ascii="Arial" w:cs="Arial" w:eastAsia="Arial" w:hAnsi="Arial"/>
          <w:color w:val="333333"/>
          <w:sz w:val="21"/>
          <w:szCs w:val="21"/>
        </w:rPr>
        <w:t xml:space="preserve">Define and enforce telemetry data retention policies proportional to the system’s risk classification.</w:t>
      </w:r>
    </w:p>
    <w:p>
      <w:pPr>
        <w:pStyle w:val="ListParagraph"/>
        <w:numPr>
          <w:ilvl w:val="0"/>
          <w:numId w:val="2"/>
        </w:numPr>
        <w:spacing w:before="40" w:after="40" w:line="276"/>
      </w:pPr>
      <w:r>
        <w:rPr>
          <w:rFonts w:ascii="Arial" w:cs="Arial" w:eastAsia="Arial" w:hAnsi="Arial"/>
          <w:color w:val="333333"/>
          <w:sz w:val="21"/>
          <w:szCs w:val="21"/>
        </w:rPr>
        <w:t xml:space="preserve">Provide dashboard and reporting capabilities for operational monitoring, trend analysis, and compliance verification.</w:t>
      </w:r>
    </w:p>
    <w:p>
      <w:pPr>
        <w:pStyle w:val="ListParagraph"/>
        <w:numPr>
          <w:ilvl w:val="0"/>
          <w:numId w:val="2"/>
        </w:numPr>
        <w:spacing w:before="40" w:after="40" w:line="276"/>
      </w:pPr>
      <w:r>
        <w:rPr>
          <w:rFonts w:ascii="Arial" w:cs="Arial" w:eastAsia="Arial" w:hAnsi="Arial"/>
          <w:color w:val="333333"/>
          <w:sz w:val="21"/>
          <w:szCs w:val="21"/>
        </w:rPr>
        <w:t xml:space="preserve">Ensure telemetry infrastructure does not itself become a single point of failure for the autonomous system.</w:t>
      </w:r>
    </w:p>
    <w:p>
      <w:pPr>
        <w:pStyle w:val="ListParagraph"/>
        <w:numPr>
          <w:ilvl w:val="0"/>
          <w:numId w:val="2"/>
        </w:numPr>
        <w:spacing w:before="40" w:after="40" w:line="276"/>
      </w:pPr>
      <w:r>
        <w:rPr>
          <w:rFonts w:ascii="Arial" w:cs="Arial" w:eastAsia="Arial" w:hAnsi="Arial"/>
          <w:color w:val="333333"/>
          <w:sz w:val="21"/>
          <w:szCs w:val="21"/>
        </w:rPr>
        <w:t xml:space="preserve">Implement telemetry access controls preventing unauthorized viewing, modification, or deletion of operational logs.</w:t>
      </w:r>
    </w:p>
    <w:p>
      <w:pPr>
        <w:pStyle w:val="Heading2"/>
        <w:spacing w:before="280" w:after="160"/>
      </w:pPr>
      <w:r>
        <w:rPr>
          <w:rFonts w:ascii="Arial" w:cs="Arial" w:eastAsia="Arial" w:hAnsi="Arial"/>
          <w:b/>
          <w:bCs/>
          <w:color w:val="2E4A7A"/>
          <w:sz w:val="26"/>
          <w:szCs w:val="26"/>
        </w:rPr>
        <w:t xml:space="preserve">9.2 ACR Coverage</w:t>
      </w:r>
    </w:p>
    <w:p>
      <w:pPr>
        <w:spacing w:before="80" w:after="80" w:line="276"/>
        <w:jc w:val="both"/>
      </w:pPr>
      <w:r>
        <w:rPr>
          <w:rFonts w:ascii="Arial" w:cs="Arial" w:eastAsia="Arial" w:hAnsi="Arial"/>
          <w:i w:val="false"/>
          <w:iCs w:val="false"/>
          <w:color w:val="333333"/>
          <w:sz w:val="21"/>
          <w:szCs w:val="21"/>
        </w:rPr>
        <w:t xml:space="preserve">Domain 9 contains </w:t>
      </w:r>
      <w:r>
        <w:rPr>
          <w:rFonts w:ascii="Arial" w:cs="Arial" w:eastAsia="Arial" w:hAnsi="Arial"/>
          <w:b/>
          <w:bCs/>
          <w:color w:val="333333"/>
          <w:sz w:val="21"/>
          <w:szCs w:val="21"/>
        </w:rPr>
        <w:t xml:space="preserve">26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ACR-9.01: All autonomous actions SHALL be logged with action type, timestamp, input context, decision rationale, and outcome. [Evidence: Log schema documentation and sample logs.]</w:t>
      </w:r>
    </w:p>
    <w:p>
      <w:pPr>
        <w:spacing w:before="40" w:after="40" w:line="276"/>
        <w:ind w:left="480"/>
      </w:pPr>
      <w:r>
        <w:rPr>
          <w:rFonts w:ascii="Courier New" w:cs="Courier New" w:eastAsia="Courier New" w:hAnsi="Courier New"/>
          <w:color w:val="333333"/>
          <w:sz w:val="18"/>
          <w:szCs w:val="18"/>
        </w:rPr>
        <w:t xml:space="preserve">ACR-9.05: Telemetry logs SHALL be tamper-evident, with any modification detectable through integrity verification. [Evidence: Log integrity mechanism documentation.]</w:t>
      </w:r>
    </w:p>
    <w:p>
      <w:pPr>
        <w:spacing w:before="100" w:after="0"/>
      </w:pPr>
    </w:p>
    <w:p>
      <w:pPr>
        <w:pStyle w:val="Heading1"/>
        <w:spacing w:before="360" w:after="200"/>
      </w:pPr>
      <w:r>
        <w:rPr>
          <w:rFonts w:ascii="Arial" w:cs="Arial" w:eastAsia="Arial" w:hAnsi="Arial"/>
          <w:b/>
          <w:bCs/>
          <w:color w:val="1B2A4A"/>
          <w:sz w:val="32"/>
          <w:szCs w:val="32"/>
        </w:rPr>
        <w:t xml:space="preserve">Domain 10 — Escalation and Human Override</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autonomous systems maintain pathways for human intervention, including emergency halt, operational override, and escalation of high-risk decisions.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No autonomous system should operate without a reliable mechanism for human intervention. The ability to stop, override, or redirect an autonomous system is a non-negotiable safety requirement.</w:t>
      </w:r>
    </w:p>
    <w:p>
      <w:pPr>
        <w:pStyle w:val="Heading2"/>
        <w:spacing w:before="280" w:after="160"/>
      </w:pPr>
      <w:r>
        <w:rPr>
          <w:rFonts w:ascii="Arial" w:cs="Arial" w:eastAsia="Arial" w:hAnsi="Arial"/>
          <w:b/>
          <w:bCs/>
          <w:color w:val="2E4A7A"/>
          <w:sz w:val="26"/>
          <w:szCs w:val="26"/>
        </w:rPr>
        <w:t xml:space="preserve">10.1 Mandatory Requirements</w:t>
      </w:r>
    </w:p>
    <w:p>
      <w:pPr>
        <w:pStyle w:val="ListParagraph"/>
        <w:numPr>
          <w:ilvl w:val="0"/>
          <w:numId w:val="2"/>
        </w:numPr>
        <w:spacing w:before="40" w:after="40" w:line="276"/>
      </w:pPr>
      <w:r>
        <w:rPr>
          <w:rFonts w:ascii="Arial" w:cs="Arial" w:eastAsia="Arial" w:hAnsi="Arial"/>
          <w:color w:val="333333"/>
          <w:sz w:val="21"/>
          <w:szCs w:val="21"/>
        </w:rPr>
        <w:t xml:space="preserve">Implement emergency halt capability that can be triggered by authorized operators to immediately stop all autonomous action.</w:t>
      </w:r>
    </w:p>
    <w:p>
      <w:pPr>
        <w:pStyle w:val="ListParagraph"/>
        <w:numPr>
          <w:ilvl w:val="0"/>
          <w:numId w:val="2"/>
        </w:numPr>
        <w:spacing w:before="40" w:after="40" w:line="276"/>
      </w:pPr>
      <w:r>
        <w:rPr>
          <w:rFonts w:ascii="Arial" w:cs="Arial" w:eastAsia="Arial" w:hAnsi="Arial"/>
          <w:color w:val="333333"/>
          <w:sz w:val="21"/>
          <w:szCs w:val="21"/>
        </w:rPr>
        <w:t xml:space="preserve">Implement human override capability allowing authorized operators to intervene in, modify, or redirect ongoing autonomous operations.</w:t>
      </w:r>
    </w:p>
    <w:p>
      <w:pPr>
        <w:pStyle w:val="ListParagraph"/>
        <w:numPr>
          <w:ilvl w:val="0"/>
          <w:numId w:val="2"/>
        </w:numPr>
        <w:spacing w:before="40" w:after="40" w:line="276"/>
      </w:pPr>
      <w:r>
        <w:rPr>
          <w:rFonts w:ascii="Arial" w:cs="Arial" w:eastAsia="Arial" w:hAnsi="Arial"/>
          <w:color w:val="333333"/>
          <w:sz w:val="21"/>
          <w:szCs w:val="21"/>
        </w:rPr>
        <w:t xml:space="preserve">Escalate high-risk decisions to human operators before execution when predefined risk thresholds are met.</w:t>
      </w:r>
    </w:p>
    <w:p>
      <w:pPr>
        <w:pStyle w:val="ListParagraph"/>
        <w:numPr>
          <w:ilvl w:val="0"/>
          <w:numId w:val="2"/>
        </w:numPr>
        <w:spacing w:before="40" w:after="40" w:line="276"/>
      </w:pPr>
      <w:r>
        <w:rPr>
          <w:rFonts w:ascii="Arial" w:cs="Arial" w:eastAsia="Arial" w:hAnsi="Arial"/>
          <w:color w:val="333333"/>
          <w:sz w:val="21"/>
          <w:szCs w:val="21"/>
        </w:rPr>
        <w:t xml:space="preserve">Notify operators immediately upon boundary breaches, policy violations, or anomalous conditions.</w:t>
      </w:r>
    </w:p>
    <w:p>
      <w:pPr>
        <w:pStyle w:val="ListParagraph"/>
        <w:numPr>
          <w:ilvl w:val="0"/>
          <w:numId w:val="2"/>
        </w:numPr>
        <w:spacing w:before="40" w:after="40" w:line="276"/>
      </w:pPr>
      <w:r>
        <w:rPr>
          <w:rFonts w:ascii="Arial" w:cs="Arial" w:eastAsia="Arial" w:hAnsi="Arial"/>
          <w:color w:val="333333"/>
          <w:sz w:val="21"/>
          <w:szCs w:val="21"/>
        </w:rPr>
        <w:t xml:space="preserve">Ensure that escalation and override pathways cannot be disabled, bypassed, or overridden by the autonomous system itself.</w:t>
      </w:r>
    </w:p>
    <w:p>
      <w:pPr>
        <w:pStyle w:val="ListParagraph"/>
        <w:numPr>
          <w:ilvl w:val="0"/>
          <w:numId w:val="2"/>
        </w:numPr>
        <w:spacing w:before="40" w:after="40" w:line="276"/>
      </w:pPr>
      <w:r>
        <w:rPr>
          <w:rFonts w:ascii="Arial" w:cs="Arial" w:eastAsia="Arial" w:hAnsi="Arial"/>
          <w:color w:val="333333"/>
          <w:sz w:val="21"/>
          <w:szCs w:val="21"/>
        </w:rPr>
        <w:t xml:space="preserve">Define and maintain escalation policies specifying which conditions trigger escalation, to whom, and with what urgency.</w:t>
      </w:r>
    </w:p>
    <w:p>
      <w:pPr>
        <w:pStyle w:val="ListParagraph"/>
        <w:numPr>
          <w:ilvl w:val="0"/>
          <w:numId w:val="2"/>
        </w:numPr>
        <w:spacing w:before="40" w:after="40" w:line="276"/>
      </w:pPr>
      <w:r>
        <w:rPr>
          <w:rFonts w:ascii="Arial" w:cs="Arial" w:eastAsia="Arial" w:hAnsi="Arial"/>
          <w:color w:val="333333"/>
          <w:sz w:val="21"/>
          <w:szCs w:val="21"/>
        </w:rPr>
        <w:t xml:space="preserve">Test emergency halt and override mechanisms regularly under realistic operational conditions.</w:t>
      </w:r>
    </w:p>
    <w:p>
      <w:pPr>
        <w:pStyle w:val="ListParagraph"/>
        <w:numPr>
          <w:ilvl w:val="0"/>
          <w:numId w:val="2"/>
        </w:numPr>
        <w:spacing w:before="40" w:after="40" w:line="276"/>
      </w:pPr>
      <w:r>
        <w:rPr>
          <w:rFonts w:ascii="Arial" w:cs="Arial" w:eastAsia="Arial" w:hAnsi="Arial"/>
          <w:color w:val="333333"/>
          <w:sz w:val="21"/>
          <w:szCs w:val="21"/>
        </w:rPr>
        <w:t xml:space="preserve">Ensure that emergency halt does not itself cause data corruption, incomplete transactions, or cascading failures.</w:t>
      </w:r>
    </w:p>
    <w:p>
      <w:pPr>
        <w:pStyle w:val="ListParagraph"/>
        <w:numPr>
          <w:ilvl w:val="0"/>
          <w:numId w:val="2"/>
        </w:numPr>
        <w:spacing w:before="40" w:after="40" w:line="276"/>
      </w:pPr>
      <w:r>
        <w:rPr>
          <w:rFonts w:ascii="Arial" w:cs="Arial" w:eastAsia="Arial" w:hAnsi="Arial"/>
          <w:color w:val="333333"/>
          <w:sz w:val="21"/>
          <w:szCs w:val="21"/>
        </w:rPr>
        <w:t xml:space="preserve">Maintain escalation and override audit trails for accountability and process improvement.</w:t>
      </w:r>
    </w:p>
    <w:p>
      <w:pPr>
        <w:pStyle w:val="ListParagraph"/>
        <w:numPr>
          <w:ilvl w:val="0"/>
          <w:numId w:val="2"/>
        </w:numPr>
        <w:spacing w:before="40" w:after="40" w:line="276"/>
      </w:pPr>
      <w:r>
        <w:rPr>
          <w:rFonts w:ascii="Arial" w:cs="Arial" w:eastAsia="Arial" w:hAnsi="Arial"/>
          <w:color w:val="333333"/>
          <w:sz w:val="21"/>
          <w:szCs w:val="21"/>
        </w:rPr>
        <w:t xml:space="preserve">Implement graduated response levels matching intervention severity to incident severity.</w:t>
      </w:r>
    </w:p>
    <w:p>
      <w:pPr>
        <w:pStyle w:val="Heading2"/>
        <w:spacing w:before="280" w:after="160"/>
      </w:pPr>
      <w:r>
        <w:rPr>
          <w:rFonts w:ascii="Arial" w:cs="Arial" w:eastAsia="Arial" w:hAnsi="Arial"/>
          <w:b/>
          <w:bCs/>
          <w:color w:val="2E4A7A"/>
          <w:sz w:val="26"/>
          <w:szCs w:val="26"/>
        </w:rPr>
        <w:t xml:space="preserve">10.2 ACR Coverage</w:t>
      </w:r>
    </w:p>
    <w:p>
      <w:pPr>
        <w:spacing w:before="80" w:after="80" w:line="276"/>
        <w:jc w:val="both"/>
      </w:pPr>
      <w:r>
        <w:rPr>
          <w:rFonts w:ascii="Arial" w:cs="Arial" w:eastAsia="Arial" w:hAnsi="Arial"/>
          <w:i w:val="false"/>
          <w:iCs w:val="false"/>
          <w:color w:val="333333"/>
          <w:sz w:val="21"/>
          <w:szCs w:val="21"/>
        </w:rPr>
        <w:t xml:space="preserve">Domain 10 contains </w:t>
      </w:r>
      <w:r>
        <w:rPr>
          <w:rFonts w:ascii="Arial" w:cs="Arial" w:eastAsia="Arial" w:hAnsi="Arial"/>
          <w:b/>
          <w:bCs/>
          <w:color w:val="333333"/>
          <w:sz w:val="21"/>
          <w:szCs w:val="21"/>
        </w:rPr>
        <w:t xml:space="preserve">22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ACR-10.01: The system SHALL support an emergency halt command that terminates all autonomous action within defined time bounds. [Evidence: Emergency halt test results with timing measurements.]</w:t>
      </w:r>
    </w:p>
    <w:p>
      <w:pPr>
        <w:spacing w:before="40" w:after="40" w:line="276"/>
        <w:ind w:left="480"/>
      </w:pPr>
      <w:r>
        <w:rPr>
          <w:rFonts w:ascii="Courier New" w:cs="Courier New" w:eastAsia="Courier New" w:hAnsi="Courier New"/>
          <w:color w:val="333333"/>
          <w:sz w:val="18"/>
          <w:szCs w:val="18"/>
        </w:rPr>
        <w:t xml:space="preserve">ACR-10.05: Escalation and override pathways SHALL NOT be disableable by the autonomous system. [Evidence: Self-modification test results.]</w:t>
      </w:r>
    </w:p>
    <w:p>
      <w:pPr>
        <w:spacing w:before="100" w:after="0"/>
      </w:pPr>
    </w:p>
    <w:p>
      <w:pPr>
        <w:pStyle w:val="Heading1"/>
        <w:spacing w:before="360" w:after="200"/>
      </w:pPr>
      <w:r>
        <w:rPr>
          <w:rFonts w:ascii="Arial" w:cs="Arial" w:eastAsia="Arial" w:hAnsi="Arial"/>
          <w:b/>
          <w:bCs/>
          <w:color w:val="1B2A4A"/>
          <w:sz w:val="32"/>
          <w:szCs w:val="32"/>
        </w:rPr>
        <w:t xml:space="preserve">Domain 11 — Auditability and Transparency</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autonomous system operations can be comprehensively audited by internal and external parties, supporting accountability, compliance, and continuous improvement.</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Auditability is the accountability mechanism for autonomous action. If a system’s decisions and actions cannot be reconstructed, evaluated, and explained after the fact, it is not suitable for autonomous deployment.</w:t>
      </w:r>
    </w:p>
    <w:p>
      <w:pPr>
        <w:pStyle w:val="Heading2"/>
        <w:spacing w:before="280" w:after="160"/>
      </w:pPr>
      <w:r>
        <w:rPr>
          <w:rFonts w:ascii="Arial" w:cs="Arial" w:eastAsia="Arial" w:hAnsi="Arial"/>
          <w:b/>
          <w:bCs/>
          <w:color w:val="2E4A7A"/>
          <w:sz w:val="26"/>
          <w:szCs w:val="26"/>
        </w:rPr>
        <w:t xml:space="preserve">11.1 Mandatory Requirements</w:t>
      </w:r>
    </w:p>
    <w:p>
      <w:pPr>
        <w:pStyle w:val="ListParagraph"/>
        <w:numPr>
          <w:ilvl w:val="0"/>
          <w:numId w:val="2"/>
        </w:numPr>
        <w:spacing w:before="40" w:after="40" w:line="276"/>
      </w:pPr>
      <w:r>
        <w:rPr>
          <w:rFonts w:ascii="Arial" w:cs="Arial" w:eastAsia="Arial" w:hAnsi="Arial"/>
          <w:color w:val="333333"/>
          <w:sz w:val="21"/>
          <w:szCs w:val="21"/>
        </w:rPr>
        <w:t xml:space="preserve">Maintain comprehensive decision logs covering all autonomous decisions with inputs, logic, outputs, and timestamps.</w:t>
      </w:r>
    </w:p>
    <w:p>
      <w:pPr>
        <w:pStyle w:val="ListParagraph"/>
        <w:numPr>
          <w:ilvl w:val="0"/>
          <w:numId w:val="2"/>
        </w:numPr>
        <w:spacing w:before="40" w:after="40" w:line="276"/>
      </w:pPr>
      <w:r>
        <w:rPr>
          <w:rFonts w:ascii="Arial" w:cs="Arial" w:eastAsia="Arial" w:hAnsi="Arial"/>
          <w:color w:val="333333"/>
          <w:sz w:val="21"/>
          <w:szCs w:val="21"/>
        </w:rPr>
        <w:t xml:space="preserve">Provide exportable audit artifacts in standardized formats accessible to third-party auditors.</w:t>
      </w:r>
    </w:p>
    <w:p>
      <w:pPr>
        <w:pStyle w:val="ListParagraph"/>
        <w:numPr>
          <w:ilvl w:val="0"/>
          <w:numId w:val="2"/>
        </w:numPr>
        <w:spacing w:before="40" w:after="40" w:line="276"/>
      </w:pPr>
      <w:r>
        <w:rPr>
          <w:rFonts w:ascii="Arial" w:cs="Arial" w:eastAsia="Arial" w:hAnsi="Arial"/>
          <w:color w:val="333333"/>
          <w:sz w:val="21"/>
          <w:szCs w:val="21"/>
        </w:rPr>
        <w:t xml:space="preserve">Preserve version control for all system components, configurations, and policies with full change history.</w:t>
      </w:r>
    </w:p>
    <w:p>
      <w:pPr>
        <w:pStyle w:val="ListParagraph"/>
        <w:numPr>
          <w:ilvl w:val="0"/>
          <w:numId w:val="2"/>
        </w:numPr>
        <w:spacing w:before="40" w:after="40" w:line="276"/>
      </w:pPr>
      <w:r>
        <w:rPr>
          <w:rFonts w:ascii="Arial" w:cs="Arial" w:eastAsia="Arial" w:hAnsi="Arial"/>
          <w:color w:val="333333"/>
          <w:sz w:val="21"/>
          <w:szCs w:val="21"/>
        </w:rPr>
        <w:t xml:space="preserve">Support third-party audit replay enabling independent assessors to reproduce and evaluate system behavior.</w:t>
      </w:r>
    </w:p>
    <w:p>
      <w:pPr>
        <w:pStyle w:val="ListParagraph"/>
        <w:numPr>
          <w:ilvl w:val="0"/>
          <w:numId w:val="2"/>
        </w:numPr>
        <w:spacing w:before="40" w:after="40" w:line="276"/>
      </w:pPr>
      <w:r>
        <w:rPr>
          <w:rFonts w:ascii="Arial" w:cs="Arial" w:eastAsia="Arial" w:hAnsi="Arial"/>
          <w:color w:val="333333"/>
          <w:sz w:val="21"/>
          <w:szCs w:val="21"/>
        </w:rPr>
        <w:t xml:space="preserve">Implement retention policies ensuring audit data is preserved for a period appropriate to the system’s risk classification.</w:t>
      </w:r>
    </w:p>
    <w:p>
      <w:pPr>
        <w:pStyle w:val="ListParagraph"/>
        <w:numPr>
          <w:ilvl w:val="0"/>
          <w:numId w:val="2"/>
        </w:numPr>
        <w:spacing w:before="40" w:after="40" w:line="276"/>
      </w:pPr>
      <w:r>
        <w:rPr>
          <w:rFonts w:ascii="Arial" w:cs="Arial" w:eastAsia="Arial" w:hAnsi="Arial"/>
          <w:color w:val="333333"/>
          <w:sz w:val="21"/>
          <w:szCs w:val="21"/>
        </w:rPr>
        <w:t xml:space="preserve">Provide compliance evidence generation capabilities that map system records to specific ACR requirements.</w:t>
      </w:r>
    </w:p>
    <w:p>
      <w:pPr>
        <w:pStyle w:val="ListParagraph"/>
        <w:numPr>
          <w:ilvl w:val="0"/>
          <w:numId w:val="2"/>
        </w:numPr>
        <w:spacing w:before="40" w:after="40" w:line="276"/>
      </w:pPr>
      <w:r>
        <w:rPr>
          <w:rFonts w:ascii="Arial" w:cs="Arial" w:eastAsia="Arial" w:hAnsi="Arial"/>
          <w:color w:val="333333"/>
          <w:sz w:val="21"/>
          <w:szCs w:val="21"/>
        </w:rPr>
        <w:t xml:space="preserve">Maintain chain of custody for all evidence artifacts used in certification and ongoing compliance.</w:t>
      </w:r>
    </w:p>
    <w:p>
      <w:pPr>
        <w:pStyle w:val="ListParagraph"/>
        <w:numPr>
          <w:ilvl w:val="0"/>
          <w:numId w:val="2"/>
        </w:numPr>
        <w:spacing w:before="40" w:after="40" w:line="276"/>
      </w:pPr>
      <w:r>
        <w:rPr>
          <w:rFonts w:ascii="Arial" w:cs="Arial" w:eastAsia="Arial" w:hAnsi="Arial"/>
          <w:color w:val="333333"/>
          <w:sz w:val="21"/>
          <w:szCs w:val="21"/>
        </w:rPr>
        <w:t xml:space="preserve">Support automated compliance reporting against the ARA Standard’s requirements.</w:t>
      </w:r>
    </w:p>
    <w:p>
      <w:pPr>
        <w:pStyle w:val="ListParagraph"/>
        <w:numPr>
          <w:ilvl w:val="0"/>
          <w:numId w:val="2"/>
        </w:numPr>
        <w:spacing w:before="40" w:after="40" w:line="276"/>
      </w:pPr>
      <w:r>
        <w:rPr>
          <w:rFonts w:ascii="Arial" w:cs="Arial" w:eastAsia="Arial" w:hAnsi="Arial"/>
          <w:color w:val="333333"/>
          <w:sz w:val="21"/>
          <w:szCs w:val="21"/>
        </w:rPr>
        <w:t xml:space="preserve">Ensure audit mechanisms do not introduce performance degradation that affects system reliability.</w:t>
      </w:r>
    </w:p>
    <w:p>
      <w:pPr>
        <w:pStyle w:val="ListParagraph"/>
        <w:numPr>
          <w:ilvl w:val="0"/>
          <w:numId w:val="2"/>
        </w:numPr>
        <w:spacing w:before="40" w:after="40" w:line="276"/>
      </w:pPr>
      <w:r>
        <w:rPr>
          <w:rFonts w:ascii="Arial" w:cs="Arial" w:eastAsia="Arial" w:hAnsi="Arial"/>
          <w:color w:val="333333"/>
          <w:sz w:val="21"/>
          <w:szCs w:val="21"/>
        </w:rPr>
        <w:t xml:space="preserve">Define and enforce access controls for audit data preventing unauthorized access while enabling legitimate review.</w:t>
      </w:r>
    </w:p>
    <w:p>
      <w:pPr>
        <w:pStyle w:val="Heading2"/>
        <w:spacing w:before="280" w:after="160"/>
      </w:pPr>
      <w:r>
        <w:rPr>
          <w:rFonts w:ascii="Arial" w:cs="Arial" w:eastAsia="Arial" w:hAnsi="Arial"/>
          <w:b/>
          <w:bCs/>
          <w:color w:val="2E4A7A"/>
          <w:sz w:val="26"/>
          <w:szCs w:val="26"/>
        </w:rPr>
        <w:t xml:space="preserve">11.2 ACR Coverage</w:t>
      </w:r>
    </w:p>
    <w:p>
      <w:pPr>
        <w:spacing w:before="80" w:after="80" w:line="276"/>
        <w:jc w:val="both"/>
      </w:pPr>
      <w:r>
        <w:rPr>
          <w:rFonts w:ascii="Arial" w:cs="Arial" w:eastAsia="Arial" w:hAnsi="Arial"/>
          <w:i w:val="false"/>
          <w:iCs w:val="false"/>
          <w:color w:val="333333"/>
          <w:sz w:val="21"/>
          <w:szCs w:val="21"/>
        </w:rPr>
        <w:t xml:space="preserve">Domain 11 contains </w:t>
      </w:r>
      <w:r>
        <w:rPr>
          <w:rFonts w:ascii="Arial" w:cs="Arial" w:eastAsia="Arial" w:hAnsi="Arial"/>
          <w:b/>
          <w:bCs/>
          <w:color w:val="333333"/>
          <w:sz w:val="21"/>
          <w:szCs w:val="21"/>
        </w:rPr>
        <w:t xml:space="preserve">24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ACR-11.01: The system SHALL maintain decision logs for all autonomous decisions with sufficient detail for post-hoc reconstruction. [Evidence: Log schema and sample decision records.]</w:t>
      </w:r>
    </w:p>
    <w:p>
      <w:pPr>
        <w:spacing w:before="40" w:after="40" w:line="276"/>
        <w:ind w:left="480"/>
      </w:pPr>
      <w:r>
        <w:rPr>
          <w:rFonts w:ascii="Courier New" w:cs="Courier New" w:eastAsia="Courier New" w:hAnsi="Courier New"/>
          <w:color w:val="333333"/>
          <w:sz w:val="18"/>
          <w:szCs w:val="18"/>
        </w:rPr>
        <w:t xml:space="preserve">ACR-11.05: The system SHALL support third-party audit replay from logged data. [Evidence: Audit replay test results.]</w:t>
      </w:r>
    </w:p>
    <w:p>
      <w:pPr>
        <w:spacing w:before="100" w:after="0"/>
      </w:pPr>
    </w:p>
    <w:p>
      <w:pPr>
        <w:pStyle w:val="Heading1"/>
        <w:spacing w:before="360" w:after="200"/>
      </w:pPr>
      <w:r>
        <w:rPr>
          <w:rFonts w:ascii="Arial" w:cs="Arial" w:eastAsia="Arial" w:hAnsi="Arial"/>
          <w:b/>
          <w:bCs/>
          <w:color w:val="1B2A4A"/>
          <w:sz w:val="32"/>
          <w:szCs w:val="32"/>
        </w:rPr>
        <w:t xml:space="preserve">Domain 12 — Operational Governance Controls</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ensure that the organizational processes surrounding autonomous system development, deployment, and maintenance meet minimum governance standards.</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Operational reliability is not solely a technical property. It requires disciplined organizational processes for change management, release governance, and production oversight.</w:t>
      </w:r>
    </w:p>
    <w:p>
      <w:pPr>
        <w:pStyle w:val="Heading2"/>
        <w:spacing w:before="280" w:after="160"/>
      </w:pPr>
      <w:r>
        <w:rPr>
          <w:rFonts w:ascii="Arial" w:cs="Arial" w:eastAsia="Arial" w:hAnsi="Arial"/>
          <w:b/>
          <w:bCs/>
          <w:color w:val="2E4A7A"/>
          <w:sz w:val="26"/>
          <w:szCs w:val="26"/>
        </w:rPr>
        <w:t xml:space="preserve">12.1 Mandatory Requirements</w:t>
      </w:r>
    </w:p>
    <w:p>
      <w:pPr>
        <w:pStyle w:val="ListParagraph"/>
        <w:numPr>
          <w:ilvl w:val="0"/>
          <w:numId w:val="2"/>
        </w:numPr>
        <w:spacing w:before="40" w:after="40" w:line="276"/>
      </w:pPr>
      <w:r>
        <w:rPr>
          <w:rFonts w:ascii="Arial" w:cs="Arial" w:eastAsia="Arial" w:hAnsi="Arial"/>
          <w:color w:val="333333"/>
          <w:sz w:val="21"/>
          <w:szCs w:val="21"/>
        </w:rPr>
        <w:t xml:space="preserve">Document and enforce a system update process including approval workflows, testing requirements, and rollback procedures.</w:t>
      </w:r>
    </w:p>
    <w:p>
      <w:pPr>
        <w:pStyle w:val="ListParagraph"/>
        <w:numPr>
          <w:ilvl w:val="0"/>
          <w:numId w:val="2"/>
        </w:numPr>
        <w:spacing w:before="40" w:after="40" w:line="276"/>
      </w:pPr>
      <w:r>
        <w:rPr>
          <w:rFonts w:ascii="Arial" w:cs="Arial" w:eastAsia="Arial" w:hAnsi="Arial"/>
          <w:color w:val="333333"/>
          <w:sz w:val="21"/>
          <w:szCs w:val="21"/>
        </w:rPr>
        <w:t xml:space="preserve">Document and enforce a change control process for all modifications to the certified system.</w:t>
      </w:r>
    </w:p>
    <w:p>
      <w:pPr>
        <w:pStyle w:val="ListParagraph"/>
        <w:numPr>
          <w:ilvl w:val="0"/>
          <w:numId w:val="2"/>
        </w:numPr>
        <w:spacing w:before="40" w:after="40" w:line="276"/>
      </w:pPr>
      <w:r>
        <w:rPr>
          <w:rFonts w:ascii="Arial" w:cs="Arial" w:eastAsia="Arial" w:hAnsi="Arial"/>
          <w:color w:val="333333"/>
          <w:sz w:val="21"/>
          <w:szCs w:val="21"/>
        </w:rPr>
        <w:t xml:space="preserve">Maintain versioned release logs documenting all production changes with description, rationale, risk assessment, and responsible party.</w:t>
      </w:r>
    </w:p>
    <w:p>
      <w:pPr>
        <w:pStyle w:val="ListParagraph"/>
        <w:numPr>
          <w:ilvl w:val="0"/>
          <w:numId w:val="2"/>
        </w:numPr>
        <w:spacing w:before="40" w:after="40" w:line="276"/>
      </w:pPr>
      <w:r>
        <w:rPr>
          <w:rFonts w:ascii="Arial" w:cs="Arial" w:eastAsia="Arial" w:hAnsi="Arial"/>
          <w:color w:val="333333"/>
          <w:sz w:val="21"/>
          <w:szCs w:val="21"/>
        </w:rPr>
        <w:t xml:space="preserve">Enforce production promotion gates requiring defined testing, review, and approval before any change reaches production.</w:t>
      </w:r>
    </w:p>
    <w:p>
      <w:pPr>
        <w:pStyle w:val="ListParagraph"/>
        <w:numPr>
          <w:ilvl w:val="0"/>
          <w:numId w:val="2"/>
        </w:numPr>
        <w:spacing w:before="40" w:after="40" w:line="276"/>
      </w:pPr>
      <w:r>
        <w:rPr>
          <w:rFonts w:ascii="Arial" w:cs="Arial" w:eastAsia="Arial" w:hAnsi="Arial"/>
          <w:color w:val="333333"/>
          <w:sz w:val="21"/>
          <w:szCs w:val="21"/>
        </w:rPr>
        <w:t xml:space="preserve">Define and maintain an incident response procedure for reliability failures in production.</w:t>
      </w:r>
    </w:p>
    <w:p>
      <w:pPr>
        <w:pStyle w:val="ListParagraph"/>
        <w:numPr>
          <w:ilvl w:val="0"/>
          <w:numId w:val="2"/>
        </w:numPr>
        <w:spacing w:before="40" w:after="40" w:line="276"/>
      </w:pPr>
      <w:r>
        <w:rPr>
          <w:rFonts w:ascii="Arial" w:cs="Arial" w:eastAsia="Arial" w:hAnsi="Arial"/>
          <w:color w:val="333333"/>
          <w:sz w:val="21"/>
          <w:szCs w:val="21"/>
        </w:rPr>
        <w:t xml:space="preserve">Maintain a risk register documenting known risks, their assessments, and mitigation measures.</w:t>
      </w:r>
    </w:p>
    <w:p>
      <w:pPr>
        <w:pStyle w:val="ListParagraph"/>
        <w:numPr>
          <w:ilvl w:val="0"/>
          <w:numId w:val="2"/>
        </w:numPr>
        <w:spacing w:before="40" w:after="40" w:line="276"/>
      </w:pPr>
      <w:r>
        <w:rPr>
          <w:rFonts w:ascii="Arial" w:cs="Arial" w:eastAsia="Arial" w:hAnsi="Arial"/>
          <w:color w:val="333333"/>
          <w:sz w:val="21"/>
          <w:szCs w:val="21"/>
        </w:rPr>
        <w:t xml:space="preserve">Implement segregation of duties between development, testing, and production operations.</w:t>
      </w:r>
    </w:p>
    <w:p>
      <w:pPr>
        <w:pStyle w:val="ListParagraph"/>
        <w:numPr>
          <w:ilvl w:val="0"/>
          <w:numId w:val="2"/>
        </w:numPr>
        <w:spacing w:before="40" w:after="40" w:line="276"/>
      </w:pPr>
      <w:r>
        <w:rPr>
          <w:rFonts w:ascii="Arial" w:cs="Arial" w:eastAsia="Arial" w:hAnsi="Arial"/>
          <w:color w:val="333333"/>
          <w:sz w:val="21"/>
          <w:szCs w:val="21"/>
        </w:rPr>
        <w:t xml:space="preserve">Maintain documentation currency ensuring all operational documentation reflects the current system state.</w:t>
      </w:r>
    </w:p>
    <w:p>
      <w:pPr>
        <w:pStyle w:val="ListParagraph"/>
        <w:numPr>
          <w:ilvl w:val="0"/>
          <w:numId w:val="2"/>
        </w:numPr>
        <w:spacing w:before="40" w:after="40" w:line="276"/>
      </w:pPr>
      <w:r>
        <w:rPr>
          <w:rFonts w:ascii="Arial" w:cs="Arial" w:eastAsia="Arial" w:hAnsi="Arial"/>
          <w:color w:val="333333"/>
          <w:sz w:val="21"/>
          <w:szCs w:val="21"/>
        </w:rPr>
        <w:t xml:space="preserve">Define and enforce access control policies for production systems and data.</w:t>
      </w:r>
    </w:p>
    <w:p>
      <w:pPr>
        <w:pStyle w:val="ListParagraph"/>
        <w:numPr>
          <w:ilvl w:val="0"/>
          <w:numId w:val="2"/>
        </w:numPr>
        <w:spacing w:before="40" w:after="40" w:line="276"/>
      </w:pPr>
      <w:r>
        <w:rPr>
          <w:rFonts w:ascii="Arial" w:cs="Arial" w:eastAsia="Arial" w:hAnsi="Arial"/>
          <w:color w:val="333333"/>
          <w:sz w:val="21"/>
          <w:szCs w:val="21"/>
        </w:rPr>
        <w:t xml:space="preserve">Conduct periodic governance reviews to assess the adequacy and effectiveness of operational controls.</w:t>
      </w:r>
    </w:p>
    <w:p>
      <w:pPr>
        <w:pStyle w:val="Heading2"/>
        <w:spacing w:before="280" w:after="160"/>
      </w:pPr>
      <w:r>
        <w:rPr>
          <w:rFonts w:ascii="Arial" w:cs="Arial" w:eastAsia="Arial" w:hAnsi="Arial"/>
          <w:b/>
          <w:bCs/>
          <w:color w:val="2E4A7A"/>
          <w:sz w:val="26"/>
          <w:szCs w:val="26"/>
        </w:rPr>
        <w:t xml:space="preserve">12.2 ACR Coverage</w:t>
      </w:r>
    </w:p>
    <w:p>
      <w:pPr>
        <w:spacing w:before="80" w:after="80" w:line="276"/>
        <w:jc w:val="both"/>
      </w:pPr>
      <w:r>
        <w:rPr>
          <w:rFonts w:ascii="Arial" w:cs="Arial" w:eastAsia="Arial" w:hAnsi="Arial"/>
          <w:i w:val="false"/>
          <w:iCs w:val="false"/>
          <w:color w:val="333333"/>
          <w:sz w:val="21"/>
          <w:szCs w:val="21"/>
        </w:rPr>
        <w:t xml:space="preserve">Domain 12 contains </w:t>
      </w:r>
      <w:r>
        <w:rPr>
          <w:rFonts w:ascii="Arial" w:cs="Arial" w:eastAsia="Arial" w:hAnsi="Arial"/>
          <w:b/>
          <w:bCs/>
          <w:color w:val="333333"/>
          <w:sz w:val="21"/>
          <w:szCs w:val="21"/>
        </w:rPr>
        <w:t xml:space="preserve">22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ACR-12.01: All production changes SHALL follow a documented change control process with approval workflow. [Evidence: Change control policy and sample approval records.]</w:t>
      </w:r>
    </w:p>
    <w:p>
      <w:pPr>
        <w:spacing w:before="40" w:after="40" w:line="276"/>
        <w:ind w:left="480"/>
      </w:pPr>
      <w:r>
        <w:rPr>
          <w:rFonts w:ascii="Courier New" w:cs="Courier New" w:eastAsia="Courier New" w:hAnsi="Courier New"/>
          <w:color w:val="333333"/>
          <w:sz w:val="18"/>
          <w:szCs w:val="18"/>
        </w:rPr>
        <w:t xml:space="preserve">ACR-12.06: The system SHALL maintain a current risk register reviewed and updated at least quarterly. [Evidence: Risk register with review dates.]</w:t>
      </w:r>
    </w:p>
    <w:p>
      <w:pPr>
        <w:spacing w:before="100" w:after="0"/>
      </w:pPr>
    </w:p>
    <w:p>
      <w:pPr>
        <w:pStyle w:val="Heading1"/>
        <w:spacing w:before="360" w:after="200"/>
      </w:pPr>
      <w:r>
        <w:rPr>
          <w:rFonts w:ascii="Arial" w:cs="Arial" w:eastAsia="Arial" w:hAnsi="Arial"/>
          <w:b/>
          <w:bCs/>
          <w:color w:val="1B2A4A"/>
          <w:sz w:val="32"/>
          <w:szCs w:val="32"/>
        </w:rPr>
        <w:t xml:space="preserve">Domain 13 — Physical Actuation Integrity (Extension Domain)</w:t>
      </w:r>
    </w:p>
    <w:p>
      <w:pPr>
        <w:pBdr>
          <w:left w:val="single" w:color="27AE60" w:sz="12" w:space="8"/>
        </w:pBdr>
        <w:spacing w:before="80" w:after="80" w:line="276"/>
        <w:ind w:left="360"/>
      </w:pPr>
      <w:r>
        <w:rPr>
          <w:rFonts w:ascii="Arial" w:cs="Arial" w:eastAsia="Arial" w:hAnsi="Arial"/>
          <w:b/>
          <w:bCs/>
          <w:color w:val="27AE60"/>
          <w:sz w:val="20"/>
          <w:szCs w:val="20"/>
        </w:rPr>
        <w:t xml:space="preserve">PURPOSE: </w:t>
      </w:r>
      <w:r>
        <w:rPr>
          <w:rFonts w:ascii="Arial" w:cs="Arial" w:eastAsia="Arial" w:hAnsi="Arial"/>
          <w:color w:val="666666"/>
          <w:sz w:val="20"/>
          <w:szCs w:val="20"/>
        </w:rPr>
        <w:t xml:space="preserve">To address the unique reliability requirements of autonomous systems that interact with the physical world through sensors, actuators, and direct environmental manipulation.</w:t>
      </w:r>
    </w:p>
    <w:p>
      <w:pPr>
        <w:pBdr>
          <w:left w:val="single" w:color="3B7DD8" w:sz="12" w:space="8"/>
        </w:pBdr>
        <w:spacing w:before="60" w:after="120" w:line="276"/>
        <w:ind w:left="360"/>
      </w:pPr>
      <w:r>
        <w:rPr>
          <w:rFonts w:ascii="Arial" w:cs="Arial" w:eastAsia="Arial" w:hAnsi="Arial"/>
          <w:b/>
          <w:bCs/>
          <w:color w:val="3B7DD8"/>
          <w:sz w:val="20"/>
          <w:szCs w:val="20"/>
        </w:rPr>
        <w:t xml:space="preserve">GOVERNING PRINCIPLE: </w:t>
      </w:r>
      <w:r>
        <w:rPr>
          <w:rFonts w:ascii="Arial" w:cs="Arial" w:eastAsia="Arial" w:hAnsi="Arial"/>
          <w:i/>
          <w:iCs/>
          <w:color w:val="666666"/>
          <w:sz w:val="20"/>
          <w:szCs w:val="20"/>
        </w:rPr>
        <w:t xml:space="preserve">Physical autonomous systems face risks that digital-only systems do not: sensor failure, actuator malfunction, environmental unpredictability, and direct physical harm to humans. These risks demand additional assurance.</w:t>
      </w:r>
    </w:p>
    <w:p>
      <w:pPr>
        <w:pStyle w:val="Heading2"/>
        <w:spacing w:before="280" w:after="160"/>
      </w:pPr>
      <w:r>
        <w:rPr>
          <w:rFonts w:ascii="Arial" w:cs="Arial" w:eastAsia="Arial" w:hAnsi="Arial"/>
          <w:b/>
          <w:bCs/>
          <w:color w:val="2E4A7A"/>
          <w:sz w:val="26"/>
          <w:szCs w:val="26"/>
        </w:rPr>
        <w:t xml:space="preserve">13.1 Mandatory Requirements</w:t>
      </w:r>
    </w:p>
    <w:p>
      <w:pPr>
        <w:pStyle w:val="ListParagraph"/>
        <w:numPr>
          <w:ilvl w:val="0"/>
          <w:numId w:val="2"/>
        </w:numPr>
        <w:spacing w:before="40" w:after="40" w:line="276"/>
      </w:pPr>
      <w:r>
        <w:rPr>
          <w:rFonts w:ascii="Arial" w:cs="Arial" w:eastAsia="Arial" w:hAnsi="Arial"/>
          <w:color w:val="333333"/>
          <w:sz w:val="21"/>
          <w:szCs w:val="21"/>
        </w:rPr>
        <w:t xml:space="preserve">Demonstrate tolerance to sensor noise, degradation, and failure including graceful degradation when sensor inputs are unreliable.</w:t>
      </w:r>
    </w:p>
    <w:p>
      <w:pPr>
        <w:pStyle w:val="ListParagraph"/>
        <w:numPr>
          <w:ilvl w:val="0"/>
          <w:numId w:val="2"/>
        </w:numPr>
        <w:spacing w:before="40" w:after="40" w:line="276"/>
      </w:pPr>
      <w:r>
        <w:rPr>
          <w:rFonts w:ascii="Arial" w:cs="Arial" w:eastAsia="Arial" w:hAnsi="Arial"/>
          <w:color w:val="333333"/>
          <w:sz w:val="21"/>
          <w:szCs w:val="21"/>
        </w:rPr>
        <w:t xml:space="preserve">Detect actuator misfires, mis-calibration, and unexpected actuation events.</w:t>
      </w:r>
    </w:p>
    <w:p>
      <w:pPr>
        <w:pStyle w:val="ListParagraph"/>
        <w:numPr>
          <w:ilvl w:val="0"/>
          <w:numId w:val="2"/>
        </w:numPr>
        <w:spacing w:before="40" w:after="40" w:line="276"/>
      </w:pPr>
      <w:r>
        <w:rPr>
          <w:rFonts w:ascii="Arial" w:cs="Arial" w:eastAsia="Arial" w:hAnsi="Arial"/>
          <w:color w:val="333333"/>
          <w:sz w:val="21"/>
          <w:szCs w:val="21"/>
        </w:rPr>
        <w:t xml:space="preserve">Comply with emergency stop requirements including hardware-level emergency stop mechanisms that operate independently of software.</w:t>
      </w:r>
    </w:p>
    <w:p>
      <w:pPr>
        <w:pStyle w:val="ListParagraph"/>
        <w:numPr>
          <w:ilvl w:val="0"/>
          <w:numId w:val="2"/>
        </w:numPr>
        <w:spacing w:before="40" w:after="40" w:line="276"/>
      </w:pPr>
      <w:r>
        <w:rPr>
          <w:rFonts w:ascii="Arial" w:cs="Arial" w:eastAsia="Arial" w:hAnsi="Arial"/>
          <w:color w:val="333333"/>
          <w:sz w:val="21"/>
          <w:szCs w:val="21"/>
        </w:rPr>
        <w:t xml:space="preserve">Demonstrate tolerance to environmental unpredictability including conditions outside the system’s designed operating envelope.</w:t>
      </w:r>
    </w:p>
    <w:p>
      <w:pPr>
        <w:pStyle w:val="ListParagraph"/>
        <w:numPr>
          <w:ilvl w:val="0"/>
          <w:numId w:val="2"/>
        </w:numPr>
        <w:spacing w:before="40" w:after="40" w:line="276"/>
      </w:pPr>
      <w:r>
        <w:rPr>
          <w:rFonts w:ascii="Arial" w:cs="Arial" w:eastAsia="Arial" w:hAnsi="Arial"/>
          <w:color w:val="333333"/>
          <w:sz w:val="21"/>
          <w:szCs w:val="21"/>
        </w:rPr>
        <w:t xml:space="preserve">Implement human proximity safeguards with configurable safety zones, speed reduction, and automatic halt based on human detection.</w:t>
      </w:r>
    </w:p>
    <w:p>
      <w:pPr>
        <w:pStyle w:val="ListParagraph"/>
        <w:numPr>
          <w:ilvl w:val="0"/>
          <w:numId w:val="2"/>
        </w:numPr>
        <w:spacing w:before="40" w:after="40" w:line="276"/>
      </w:pPr>
      <w:r>
        <w:rPr>
          <w:rFonts w:ascii="Arial" w:cs="Arial" w:eastAsia="Arial" w:hAnsi="Arial"/>
          <w:color w:val="333333"/>
          <w:sz w:val="21"/>
          <w:szCs w:val="21"/>
        </w:rPr>
        <w:t xml:space="preserve">Maintain real-time environmental awareness sufficient to detect hazardous conditions.</w:t>
      </w:r>
    </w:p>
    <w:p>
      <w:pPr>
        <w:pStyle w:val="ListParagraph"/>
        <w:numPr>
          <w:ilvl w:val="0"/>
          <w:numId w:val="2"/>
        </w:numPr>
        <w:spacing w:before="40" w:after="40" w:line="276"/>
      </w:pPr>
      <w:r>
        <w:rPr>
          <w:rFonts w:ascii="Arial" w:cs="Arial" w:eastAsia="Arial" w:hAnsi="Arial"/>
          <w:color w:val="333333"/>
          <w:sz w:val="21"/>
          <w:szCs w:val="21"/>
        </w:rPr>
        <w:t xml:space="preserve">Implement redundant safety-critical pathways ensuring no single point of failure in physical safety mechanisms.</w:t>
      </w:r>
    </w:p>
    <w:p>
      <w:pPr>
        <w:pStyle w:val="ListParagraph"/>
        <w:numPr>
          <w:ilvl w:val="0"/>
          <w:numId w:val="2"/>
        </w:numPr>
        <w:spacing w:before="40" w:after="40" w:line="276"/>
      </w:pPr>
      <w:r>
        <w:rPr>
          <w:rFonts w:ascii="Arial" w:cs="Arial" w:eastAsia="Arial" w:hAnsi="Arial"/>
          <w:color w:val="333333"/>
          <w:sz w:val="21"/>
          <w:szCs w:val="21"/>
        </w:rPr>
        <w:t xml:space="preserve">Comply with applicable industry-specific physical safety standards (ISO 10218, ISO 13849, IEC 61508, etc.).</w:t>
      </w:r>
    </w:p>
    <w:p>
      <w:pPr>
        <w:pStyle w:val="ListParagraph"/>
        <w:numPr>
          <w:ilvl w:val="0"/>
          <w:numId w:val="2"/>
        </w:numPr>
        <w:spacing w:before="40" w:after="40" w:line="276"/>
      </w:pPr>
      <w:r>
        <w:rPr>
          <w:rFonts w:ascii="Arial" w:cs="Arial" w:eastAsia="Arial" w:hAnsi="Arial"/>
          <w:color w:val="333333"/>
          <w:sz w:val="21"/>
          <w:szCs w:val="21"/>
        </w:rPr>
        <w:t xml:space="preserve">Demonstrate safe behavior during power loss, communication loss, and controller failure conditions.</w:t>
      </w:r>
    </w:p>
    <w:p>
      <w:pPr>
        <w:pStyle w:val="ListParagraph"/>
        <w:numPr>
          <w:ilvl w:val="0"/>
          <w:numId w:val="2"/>
        </w:numPr>
        <w:spacing w:before="40" w:after="40" w:line="276"/>
      </w:pPr>
      <w:r>
        <w:rPr>
          <w:rFonts w:ascii="Arial" w:cs="Arial" w:eastAsia="Arial" w:hAnsi="Arial"/>
          <w:color w:val="333333"/>
          <w:sz w:val="21"/>
          <w:szCs w:val="21"/>
        </w:rPr>
        <w:t xml:space="preserve">Implement physical boundary enforcement preventing operation outside defined spatial constraints.</w:t>
      </w:r>
    </w:p>
    <w:p>
      <w:pPr>
        <w:pStyle w:val="Heading2"/>
        <w:spacing w:before="280" w:after="160"/>
      </w:pPr>
      <w:r>
        <w:rPr>
          <w:rFonts w:ascii="Arial" w:cs="Arial" w:eastAsia="Arial" w:hAnsi="Arial"/>
          <w:b/>
          <w:bCs/>
          <w:color w:val="2E4A7A"/>
          <w:sz w:val="26"/>
          <w:szCs w:val="26"/>
        </w:rPr>
        <w:t xml:space="preserve">13.2 ACR Coverage</w:t>
      </w:r>
    </w:p>
    <w:p>
      <w:pPr>
        <w:spacing w:before="80" w:after="80" w:line="276"/>
        <w:jc w:val="both"/>
      </w:pPr>
      <w:r>
        <w:rPr>
          <w:rFonts w:ascii="Arial" w:cs="Arial" w:eastAsia="Arial" w:hAnsi="Arial"/>
          <w:i w:val="false"/>
          <w:iCs w:val="false"/>
          <w:color w:val="333333"/>
          <w:sz w:val="21"/>
          <w:szCs w:val="21"/>
        </w:rPr>
        <w:t xml:space="preserve">Domain 13 contains </w:t>
      </w:r>
      <w:r>
        <w:rPr>
          <w:rFonts w:ascii="Arial" w:cs="Arial" w:eastAsia="Arial" w:hAnsi="Arial"/>
          <w:b/>
          <w:bCs/>
          <w:color w:val="333333"/>
          <w:sz w:val="21"/>
          <w:szCs w:val="21"/>
        </w:rPr>
        <w:t xml:space="preserve">30 Autonomous Control Requirements (ACRs)</w:t>
      </w:r>
      <w:r>
        <w:rPr>
          <w:rFonts w:ascii="Arial" w:cs="Arial" w:eastAsia="Arial" w:hAnsi="Arial"/>
          <w:i w:val="false"/>
          <w:iCs w:val="false"/>
          <w:color w:val="333333"/>
          <w:sz w:val="21"/>
          <w:szCs w:val="21"/>
        </w:rPr>
        <w:t xml:space="preserve"> in the ARA v1.0 standard. Representative examples:</w:t>
      </w:r>
    </w:p>
    <w:p>
      <w:pPr>
        <w:spacing w:before="40" w:after="40" w:line="276"/>
        <w:ind w:left="480"/>
      </w:pPr>
      <w:r>
        <w:rPr>
          <w:rFonts w:ascii="Courier New" w:cs="Courier New" w:eastAsia="Courier New" w:hAnsi="Courier New"/>
          <w:color w:val="333333"/>
          <w:sz w:val="18"/>
          <w:szCs w:val="18"/>
        </w:rPr>
        <w:t xml:space="preserve">ACR-13.01: The system SHALL demonstrate graceful degradation when primary sensors fail, maintaining safe operation on redundant sensors. [Evidence: Sensor failure test results.]</w:t>
      </w:r>
    </w:p>
    <w:p>
      <w:pPr>
        <w:spacing w:before="40" w:after="40" w:line="276"/>
        <w:ind w:left="480"/>
      </w:pPr>
      <w:r>
        <w:rPr>
          <w:rFonts w:ascii="Courier New" w:cs="Courier New" w:eastAsia="Courier New" w:hAnsi="Courier New"/>
          <w:color w:val="333333"/>
          <w:sz w:val="18"/>
          <w:szCs w:val="18"/>
        </w:rPr>
        <w:t xml:space="preserve">ACR-13.05: Emergency stop mechanisms SHALL operate independently of software and halt all physical actuation within defined time bounds. [Evidence: E-stop test results with timing measurements.]</w:t>
      </w:r>
    </w:p>
    <w:p>
      <w:pPr>
        <w:spacing w:before="100" w:after="0"/>
      </w:pPr>
    </w:p>
    <w:p>
      <w:pPr>
        <w:pStyle w:val="Heading1"/>
        <w:spacing w:before="360" w:after="200"/>
      </w:pPr>
      <w:r>
        <w:rPr>
          <w:rFonts w:ascii="Arial" w:cs="Arial" w:eastAsia="Arial" w:hAnsi="Arial"/>
          <w:b/>
          <w:bCs/>
          <w:color w:val="1B2A4A"/>
          <w:sz w:val="32"/>
          <w:szCs w:val="32"/>
        </w:rPr>
        <w:t xml:space="preserve">ACR Distribution Summary</w:t>
      </w:r>
    </w:p>
    <w:p>
      <w:pPr>
        <w:spacing w:before="80" w:after="80" w:line="276"/>
        <w:jc w:val="both"/>
      </w:pPr>
      <w:r>
        <w:rPr>
          <w:rFonts w:ascii="Arial" w:cs="Arial" w:eastAsia="Arial" w:hAnsi="Arial"/>
          <w:i w:val="false"/>
          <w:iCs w:val="false"/>
          <w:color w:val="333333"/>
          <w:sz w:val="21"/>
          <w:szCs w:val="21"/>
        </w:rPr>
        <w:t xml:space="preserve">The following table summarizes the distribution of Autonomous Control Requirements across all domains in ARA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Domain</w:t>
            </w:r>
          </w:p>
        </w:tc>
        <w:tc>
          <w:tcPr>
            <w:tcW w:type="dxa" w:w="57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Title</w:t>
            </w:r>
          </w:p>
        </w:tc>
        <w:tc>
          <w:tcPr>
            <w:tcW w:type="dxa" w:w="24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ACR Count</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Autonomy Scope Definition</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24</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c>
          <w:tcPr>
            <w:tcW w:type="dxa" w:w="5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Decision Integrity</w:t>
            </w:r>
          </w:p>
        </w:tc>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32</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Tool and API Governance</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28</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c>
          <w:tcPr>
            <w:tcW w:type="dxa" w:w="5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Identity and Permission Containment</w:t>
            </w:r>
          </w:p>
        </w:tc>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22</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Failure Mode Containment</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28</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c>
          <w:tcPr>
            <w:tcW w:type="dxa" w:w="5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Behavioral Reliability Under Stress</w:t>
            </w:r>
          </w:p>
        </w:tc>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32</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Adversarial Robustness</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38</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w:t>
            </w:r>
          </w:p>
        </w:tc>
        <w:tc>
          <w:tcPr>
            <w:tcW w:type="dxa" w:w="5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Drift Detection and Stability</w:t>
            </w:r>
          </w:p>
        </w:tc>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24</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Monitoring and Telemetry</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26</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w:t>
            </w:r>
          </w:p>
        </w:tc>
        <w:tc>
          <w:tcPr>
            <w:tcW w:type="dxa" w:w="5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Escalation and Human Override</w:t>
            </w:r>
          </w:p>
        </w:tc>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22</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11</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Auditability and Transparency</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24</w:t>
            </w:r>
          </w:p>
        </w:tc>
      </w:tr>
      <w:tr>
        <w:tc>
          <w:tcPr>
            <w:tcW w:type="dxa" w:w="1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12</w:t>
            </w:r>
          </w:p>
        </w:tc>
        <w:tc>
          <w:tcPr>
            <w:tcW w:type="dxa" w:w="57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Operational Governance Controls</w:t>
            </w:r>
          </w:p>
        </w:tc>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22</w:t>
            </w:r>
          </w:p>
        </w:tc>
      </w:tr>
      <w:tr>
        <w:tc>
          <w:tcPr>
            <w:tcW w:type="dxa" w:w="1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13</w:t>
            </w:r>
          </w:p>
        </w:tc>
        <w:tc>
          <w:tcPr>
            <w:tcW w:type="dxa" w:w="57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Physical Actuation Integrity (Extension Domain)</w:t>
            </w:r>
          </w:p>
        </w:tc>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30</w:t>
            </w:r>
          </w:p>
        </w:tc>
      </w:tr>
    </w:tbl>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Total ACRs in ARA v1.0: 352</w:t>
      </w:r>
      <w:r>
        <w:rPr>
          <w:rFonts w:ascii="Arial" w:cs="Arial" w:eastAsia="Arial" w:hAnsi="Arial"/>
          <w:i w:val="false"/>
          <w:iCs w:val="false"/>
          <w:color w:val="333333"/>
          <w:sz w:val="21"/>
          <w:szCs w:val="21"/>
        </w:rPr>
        <w:t xml:space="preserve"/>
      </w:r>
    </w:p>
    <w:p>
      <w:pPr>
        <w:pBdr>
          <w:left w:val="single" w:color="3B7DD8" w:sz="12" w:space="8"/>
        </w:pBdr>
        <w:spacing w:before="120" w:after="120" w:line="276"/>
        <w:ind w:left="360"/>
      </w:pPr>
      <w:r>
        <w:rPr>
          <w:rFonts w:ascii="Arial" w:cs="Arial" w:eastAsia="Arial" w:hAnsi="Arial"/>
          <w:b/>
          <w:bCs/>
          <w:color w:val="3B7DD8"/>
          <w:sz w:val="20"/>
          <w:szCs w:val="20"/>
        </w:rPr>
        <w:t xml:space="preserve">Note: </w:t>
      </w:r>
      <w:r>
        <w:rPr>
          <w:rFonts w:ascii="Arial" w:cs="Arial" w:eastAsia="Arial" w:hAnsi="Arial"/>
          <w:color w:val="666666"/>
          <w:sz w:val="20"/>
          <w:szCs w:val="20"/>
        </w:rPr>
        <w:t xml:space="preserve">Domain 13 (Physical Actuation Integrity) ACRs are only required for systems with physical actuation capabilities. The core digital-only ACR count is 322.</w:t>
      </w:r>
    </w:p>
    <w:p>
      <w:pPr>
        <w:pageBreakBefore/>
      </w:pPr>
    </w:p>
    <w:p>
      <w:pPr>
        <w:spacing w:before="600" w:after="200"/>
        <w:jc w:val="center"/>
      </w:pPr>
      <w:r>
        <w:rPr>
          <w:rFonts w:ascii="Arial" w:cs="Arial" w:eastAsia="Arial" w:hAnsi="Arial"/>
          <w:b/>
          <w:bCs/>
          <w:color w:val="1B2A4A"/>
          <w:sz w:val="36"/>
          <w:szCs w:val="36"/>
        </w:rPr>
        <w:t xml:space="preserve">PART III</w:t>
      </w:r>
    </w:p>
    <w:p>
      <w:pPr>
        <w:pBdr>
          <w:bottom w:val="single" w:color="3B7DD8" w:sz="4" w:space="8"/>
        </w:pBdr>
        <w:spacing w:after="400"/>
        <w:jc w:val="center"/>
      </w:pPr>
      <w:r>
        <w:rPr>
          <w:rFonts w:ascii="Arial" w:cs="Arial" w:eastAsia="Arial" w:hAnsi="Arial"/>
          <w:color w:val="2E4A7A"/>
          <w:sz w:val="30"/>
          <w:szCs w:val="30"/>
        </w:rPr>
        <w:t xml:space="preserve">EVALUATION CONTROL FRAMEWORK</w:t>
      </w:r>
    </w:p>
    <w:p>
      <w:pPr>
        <w:pStyle w:val="Heading1"/>
        <w:spacing w:before="360" w:after="200"/>
      </w:pPr>
      <w:r>
        <w:rPr>
          <w:rFonts w:ascii="Arial" w:cs="Arial" w:eastAsia="Arial" w:hAnsi="Arial"/>
          <w:b/>
          <w:bCs/>
          <w:color w:val="1B2A4A"/>
          <w:sz w:val="32"/>
          <w:szCs w:val="32"/>
        </w:rPr>
        <w:t xml:space="preserve">ACR Design Principles</w:t>
      </w:r>
    </w:p>
    <w:p>
      <w:pPr>
        <w:spacing w:before="80" w:after="80" w:line="276"/>
        <w:jc w:val="both"/>
      </w:pPr>
      <w:r>
        <w:rPr>
          <w:rFonts w:ascii="Arial" w:cs="Arial" w:eastAsia="Arial" w:hAnsi="Arial"/>
          <w:i w:val="false"/>
          <w:iCs w:val="false"/>
          <w:color w:val="333333"/>
          <w:sz w:val="21"/>
          <w:szCs w:val="21"/>
        </w:rPr>
        <w:t xml:space="preserve">Every Autonomous Control Requirement in the ARA Standard is designed according to the following principles:</w:t>
      </w:r>
    </w:p>
    <w:p>
      <w:pPr>
        <w:pStyle w:val="Heading3"/>
        <w:spacing w:before="200" w:after="120"/>
      </w:pPr>
      <w:r>
        <w:rPr>
          <w:rFonts w:ascii="Arial" w:cs="Arial" w:eastAsia="Arial" w:hAnsi="Arial"/>
          <w:b/>
          <w:bCs/>
          <w:color w:val="2E4A7A"/>
          <w:sz w:val="22"/>
          <w:szCs w:val="22"/>
        </w:rPr>
        <w:t xml:space="preserve">Testability</w:t>
      </w:r>
    </w:p>
    <w:p>
      <w:pPr>
        <w:spacing w:before="80" w:after="80" w:line="276"/>
        <w:jc w:val="both"/>
      </w:pPr>
      <w:r>
        <w:rPr>
          <w:rFonts w:ascii="Arial" w:cs="Arial" w:eastAsia="Arial" w:hAnsi="Arial"/>
          <w:i w:val="false"/>
          <w:iCs w:val="false"/>
          <w:color w:val="333333"/>
          <w:sz w:val="21"/>
          <w:szCs w:val="21"/>
        </w:rPr>
        <w:t xml:space="preserve">Each ACR must be evaluable through automated testing, human simulation, expert inspection, or a combination thereof. ACRs that cannot be reduced to an objective evaluation are excluded from the standard.</w:t>
      </w:r>
    </w:p>
    <w:p>
      <w:pPr>
        <w:pStyle w:val="Heading3"/>
        <w:spacing w:before="200" w:after="120"/>
      </w:pPr>
      <w:r>
        <w:rPr>
          <w:rFonts w:ascii="Arial" w:cs="Arial" w:eastAsia="Arial" w:hAnsi="Arial"/>
          <w:b/>
          <w:bCs/>
          <w:color w:val="2E4A7A"/>
          <w:sz w:val="22"/>
          <w:szCs w:val="22"/>
        </w:rPr>
        <w:t xml:space="preserve">Binary or Measurable Outcome</w:t>
      </w:r>
    </w:p>
    <w:p>
      <w:pPr>
        <w:spacing w:before="80" w:after="80" w:line="276"/>
        <w:jc w:val="both"/>
      </w:pPr>
      <w:r>
        <w:rPr>
          <w:rFonts w:ascii="Arial" w:cs="Arial" w:eastAsia="Arial" w:hAnsi="Arial"/>
          <w:i w:val="false"/>
          <w:iCs w:val="false"/>
          <w:color w:val="333333"/>
          <w:sz w:val="21"/>
          <w:szCs w:val="21"/>
        </w:rPr>
        <w:t xml:space="preserve">Every ACR produces either a binary result (pass/fail) or a quantitative measurement against a defined threshold. There are no subjective or opinion-based ACRs.</w:t>
      </w:r>
    </w:p>
    <w:p>
      <w:pPr>
        <w:pStyle w:val="Heading3"/>
        <w:spacing w:before="200" w:after="120"/>
      </w:pPr>
      <w:r>
        <w:rPr>
          <w:rFonts w:ascii="Arial" w:cs="Arial" w:eastAsia="Arial" w:hAnsi="Arial"/>
          <w:b/>
          <w:bCs/>
          <w:color w:val="2E4A7A"/>
          <w:sz w:val="22"/>
          <w:szCs w:val="22"/>
        </w:rPr>
        <w:t xml:space="preserve">Evidence-Linked</w:t>
      </w:r>
    </w:p>
    <w:p>
      <w:pPr>
        <w:spacing w:before="80" w:after="80" w:line="276"/>
        <w:jc w:val="both"/>
      </w:pPr>
      <w:r>
        <w:rPr>
          <w:rFonts w:ascii="Arial" w:cs="Arial" w:eastAsia="Arial" w:hAnsi="Arial"/>
          <w:i w:val="false"/>
          <w:iCs w:val="false"/>
          <w:color w:val="333333"/>
          <w:sz w:val="21"/>
          <w:szCs w:val="21"/>
        </w:rPr>
        <w:t xml:space="preserve">Every ACR evaluation must produce or reference a specific evidence artifact that substantiates the finding. Evaluations without documented evidence are invalid.</w:t>
      </w:r>
    </w:p>
    <w:p>
      <w:pPr>
        <w:pStyle w:val="Heading3"/>
        <w:spacing w:before="200" w:after="120"/>
      </w:pPr>
      <w:r>
        <w:rPr>
          <w:rFonts w:ascii="Arial" w:cs="Arial" w:eastAsia="Arial" w:hAnsi="Arial"/>
          <w:b/>
          <w:bCs/>
          <w:color w:val="2E4A7A"/>
          <w:sz w:val="22"/>
          <w:szCs w:val="22"/>
        </w:rPr>
        <w:t xml:space="preserve">Traceable to Certification Decision</w:t>
      </w:r>
    </w:p>
    <w:p>
      <w:pPr>
        <w:spacing w:before="80" w:after="80" w:line="276"/>
        <w:jc w:val="both"/>
      </w:pPr>
      <w:r>
        <w:rPr>
          <w:rFonts w:ascii="Arial" w:cs="Arial" w:eastAsia="Arial" w:hAnsi="Arial"/>
          <w:i w:val="false"/>
          <w:iCs w:val="false"/>
          <w:color w:val="333333"/>
          <w:sz w:val="21"/>
          <w:szCs w:val="21"/>
        </w:rPr>
        <w:t xml:space="preserve">Each ACR maps to a specific reliability domain and certification level. The certification scoring engine aggregates ACR results into domain scores and overall certification decisions with complete traceability.</w:t>
      </w:r>
    </w:p>
    <w:p>
      <w:pPr>
        <w:pStyle w:val="Heading1"/>
        <w:spacing w:before="360" w:after="200"/>
      </w:pPr>
      <w:r>
        <w:rPr>
          <w:rFonts w:ascii="Arial" w:cs="Arial" w:eastAsia="Arial" w:hAnsi="Arial"/>
          <w:b/>
          <w:bCs/>
          <w:color w:val="1B2A4A"/>
          <w:sz w:val="32"/>
          <w:szCs w:val="32"/>
        </w:rPr>
        <w:t xml:space="preserve">ACR Structure</w:t>
      </w:r>
    </w:p>
    <w:p>
      <w:pPr>
        <w:spacing w:before="80" w:after="80" w:line="276"/>
        <w:jc w:val="both"/>
      </w:pPr>
      <w:r>
        <w:rPr>
          <w:rFonts w:ascii="Arial" w:cs="Arial" w:eastAsia="Arial" w:hAnsi="Arial"/>
          <w:i w:val="false"/>
          <w:iCs w:val="false"/>
          <w:color w:val="333333"/>
          <w:sz w:val="21"/>
          <w:szCs w:val="21"/>
        </w:rPr>
        <w:t xml:space="preserve">Each ACR in the complete control matrix follows a standardized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Field</w:t>
            </w:r>
          </w:p>
        </w:tc>
        <w:tc>
          <w:tcPr>
            <w:tcW w:type="dxa" w:w="4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c>
          <w:tcPr>
            <w:tcW w:type="dxa" w:w="33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Example</w:t>
            </w:r>
          </w:p>
        </w:tc>
      </w:tr>
      <w:tr>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ACR ID</w:t>
            </w:r>
          </w:p>
        </w:tc>
        <w:tc>
          <w:tcPr>
            <w:tcW w:type="dxa" w:w="4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Unique identifier in format ACR-[Domain].[Sequence]</w:t>
            </w:r>
          </w:p>
        </w:tc>
        <w:tc>
          <w:tcPr>
            <w:tcW w:type="dxa" w:w="3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ACR-7.15</w:t>
            </w:r>
          </w:p>
        </w:tc>
      </w:tr>
      <w:tr>
        <w:tc>
          <w:tcPr>
            <w:tcW w:type="dxa" w:w="1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w:t>
            </w:r>
          </w:p>
        </w:tc>
        <w:tc>
          <w:tcPr>
            <w:tcW w:type="dxa" w:w="4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reliability domain to which the ACR belongs</w:t>
            </w:r>
          </w:p>
        </w:tc>
        <w:tc>
          <w:tcPr>
            <w:tcW w:type="dxa" w:w="3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 7: Adversarial Robustness</w:t>
            </w:r>
          </w:p>
        </w:tc>
      </w:tr>
      <w:tr>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Requirement Statement</w:t>
            </w:r>
          </w:p>
        </w:tc>
        <w:tc>
          <w:tcPr>
            <w:tcW w:type="dxa" w:w="4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SHALL/SHALL NOT statement defining the requirement</w:t>
            </w:r>
          </w:p>
        </w:tc>
        <w:tc>
          <w:tcPr>
            <w:tcW w:type="dxa" w:w="3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system SHALL resist indirect prompt injection...</w:t>
            </w:r>
          </w:p>
        </w:tc>
      </w:tr>
      <w:tr>
        <w:tc>
          <w:tcPr>
            <w:tcW w:type="dxa" w:w="1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Evaluation Method</w:t>
            </w:r>
          </w:p>
        </w:tc>
        <w:tc>
          <w:tcPr>
            <w:tcW w:type="dxa" w:w="4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How the ACR is tested (automated, simulation, inspection, or hybrid)</w:t>
            </w:r>
          </w:p>
        </w:tc>
        <w:tc>
          <w:tcPr>
            <w:tcW w:type="dxa" w:w="3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Automated adversarial test suite</w:t>
            </w:r>
          </w:p>
        </w:tc>
      </w:tr>
      <w:tr>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Evidence Type</w:t>
            </w:r>
          </w:p>
        </w:tc>
        <w:tc>
          <w:tcPr>
            <w:tcW w:type="dxa" w:w="4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type of artifact required to substantiate compliance</w:t>
            </w:r>
          </w:p>
        </w:tc>
        <w:tc>
          <w:tcPr>
            <w:tcW w:type="dxa" w:w="3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Test execution report with pass/fail results</w:t>
            </w:r>
          </w:p>
        </w:tc>
      </w:tr>
      <w:tr>
        <w:tc>
          <w:tcPr>
            <w:tcW w:type="dxa" w:w="1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Certification Level</w:t>
            </w:r>
          </w:p>
        </w:tc>
        <w:tc>
          <w:tcPr>
            <w:tcW w:type="dxa" w:w="4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minimum certification level at which this ACR applies</w:t>
            </w:r>
          </w:p>
        </w:tc>
        <w:tc>
          <w:tcPr>
            <w:tcW w:type="dxa" w:w="3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Level 2 and above</w:t>
            </w:r>
          </w:p>
        </w:tc>
      </w:tr>
      <w:tr>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Risk Weight</w:t>
            </w:r>
          </w:p>
        </w:tc>
        <w:tc>
          <w:tcPr>
            <w:tcW w:type="dxa" w:w="4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relative importance of this ACR in domain scoring (1–5 scale)</w:t>
            </w:r>
          </w:p>
        </w:tc>
        <w:tc>
          <w:tcPr>
            <w:tcW w:type="dxa" w:w="3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 (High)</w:t>
            </w:r>
          </w:p>
        </w:tc>
      </w:tr>
      <w:tr>
        <w:tc>
          <w:tcPr>
            <w:tcW w:type="dxa" w:w="18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Failure Consequence</w:t>
            </w:r>
          </w:p>
        </w:tc>
        <w:tc>
          <w:tcPr>
            <w:tcW w:type="dxa" w:w="4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The impact of failing this ACR (advisory, conditional, blocking)</w:t>
            </w:r>
          </w:p>
        </w:tc>
        <w:tc>
          <w:tcPr>
            <w:tcW w:type="dxa" w:w="3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Blocking: Level 2+ certification cannot be issued</w:t>
            </w:r>
          </w:p>
        </w:tc>
      </w:tr>
      <w:tr>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Cross-References</w:t>
            </w:r>
          </w:p>
        </w:tc>
        <w:tc>
          <w:tcPr>
            <w:tcW w:type="dxa" w:w="4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Related ACRs, standards, or regulatory requirements</w:t>
            </w:r>
          </w:p>
        </w:tc>
        <w:tc>
          <w:tcPr>
            <w:tcW w:type="dxa" w:w="3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NIST AI RMF Map 1.2; OWASP LLM-01</w:t>
            </w:r>
          </w:p>
        </w:tc>
      </w:tr>
    </w:tbl>
    <w:p>
      <w:pPr>
        <w:pStyle w:val="Heading1"/>
        <w:spacing w:before="360" w:after="200"/>
      </w:pPr>
      <w:r>
        <w:rPr>
          <w:rFonts w:ascii="Arial" w:cs="Arial" w:eastAsia="Arial" w:hAnsi="Arial"/>
          <w:b/>
          <w:bCs/>
          <w:color w:val="1B2A4A"/>
          <w:sz w:val="32"/>
          <w:szCs w:val="32"/>
        </w:rPr>
        <w:t xml:space="preserve">Evaluation Methods</w:t>
      </w:r>
    </w:p>
    <w:p>
      <w:pPr>
        <w:spacing w:before="80" w:after="80" w:line="276"/>
        <w:jc w:val="both"/>
      </w:pPr>
      <w:r>
        <w:rPr>
          <w:rFonts w:ascii="Arial" w:cs="Arial" w:eastAsia="Arial" w:hAnsi="Arial"/>
          <w:i w:val="false"/>
          <w:iCs w:val="false"/>
          <w:color w:val="333333"/>
          <w:sz w:val="21"/>
          <w:szCs w:val="21"/>
        </w:rPr>
        <w:t xml:space="preserve">ARA evaluations employ four primary evaluation methods, applied individually or in combination:</w:t>
      </w:r>
    </w:p>
    <w:p>
      <w:pPr>
        <w:pStyle w:val="Heading2"/>
        <w:spacing w:before="280" w:after="160"/>
      </w:pPr>
      <w:r>
        <w:rPr>
          <w:rFonts w:ascii="Arial" w:cs="Arial" w:eastAsia="Arial" w:hAnsi="Arial"/>
          <w:b/>
          <w:bCs/>
          <w:color w:val="2E4A7A"/>
          <w:sz w:val="26"/>
          <w:szCs w:val="26"/>
        </w:rPr>
        <w:t xml:space="preserve">Automated Testing</w:t>
      </w:r>
    </w:p>
    <w:p>
      <w:pPr>
        <w:spacing w:before="80" w:after="80" w:line="276"/>
        <w:jc w:val="both"/>
      </w:pPr>
      <w:r>
        <w:rPr>
          <w:rFonts w:ascii="Arial" w:cs="Arial" w:eastAsia="Arial" w:hAnsi="Arial"/>
          <w:i w:val="false"/>
          <w:iCs w:val="false"/>
          <w:color w:val="333333"/>
          <w:sz w:val="21"/>
          <w:szCs w:val="21"/>
        </w:rPr>
        <w:t xml:space="preserve">Standardized test suites executed against the system under controlled conditions. Includes adversarial test batteries, boundary enforcement tests, behavioral consistency tests, and regression suites. Automated tests produce deterministic, repeatable results.</w:t>
      </w:r>
    </w:p>
    <w:p>
      <w:pPr>
        <w:pStyle w:val="Heading2"/>
        <w:spacing w:before="280" w:after="160"/>
      </w:pPr>
      <w:r>
        <w:rPr>
          <w:rFonts w:ascii="Arial" w:cs="Arial" w:eastAsia="Arial" w:hAnsi="Arial"/>
          <w:b/>
          <w:bCs/>
          <w:color w:val="2E4A7A"/>
          <w:sz w:val="26"/>
          <w:szCs w:val="26"/>
        </w:rPr>
        <w:t xml:space="preserve">Human Simulation</w:t>
      </w:r>
    </w:p>
    <w:p>
      <w:pPr>
        <w:spacing w:before="80" w:after="80" w:line="276"/>
        <w:jc w:val="both"/>
      </w:pPr>
      <w:r>
        <w:rPr>
          <w:rFonts w:ascii="Arial" w:cs="Arial" w:eastAsia="Arial" w:hAnsi="Arial"/>
          <w:i w:val="false"/>
          <w:iCs w:val="false"/>
          <w:color w:val="333333"/>
          <w:sz w:val="21"/>
          <w:szCs w:val="21"/>
        </w:rPr>
        <w:t xml:space="preserve">Controlled exercises in which trained evaluators interact with the system as adversaries, edge-case users, or stress testers. Human simulation captures failure modes that automated tests may miss, particularly in natural language interaction, social engineering resistance, and multi-step attack sequences.</w:t>
      </w:r>
    </w:p>
    <w:p>
      <w:pPr>
        <w:pStyle w:val="Heading2"/>
        <w:spacing w:before="280" w:after="160"/>
      </w:pPr>
      <w:r>
        <w:rPr>
          <w:rFonts w:ascii="Arial" w:cs="Arial" w:eastAsia="Arial" w:hAnsi="Arial"/>
          <w:b/>
          <w:bCs/>
          <w:color w:val="2E4A7A"/>
          <w:sz w:val="26"/>
          <w:szCs w:val="26"/>
        </w:rPr>
        <w:t xml:space="preserve">Expert Inspection</w:t>
      </w:r>
    </w:p>
    <w:p>
      <w:pPr>
        <w:spacing w:before="80" w:after="80" w:line="276"/>
        <w:jc w:val="both"/>
      </w:pPr>
      <w:r>
        <w:rPr>
          <w:rFonts w:ascii="Arial" w:cs="Arial" w:eastAsia="Arial" w:hAnsi="Arial"/>
          <w:i w:val="false"/>
          <w:iCs w:val="false"/>
          <w:color w:val="333333"/>
          <w:sz w:val="21"/>
          <w:szCs w:val="21"/>
        </w:rPr>
        <w:t xml:space="preserve">Qualified assessors review system documentation, architecture, configuration, and operational procedures. Inspection covers governance controls, process maturity, and design-level adequacy that cannot be assessed through testing alone.</w:t>
      </w:r>
    </w:p>
    <w:p>
      <w:pPr>
        <w:pStyle w:val="Heading2"/>
        <w:spacing w:before="280" w:after="160"/>
      </w:pPr>
      <w:r>
        <w:rPr>
          <w:rFonts w:ascii="Arial" w:cs="Arial" w:eastAsia="Arial" w:hAnsi="Arial"/>
          <w:b/>
          <w:bCs/>
          <w:color w:val="2E4A7A"/>
          <w:sz w:val="26"/>
          <w:szCs w:val="26"/>
        </w:rPr>
        <w:t xml:space="preserve">Continuous Monitoring Verification</w:t>
      </w:r>
    </w:p>
    <w:p>
      <w:pPr>
        <w:spacing w:before="80" w:after="80" w:line="276"/>
        <w:jc w:val="both"/>
      </w:pPr>
      <w:r>
        <w:rPr>
          <w:rFonts w:ascii="Arial" w:cs="Arial" w:eastAsia="Arial" w:hAnsi="Arial"/>
          <w:i w:val="false"/>
          <w:iCs w:val="false"/>
          <w:color w:val="333333"/>
          <w:sz w:val="21"/>
          <w:szCs w:val="21"/>
        </w:rPr>
        <w:t xml:space="preserve">Assessment of the system’s runtime monitoring infrastructure including telemetry coverage, alert configuration, drift detection sensitivity, and incident response integration. This method verifies that the prerequisites for ongoing compliance are in place.</w:t>
      </w:r>
    </w:p>
    <w:p>
      <w:pPr>
        <w:pStyle w:val="Heading1"/>
        <w:spacing w:before="360" w:after="200"/>
      </w:pPr>
      <w:r>
        <w:rPr>
          <w:rFonts w:ascii="Arial" w:cs="Arial" w:eastAsia="Arial" w:hAnsi="Arial"/>
          <w:b/>
          <w:bCs/>
          <w:color w:val="1B2A4A"/>
          <w:sz w:val="32"/>
          <w:szCs w:val="32"/>
        </w:rPr>
        <w:t xml:space="preserve">Scoring Methodology</w:t>
      </w:r>
    </w:p>
    <w:p>
      <w:pPr>
        <w:pStyle w:val="Heading2"/>
        <w:spacing w:before="280" w:after="160"/>
      </w:pPr>
      <w:r>
        <w:rPr>
          <w:rFonts w:ascii="Arial" w:cs="Arial" w:eastAsia="Arial" w:hAnsi="Arial"/>
          <w:b/>
          <w:bCs/>
          <w:color w:val="2E4A7A"/>
          <w:sz w:val="26"/>
          <w:szCs w:val="26"/>
        </w:rPr>
        <w:t xml:space="preserve">Domain Scoring</w:t>
      </w:r>
    </w:p>
    <w:p>
      <w:pPr>
        <w:spacing w:before="80" w:after="80" w:line="276"/>
        <w:jc w:val="both"/>
      </w:pPr>
      <w:r>
        <w:rPr>
          <w:rFonts w:ascii="Arial" w:cs="Arial" w:eastAsia="Arial" w:hAnsi="Arial"/>
          <w:i w:val="false"/>
          <w:iCs w:val="false"/>
          <w:color w:val="333333"/>
          <w:sz w:val="21"/>
          <w:szCs w:val="21"/>
        </w:rPr>
        <w:t xml:space="preserve">Each domain produces a domain score based on the weighted aggregate of its constituent ACR results. Domain scores are calculated as:</w:t>
      </w:r>
    </w:p>
    <w:p>
      <w:pPr>
        <w:spacing w:before="80" w:after="80" w:line="276"/>
        <w:jc w:val="center"/>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Domain Score = Σ (ACR Result × Risk Weight) / Σ (Max Possible × Risk Weight) × 100</w:t>
      </w:r>
      <w:r>
        <w:rPr>
          <w:rFonts w:ascii="Arial" w:cs="Arial" w:eastAsia="Arial" w:hAnsi="Arial"/>
          <w:i w:val="false"/>
          <w:iCs w:val="false"/>
          <w:color w:val="333333"/>
          <w:sz w:val="21"/>
          <w:szCs w:val="21"/>
        </w:rPr>
        <w:t xml:space="preserve"/>
      </w:r>
    </w:p>
    <w:p>
      <w:pPr>
        <w:spacing w:before="80" w:after="80" w:line="276"/>
        <w:jc w:val="both"/>
      </w:pPr>
      <w:r>
        <w:rPr>
          <w:rFonts w:ascii="Arial" w:cs="Arial" w:eastAsia="Arial" w:hAnsi="Arial"/>
          <w:i w:val="false"/>
          <w:iCs w:val="false"/>
          <w:color w:val="333333"/>
          <w:sz w:val="21"/>
          <w:szCs w:val="21"/>
        </w:rPr>
        <w:t xml:space="preserve">Domain scores range from 0 to 100. Minimum passing scores are defined per domain per certification level.</w:t>
      </w:r>
    </w:p>
    <w:p>
      <w:pPr>
        <w:pStyle w:val="Heading2"/>
        <w:spacing w:before="280" w:after="160"/>
      </w:pPr>
      <w:r>
        <w:rPr>
          <w:rFonts w:ascii="Arial" w:cs="Arial" w:eastAsia="Arial" w:hAnsi="Arial"/>
          <w:b/>
          <w:bCs/>
          <w:color w:val="2E4A7A"/>
          <w:sz w:val="26"/>
          <w:szCs w:val="26"/>
        </w:rPr>
        <w:t xml:space="preserve">Blocking ACRs</w:t>
      </w:r>
    </w:p>
    <w:p>
      <w:pPr>
        <w:spacing w:before="80" w:after="80" w:line="276"/>
        <w:jc w:val="both"/>
      </w:pPr>
      <w:r>
        <w:rPr>
          <w:rFonts w:ascii="Arial" w:cs="Arial" w:eastAsia="Arial" w:hAnsi="Arial"/>
          <w:i w:val="false"/>
          <w:iCs w:val="false"/>
          <w:color w:val="333333"/>
          <w:sz w:val="21"/>
          <w:szCs w:val="21"/>
        </w:rPr>
        <w:t xml:space="preserve">Certain ACRs are designated as </w:t>
      </w:r>
      <w:r>
        <w:rPr>
          <w:rFonts w:ascii="Arial" w:cs="Arial" w:eastAsia="Arial" w:hAnsi="Arial"/>
          <w:b/>
          <w:bCs/>
          <w:color w:val="333333"/>
          <w:sz w:val="21"/>
          <w:szCs w:val="21"/>
        </w:rPr>
        <w:t xml:space="preserve">blocking</w:t>
      </w:r>
      <w:r>
        <w:rPr>
          <w:rFonts w:ascii="Arial" w:cs="Arial" w:eastAsia="Arial" w:hAnsi="Arial"/>
          <w:i w:val="false"/>
          <w:iCs w:val="false"/>
          <w:color w:val="333333"/>
          <w:sz w:val="21"/>
          <w:szCs w:val="21"/>
        </w:rPr>
        <w:t xml:space="preserve">, meaning that failure of a single blocking ACR prevents certification at the specified level regardless of overall domain score. Blocking ACRs represent requirements where no compensating control is acceptable.</w:t>
      </w:r>
    </w:p>
    <w:p>
      <w:pPr>
        <w:pStyle w:val="Heading2"/>
        <w:spacing w:before="280" w:after="160"/>
      </w:pPr>
      <w:r>
        <w:rPr>
          <w:rFonts w:ascii="Arial" w:cs="Arial" w:eastAsia="Arial" w:hAnsi="Arial"/>
          <w:b/>
          <w:bCs/>
          <w:color w:val="2E4A7A"/>
          <w:sz w:val="26"/>
          <w:szCs w:val="26"/>
        </w:rPr>
        <w:t xml:space="preserve">Conditional Pass</w:t>
      </w:r>
    </w:p>
    <w:p>
      <w:pPr>
        <w:spacing w:before="80" w:after="80" w:line="276"/>
        <w:jc w:val="both"/>
      </w:pPr>
      <w:r>
        <w:rPr>
          <w:rFonts w:ascii="Arial" w:cs="Arial" w:eastAsia="Arial" w:hAnsi="Arial"/>
          <w:i w:val="false"/>
          <w:iCs w:val="false"/>
          <w:color w:val="333333"/>
          <w:sz w:val="21"/>
          <w:szCs w:val="21"/>
        </w:rPr>
        <w:t xml:space="preserve">Systems that meet minimum domain scores but fail non-blocking ACRs may receive a </w:t>
      </w:r>
      <w:r>
        <w:rPr>
          <w:rFonts w:ascii="Arial" w:cs="Arial" w:eastAsia="Arial" w:hAnsi="Arial"/>
          <w:b/>
          <w:bCs/>
          <w:color w:val="333333"/>
          <w:sz w:val="21"/>
          <w:szCs w:val="21"/>
        </w:rPr>
        <w:t xml:space="preserve">conditional certification</w:t>
      </w:r>
      <w:r>
        <w:rPr>
          <w:rFonts w:ascii="Arial" w:cs="Arial" w:eastAsia="Arial" w:hAnsi="Arial"/>
          <w:i w:val="false"/>
          <w:iCs w:val="false"/>
          <w:color w:val="333333"/>
          <w:sz w:val="21"/>
          <w:szCs w:val="21"/>
        </w:rPr>
        <w:t xml:space="preserve"> with a defined remediation timeline (not exceeding 90 days). Conditional certifications are noted in the registry.</w:t>
      </w:r>
    </w:p>
    <w:p>
      <w:pPr>
        <w:pStyle w:val="Heading2"/>
        <w:spacing w:before="280" w:after="160"/>
      </w:pPr>
      <w:r>
        <w:rPr>
          <w:rFonts w:ascii="Arial" w:cs="Arial" w:eastAsia="Arial" w:hAnsi="Arial"/>
          <w:b/>
          <w:bCs/>
          <w:color w:val="2E4A7A"/>
          <w:sz w:val="26"/>
          <w:szCs w:val="26"/>
        </w:rPr>
        <w:t xml:space="preserve">Overall Certification Decision</w:t>
      </w:r>
    </w:p>
    <w:p>
      <w:pPr>
        <w:spacing w:before="80" w:after="80" w:line="276"/>
        <w:jc w:val="both"/>
      </w:pPr>
      <w:r>
        <w:rPr>
          <w:rFonts w:ascii="Arial" w:cs="Arial" w:eastAsia="Arial" w:hAnsi="Arial"/>
          <w:i w:val="false"/>
          <w:iCs w:val="false"/>
          <w:color w:val="333333"/>
          <w:sz w:val="21"/>
          <w:szCs w:val="21"/>
        </w:rPr>
        <w:t xml:space="preserve">The certification decision integrates domain scores, blocking ACR status, conditional pass conditions, and expert review findings. The ARAF Certification Office makes the final determination based on the complete evaluation report from the AVB.</w:t>
      </w:r>
    </w:p>
    <w:p>
      <w:pPr>
        <w:pageBreakBefore/>
      </w:pPr>
    </w:p>
    <w:p>
      <w:pPr>
        <w:spacing w:before="600" w:after="200"/>
        <w:jc w:val="center"/>
      </w:pPr>
      <w:r>
        <w:rPr>
          <w:rFonts w:ascii="Arial" w:cs="Arial" w:eastAsia="Arial" w:hAnsi="Arial"/>
          <w:b/>
          <w:bCs/>
          <w:color w:val="1B2A4A"/>
          <w:sz w:val="36"/>
          <w:szCs w:val="36"/>
        </w:rPr>
        <w:t xml:space="preserve">PART IV</w:t>
      </w:r>
    </w:p>
    <w:p>
      <w:pPr>
        <w:pBdr>
          <w:bottom w:val="single" w:color="3B7DD8" w:sz="4" w:space="8"/>
        </w:pBdr>
        <w:spacing w:after="400"/>
        <w:jc w:val="center"/>
      </w:pPr>
      <w:r>
        <w:rPr>
          <w:rFonts w:ascii="Arial" w:cs="Arial" w:eastAsia="Arial" w:hAnsi="Arial"/>
          <w:color w:val="2E4A7A"/>
          <w:sz w:val="30"/>
          <w:szCs w:val="30"/>
        </w:rPr>
        <w:t xml:space="preserve">CERTIFICATION LEVELS</w:t>
      </w:r>
    </w:p>
    <w:p>
      <w:pPr>
        <w:spacing w:before="80" w:after="80" w:line="276"/>
        <w:jc w:val="both"/>
      </w:pPr>
      <w:r>
        <w:rPr>
          <w:rFonts w:ascii="Arial" w:cs="Arial" w:eastAsia="Arial" w:hAnsi="Arial"/>
          <w:i w:val="false"/>
          <w:iCs w:val="false"/>
          <w:color w:val="333333"/>
          <w:sz w:val="21"/>
          <w:szCs w:val="21"/>
        </w:rPr>
        <w:t xml:space="preserve">The ARA Standard defines three certification levels reflecting increasing degrees of autonomous capability and correspondingly increasing rigor of evaluation. The certification level required for a given system is determined by its risk classification, operational autonomy, and deployment context.</w:t>
      </w:r>
    </w:p>
    <w:p>
      <w:pPr>
        <w:spacing w:before="100" w:after="0"/>
      </w:pPr>
    </w:p>
    <w:p>
      <w:pPr>
        <w:pStyle w:val="Heading1"/>
        <w:spacing w:before="360" w:after="200"/>
      </w:pPr>
      <w:r>
        <w:rPr>
          <w:rFonts w:ascii="Arial" w:cs="Arial" w:eastAsia="Arial" w:hAnsi="Arial"/>
          <w:b/>
          <w:bCs/>
          <w:color w:val="1B2A4A"/>
          <w:sz w:val="32"/>
          <w:szCs w:val="32"/>
        </w:rPr>
        <w:t xml:space="preserve">Level 1 — Supervised Operational Reliability</w:t>
      </w:r>
    </w:p>
    <w:p>
      <w:pPr>
        <w:pStyle w:val="Heading2"/>
        <w:spacing w:before="280" w:after="160"/>
      </w:pPr>
      <w:r>
        <w:rPr>
          <w:rFonts w:ascii="Arial" w:cs="Arial" w:eastAsia="Arial" w:hAnsi="Arial"/>
          <w:b/>
          <w:bCs/>
          <w:color w:val="2E4A7A"/>
          <w:sz w:val="26"/>
          <w:szCs w:val="26"/>
        </w:rPr>
        <w:t xml:space="preserve">Description</w:t>
      </w:r>
    </w:p>
    <w:p>
      <w:pPr>
        <w:spacing w:before="80" w:after="80" w:line="276"/>
        <w:jc w:val="both"/>
      </w:pPr>
      <w:r>
        <w:rPr>
          <w:rFonts w:ascii="Arial" w:cs="Arial" w:eastAsia="Arial" w:hAnsi="Arial"/>
          <w:i w:val="false"/>
          <w:iCs w:val="false"/>
          <w:color w:val="333333"/>
          <w:sz w:val="21"/>
          <w:szCs w:val="21"/>
        </w:rPr>
        <w:t xml:space="preserve">Level 1 certifies systems that operate with significant human oversight, where the autonomous component augments human decision-making but does not independently execute high-impact actions. Human-in-the-loop enforcement is a mandatory characteristic of Level 1 systems.</w:t>
      </w:r>
    </w:p>
    <w:p>
      <w:pPr>
        <w:pStyle w:val="Heading2"/>
        <w:spacing w:before="280" w:after="160"/>
      </w:pPr>
      <w:r>
        <w:rPr>
          <w:rFonts w:ascii="Arial" w:cs="Arial" w:eastAsia="Arial" w:hAnsi="Arial"/>
          <w:b/>
          <w:bCs/>
          <w:color w:val="2E4A7A"/>
          <w:sz w:val="26"/>
          <w:szCs w:val="26"/>
        </w:rPr>
        <w:t xml:space="preserve">Requirements</w:t>
      </w:r>
    </w:p>
    <w:p>
      <w:pPr>
        <w:pStyle w:val="ListParagraph"/>
        <w:numPr>
          <w:ilvl w:val="0"/>
          <w:numId w:val="2"/>
        </w:numPr>
        <w:spacing w:before="40" w:after="40" w:line="276"/>
      </w:pPr>
      <w:r>
        <w:rPr>
          <w:rFonts w:ascii="Arial" w:cs="Arial" w:eastAsia="Arial" w:hAnsi="Arial"/>
          <w:color w:val="333333"/>
          <w:sz w:val="21"/>
          <w:szCs w:val="21"/>
        </w:rPr>
        <w:t xml:space="preserve">All reliability domains evaluated except advanced drift stress testing (Domain 8 reduced scope).</w:t>
      </w:r>
    </w:p>
    <w:p>
      <w:pPr>
        <w:pStyle w:val="ListParagraph"/>
        <w:numPr>
          <w:ilvl w:val="0"/>
          <w:numId w:val="2"/>
        </w:numPr>
        <w:spacing w:before="40" w:after="40" w:line="276"/>
      </w:pPr>
      <w:r>
        <w:rPr>
          <w:rFonts w:ascii="Arial" w:cs="Arial" w:eastAsia="Arial" w:hAnsi="Arial"/>
          <w:color w:val="333333"/>
          <w:sz w:val="21"/>
          <w:szCs w:val="21"/>
        </w:rPr>
        <w:t xml:space="preserve">Minimum 160 ACRs passed across all applicable domains.</w:t>
      </w:r>
    </w:p>
    <w:p>
      <w:pPr>
        <w:pStyle w:val="ListParagraph"/>
        <w:numPr>
          <w:ilvl w:val="0"/>
          <w:numId w:val="2"/>
        </w:numPr>
        <w:spacing w:before="40" w:after="40" w:line="276"/>
      </w:pPr>
      <w:r>
        <w:rPr>
          <w:rFonts w:ascii="Arial" w:cs="Arial" w:eastAsia="Arial" w:hAnsi="Arial"/>
          <w:color w:val="333333"/>
          <w:sz w:val="21"/>
          <w:szCs w:val="21"/>
        </w:rPr>
        <w:t xml:space="preserve">Human-in-the-loop enforcement documented and verified for all high-impact action classes.</w:t>
      </w:r>
    </w:p>
    <w:p>
      <w:pPr>
        <w:pStyle w:val="ListParagraph"/>
        <w:numPr>
          <w:ilvl w:val="0"/>
          <w:numId w:val="2"/>
        </w:numPr>
        <w:spacing w:before="40" w:after="40" w:line="276"/>
      </w:pPr>
      <w:r>
        <w:rPr>
          <w:rFonts w:ascii="Arial" w:cs="Arial" w:eastAsia="Arial" w:hAnsi="Arial"/>
          <w:color w:val="333333"/>
          <w:sz w:val="21"/>
          <w:szCs w:val="21"/>
        </w:rPr>
        <w:t xml:space="preserve">Basic adversarial testing completed (standardized test suite; red team not required).</w:t>
      </w:r>
    </w:p>
    <w:p>
      <w:pPr>
        <w:pStyle w:val="ListParagraph"/>
        <w:numPr>
          <w:ilvl w:val="0"/>
          <w:numId w:val="2"/>
        </w:numPr>
        <w:spacing w:before="40" w:after="40" w:line="276"/>
      </w:pPr>
      <w:r>
        <w:rPr>
          <w:rFonts w:ascii="Arial" w:cs="Arial" w:eastAsia="Arial" w:hAnsi="Arial"/>
          <w:color w:val="333333"/>
          <w:sz w:val="21"/>
          <w:szCs w:val="21"/>
        </w:rPr>
        <w:t xml:space="preserve">Monitoring infrastructure operational with minimum telemetry coverage verified.</w:t>
      </w:r>
    </w:p>
    <w:p>
      <w:pPr>
        <w:pStyle w:val="ListParagraph"/>
        <w:numPr>
          <w:ilvl w:val="0"/>
          <w:numId w:val="2"/>
        </w:numPr>
        <w:spacing w:before="40" w:after="40" w:line="276"/>
      </w:pPr>
      <w:r>
        <w:rPr>
          <w:rFonts w:ascii="Arial" w:cs="Arial" w:eastAsia="Arial" w:hAnsi="Arial"/>
          <w:color w:val="333333"/>
          <w:sz w:val="21"/>
          <w:szCs w:val="21"/>
        </w:rPr>
        <w:t xml:space="preserve">Annual reassessment required.</w:t>
      </w:r>
    </w:p>
    <w:p>
      <w:pPr>
        <w:pStyle w:val="Heading2"/>
        <w:spacing w:before="280" w:after="160"/>
      </w:pPr>
      <w:r>
        <w:rPr>
          <w:rFonts w:ascii="Arial" w:cs="Arial" w:eastAsia="Arial" w:hAnsi="Arial"/>
          <w:b/>
          <w:bCs/>
          <w:color w:val="2E4A7A"/>
          <w:sz w:val="26"/>
          <w:szCs w:val="26"/>
        </w:rPr>
        <w:t xml:space="preserve">Applicable System Types</w:t>
      </w:r>
    </w:p>
    <w:p>
      <w:pPr>
        <w:pStyle w:val="ListParagraph"/>
        <w:numPr>
          <w:ilvl w:val="0"/>
          <w:numId w:val="2"/>
        </w:numPr>
        <w:spacing w:before="40" w:after="40" w:line="276"/>
      </w:pPr>
      <w:r>
        <w:rPr>
          <w:rFonts w:ascii="Arial" w:cs="Arial" w:eastAsia="Arial" w:hAnsi="Arial"/>
          <w:color w:val="333333"/>
          <w:sz w:val="21"/>
          <w:szCs w:val="21"/>
        </w:rPr>
        <w:t xml:space="preserve">Internal enterprise copilots and advisory systems</w:t>
      </w:r>
    </w:p>
    <w:p>
      <w:pPr>
        <w:pStyle w:val="ListParagraph"/>
        <w:numPr>
          <w:ilvl w:val="0"/>
          <w:numId w:val="2"/>
        </w:numPr>
        <w:spacing w:before="40" w:after="40" w:line="276"/>
      </w:pPr>
      <w:r>
        <w:rPr>
          <w:rFonts w:ascii="Arial" w:cs="Arial" w:eastAsia="Arial" w:hAnsi="Arial"/>
          <w:color w:val="333333"/>
          <w:sz w:val="21"/>
          <w:szCs w:val="21"/>
        </w:rPr>
        <w:t xml:space="preserve">AI-assisted decision support tools with human approval gates</w:t>
      </w:r>
    </w:p>
    <w:p>
      <w:pPr>
        <w:pStyle w:val="ListParagraph"/>
        <w:numPr>
          <w:ilvl w:val="0"/>
          <w:numId w:val="2"/>
        </w:numPr>
        <w:spacing w:before="40" w:after="40" w:line="276"/>
      </w:pPr>
      <w:r>
        <w:rPr>
          <w:rFonts w:ascii="Arial" w:cs="Arial" w:eastAsia="Arial" w:hAnsi="Arial"/>
          <w:color w:val="333333"/>
          <w:sz w:val="21"/>
          <w:szCs w:val="21"/>
        </w:rPr>
        <w:t xml:space="preserve">Content generation systems with human review workflows</w:t>
      </w:r>
    </w:p>
    <w:p>
      <w:pPr>
        <w:pStyle w:val="ListParagraph"/>
        <w:numPr>
          <w:ilvl w:val="0"/>
          <w:numId w:val="2"/>
        </w:numPr>
        <w:spacing w:before="40" w:after="40" w:line="276"/>
      </w:pPr>
      <w:r>
        <w:rPr>
          <w:rFonts w:ascii="Arial" w:cs="Arial" w:eastAsia="Arial" w:hAnsi="Arial"/>
          <w:color w:val="333333"/>
          <w:sz w:val="21"/>
          <w:szCs w:val="21"/>
        </w:rPr>
        <w:t xml:space="preserve">Customer service automation with human escalation pathways</w:t>
      </w:r>
    </w:p>
    <w:p>
      <w:pPr>
        <w:pStyle w:val="ListParagraph"/>
        <w:numPr>
          <w:ilvl w:val="0"/>
          <w:numId w:val="2"/>
        </w:numPr>
        <w:spacing w:before="40" w:after="40" w:line="276"/>
      </w:pPr>
      <w:r>
        <w:rPr>
          <w:rFonts w:ascii="Arial" w:cs="Arial" w:eastAsia="Arial" w:hAnsi="Arial"/>
          <w:color w:val="333333"/>
          <w:sz w:val="21"/>
          <w:szCs w:val="21"/>
        </w:rPr>
        <w:t xml:space="preserve">Code assistants and development tools with human review</w:t>
      </w:r>
    </w:p>
    <w:p>
      <w:pPr>
        <w:pStyle w:val="Heading2"/>
        <w:spacing w:before="280" w:after="160"/>
      </w:pPr>
      <w:r>
        <w:rPr>
          <w:rFonts w:ascii="Arial" w:cs="Arial" w:eastAsia="Arial" w:hAnsi="Arial"/>
          <w:b/>
          <w:bCs/>
          <w:color w:val="2E4A7A"/>
          <w:sz w:val="26"/>
          <w:szCs w:val="26"/>
        </w:rPr>
        <w:t xml:space="preserve">Minimum Domain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Domain</w:t>
            </w:r>
          </w:p>
        </w:tc>
        <w:tc>
          <w:tcPr>
            <w:tcW w:type="dxa" w:w="288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Minimum Score</w:t>
            </w:r>
          </w:p>
        </w:tc>
        <w:tc>
          <w:tcPr>
            <w:tcW w:type="dxa" w:w="288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Blocking ACRs</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 Autonomy Scope</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 Decision Integrity</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 Tool Governance</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 Identity Containment</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 Failure Containment</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 Behavioral Reliability</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 Adversarial Robustness</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 Drift Detection</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55% (reduced)</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0</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 Monitoring</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 Escalation</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11: Auditability</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12: Governance</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bl>
    <w:p>
      <w:pPr>
        <w:spacing w:before="200" w:after="0"/>
      </w:pPr>
    </w:p>
    <w:p>
      <w:pPr>
        <w:pStyle w:val="Heading1"/>
        <w:spacing w:before="360" w:after="200"/>
      </w:pPr>
      <w:r>
        <w:rPr>
          <w:rFonts w:ascii="Arial" w:cs="Arial" w:eastAsia="Arial" w:hAnsi="Arial"/>
          <w:b/>
          <w:bCs/>
          <w:color w:val="1B2A4A"/>
          <w:sz w:val="32"/>
          <w:szCs w:val="32"/>
        </w:rPr>
        <w:t xml:space="preserve">Level 2 — Bounded Autonomous Deployment</w:t>
      </w:r>
    </w:p>
    <w:p>
      <w:pPr>
        <w:pStyle w:val="Heading2"/>
        <w:spacing w:before="280" w:after="160"/>
      </w:pPr>
      <w:r>
        <w:rPr>
          <w:rFonts w:ascii="Arial" w:cs="Arial" w:eastAsia="Arial" w:hAnsi="Arial"/>
          <w:b/>
          <w:bCs/>
          <w:color w:val="2E4A7A"/>
          <w:sz w:val="26"/>
          <w:szCs w:val="26"/>
        </w:rPr>
        <w:t xml:space="preserve">Description</w:t>
      </w:r>
    </w:p>
    <w:p>
      <w:pPr>
        <w:spacing w:before="80" w:after="80" w:line="276"/>
        <w:jc w:val="both"/>
      </w:pPr>
      <w:r>
        <w:rPr>
          <w:rFonts w:ascii="Arial" w:cs="Arial" w:eastAsia="Arial" w:hAnsi="Arial"/>
          <w:i w:val="false"/>
          <w:iCs w:val="false"/>
          <w:color w:val="333333"/>
          <w:sz w:val="21"/>
          <w:szCs w:val="21"/>
        </w:rPr>
        <w:t xml:space="preserve">Level 2 certifies systems that operate with significant autonomy within defined boundaries, executing actions independently but within documented constraints. These systems may operate without per-action human approval but maintain human oversight through monitoring, escalation, and override mechanisms.</w:t>
      </w:r>
    </w:p>
    <w:p>
      <w:pPr>
        <w:pStyle w:val="Heading2"/>
        <w:spacing w:before="280" w:after="160"/>
      </w:pPr>
      <w:r>
        <w:rPr>
          <w:rFonts w:ascii="Arial" w:cs="Arial" w:eastAsia="Arial" w:hAnsi="Arial"/>
          <w:b/>
          <w:bCs/>
          <w:color w:val="2E4A7A"/>
          <w:sz w:val="26"/>
          <w:szCs w:val="26"/>
        </w:rPr>
        <w:t xml:space="preserve">Requirements</w:t>
      </w:r>
    </w:p>
    <w:p>
      <w:pPr>
        <w:pStyle w:val="ListParagraph"/>
        <w:numPr>
          <w:ilvl w:val="0"/>
          <w:numId w:val="2"/>
        </w:numPr>
        <w:spacing w:before="40" w:after="40" w:line="276"/>
      </w:pPr>
      <w:r>
        <w:rPr>
          <w:rFonts w:ascii="Arial" w:cs="Arial" w:eastAsia="Arial" w:hAnsi="Arial"/>
          <w:color w:val="333333"/>
          <w:sz w:val="21"/>
          <w:szCs w:val="21"/>
        </w:rPr>
        <w:t xml:space="preserve">All twelve core reliability domains evaluated at full scope.</w:t>
      </w:r>
    </w:p>
    <w:p>
      <w:pPr>
        <w:pStyle w:val="ListParagraph"/>
        <w:numPr>
          <w:ilvl w:val="0"/>
          <w:numId w:val="2"/>
        </w:numPr>
        <w:spacing w:before="40" w:after="40" w:line="276"/>
      </w:pPr>
      <w:r>
        <w:rPr>
          <w:rFonts w:ascii="Arial" w:cs="Arial" w:eastAsia="Arial" w:hAnsi="Arial"/>
          <w:color w:val="333333"/>
          <w:sz w:val="21"/>
          <w:szCs w:val="21"/>
        </w:rPr>
        <w:t xml:space="preserve">Minimum 230 ACRs passed across all domains.</w:t>
      </w:r>
    </w:p>
    <w:p>
      <w:pPr>
        <w:pStyle w:val="ListParagraph"/>
        <w:numPr>
          <w:ilvl w:val="0"/>
          <w:numId w:val="2"/>
        </w:numPr>
        <w:spacing w:before="40" w:after="40" w:line="276"/>
      </w:pPr>
      <w:r>
        <w:rPr>
          <w:rFonts w:ascii="Arial" w:cs="Arial" w:eastAsia="Arial" w:hAnsi="Arial"/>
          <w:color w:val="333333"/>
          <w:sz w:val="21"/>
          <w:szCs w:val="21"/>
        </w:rPr>
        <w:t xml:space="preserve">Comprehensive adversarial testing including both automated suites and structured human adversarial simulation.</w:t>
      </w:r>
    </w:p>
    <w:p>
      <w:pPr>
        <w:pStyle w:val="ListParagraph"/>
        <w:numPr>
          <w:ilvl w:val="0"/>
          <w:numId w:val="2"/>
        </w:numPr>
        <w:spacing w:before="40" w:after="40" w:line="276"/>
      </w:pPr>
      <w:r>
        <w:rPr>
          <w:rFonts w:ascii="Arial" w:cs="Arial" w:eastAsia="Arial" w:hAnsi="Arial"/>
          <w:color w:val="333333"/>
          <w:sz w:val="21"/>
          <w:szCs w:val="21"/>
        </w:rPr>
        <w:t xml:space="preserve">Continuous monitoring integration verified and operational.</w:t>
      </w:r>
    </w:p>
    <w:p>
      <w:pPr>
        <w:pStyle w:val="ListParagraph"/>
        <w:numPr>
          <w:ilvl w:val="0"/>
          <w:numId w:val="2"/>
        </w:numPr>
        <w:spacing w:before="40" w:after="40" w:line="276"/>
      </w:pPr>
      <w:r>
        <w:rPr>
          <w:rFonts w:ascii="Arial" w:cs="Arial" w:eastAsia="Arial" w:hAnsi="Arial"/>
          <w:color w:val="333333"/>
          <w:sz w:val="21"/>
          <w:szCs w:val="21"/>
        </w:rPr>
        <w:t xml:space="preserve">Drift detection active with configured thresholds and alerting.</w:t>
      </w:r>
    </w:p>
    <w:p>
      <w:pPr>
        <w:pStyle w:val="ListParagraph"/>
        <w:numPr>
          <w:ilvl w:val="0"/>
          <w:numId w:val="2"/>
        </w:numPr>
        <w:spacing w:before="40" w:after="40" w:line="276"/>
      </w:pPr>
      <w:r>
        <w:rPr>
          <w:rFonts w:ascii="Arial" w:cs="Arial" w:eastAsia="Arial" w:hAnsi="Arial"/>
          <w:color w:val="333333"/>
          <w:sz w:val="21"/>
          <w:szCs w:val="21"/>
        </w:rPr>
        <w:t xml:space="preserve">Emergency halt and human override mechanisms tested and verified.</w:t>
      </w:r>
    </w:p>
    <w:p>
      <w:pPr>
        <w:pStyle w:val="ListParagraph"/>
        <w:numPr>
          <w:ilvl w:val="0"/>
          <w:numId w:val="2"/>
        </w:numPr>
        <w:spacing w:before="40" w:after="40" w:line="276"/>
      </w:pPr>
      <w:r>
        <w:rPr>
          <w:rFonts w:ascii="Arial" w:cs="Arial" w:eastAsia="Arial" w:hAnsi="Arial"/>
          <w:color w:val="333333"/>
          <w:sz w:val="21"/>
          <w:szCs w:val="21"/>
        </w:rPr>
        <w:t xml:space="preserve">Semi-annual reassessment required.</w:t>
      </w:r>
    </w:p>
    <w:p>
      <w:pPr>
        <w:pStyle w:val="Heading2"/>
        <w:spacing w:before="280" w:after="160"/>
      </w:pPr>
      <w:r>
        <w:rPr>
          <w:rFonts w:ascii="Arial" w:cs="Arial" w:eastAsia="Arial" w:hAnsi="Arial"/>
          <w:b/>
          <w:bCs/>
          <w:color w:val="2E4A7A"/>
          <w:sz w:val="26"/>
          <w:szCs w:val="26"/>
        </w:rPr>
        <w:t xml:space="preserve">Applicable System Types</w:t>
      </w:r>
    </w:p>
    <w:p>
      <w:pPr>
        <w:pStyle w:val="ListParagraph"/>
        <w:numPr>
          <w:ilvl w:val="0"/>
          <w:numId w:val="2"/>
        </w:numPr>
        <w:spacing w:before="40" w:after="40" w:line="276"/>
      </w:pPr>
      <w:r>
        <w:rPr>
          <w:rFonts w:ascii="Arial" w:cs="Arial" w:eastAsia="Arial" w:hAnsi="Arial"/>
          <w:color w:val="333333"/>
          <w:sz w:val="21"/>
          <w:szCs w:val="21"/>
        </w:rPr>
        <w:t xml:space="preserve">Enterprise automation agents executing business workflows autonomously</w:t>
      </w:r>
    </w:p>
    <w:p>
      <w:pPr>
        <w:pStyle w:val="ListParagraph"/>
        <w:numPr>
          <w:ilvl w:val="0"/>
          <w:numId w:val="2"/>
        </w:numPr>
        <w:spacing w:before="40" w:after="40" w:line="276"/>
      </w:pPr>
      <w:r>
        <w:rPr>
          <w:rFonts w:ascii="Arial" w:cs="Arial" w:eastAsia="Arial" w:hAnsi="Arial"/>
          <w:color w:val="333333"/>
          <w:sz w:val="21"/>
          <w:szCs w:val="21"/>
        </w:rPr>
        <w:t xml:space="preserve">Financial workflow agents for settlement, reconciliation, and exception processing</w:t>
      </w:r>
    </w:p>
    <w:p>
      <w:pPr>
        <w:pStyle w:val="ListParagraph"/>
        <w:numPr>
          <w:ilvl w:val="0"/>
          <w:numId w:val="2"/>
        </w:numPr>
        <w:spacing w:before="40" w:after="40" w:line="276"/>
      </w:pPr>
      <w:r>
        <w:rPr>
          <w:rFonts w:ascii="Arial" w:cs="Arial" w:eastAsia="Arial" w:hAnsi="Arial"/>
          <w:color w:val="333333"/>
          <w:sz w:val="21"/>
          <w:szCs w:val="21"/>
        </w:rPr>
        <w:t xml:space="preserve">Industrial AI systems controlling production processes within defined parameters</w:t>
      </w:r>
    </w:p>
    <w:p>
      <w:pPr>
        <w:pStyle w:val="ListParagraph"/>
        <w:numPr>
          <w:ilvl w:val="0"/>
          <w:numId w:val="2"/>
        </w:numPr>
        <w:spacing w:before="40" w:after="40" w:line="276"/>
      </w:pPr>
      <w:r>
        <w:rPr>
          <w:rFonts w:ascii="Arial" w:cs="Arial" w:eastAsia="Arial" w:hAnsi="Arial"/>
          <w:color w:val="333333"/>
          <w:sz w:val="21"/>
          <w:szCs w:val="21"/>
        </w:rPr>
        <w:t xml:space="preserve">Multi-agent orchestration systems coordinating complex workflows</w:t>
      </w:r>
    </w:p>
    <w:p>
      <w:pPr>
        <w:pStyle w:val="ListParagraph"/>
        <w:numPr>
          <w:ilvl w:val="0"/>
          <w:numId w:val="2"/>
        </w:numPr>
        <w:spacing w:before="40" w:after="40" w:line="276"/>
      </w:pPr>
      <w:r>
        <w:rPr>
          <w:rFonts w:ascii="Arial" w:cs="Arial" w:eastAsia="Arial" w:hAnsi="Arial"/>
          <w:color w:val="333333"/>
          <w:sz w:val="21"/>
          <w:szCs w:val="21"/>
        </w:rPr>
        <w:t xml:space="preserve">Customer-facing autonomous service systems</w:t>
      </w:r>
    </w:p>
    <w:p>
      <w:pPr>
        <w:pStyle w:val="ListParagraph"/>
        <w:numPr>
          <w:ilvl w:val="0"/>
          <w:numId w:val="2"/>
        </w:numPr>
        <w:spacing w:before="40" w:after="40" w:line="276"/>
      </w:pPr>
      <w:r>
        <w:rPr>
          <w:rFonts w:ascii="Arial" w:cs="Arial" w:eastAsia="Arial" w:hAnsi="Arial"/>
          <w:color w:val="333333"/>
          <w:sz w:val="21"/>
          <w:szCs w:val="21"/>
        </w:rPr>
        <w:t xml:space="preserve">Supply chain optimization and execution agents</w:t>
      </w:r>
    </w:p>
    <w:p>
      <w:pPr>
        <w:pStyle w:val="Heading2"/>
        <w:spacing w:before="280" w:after="160"/>
      </w:pPr>
      <w:r>
        <w:rPr>
          <w:rFonts w:ascii="Arial" w:cs="Arial" w:eastAsia="Arial" w:hAnsi="Arial"/>
          <w:b/>
          <w:bCs/>
          <w:color w:val="2E4A7A"/>
          <w:sz w:val="26"/>
          <w:szCs w:val="26"/>
        </w:rPr>
        <w:t xml:space="preserve">Minimum Domain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Domain</w:t>
            </w:r>
          </w:p>
        </w:tc>
        <w:tc>
          <w:tcPr>
            <w:tcW w:type="dxa" w:w="288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Minimum Score</w:t>
            </w:r>
          </w:p>
        </w:tc>
        <w:tc>
          <w:tcPr>
            <w:tcW w:type="dxa" w:w="288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Blocking ACRs</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 Autonomy Scope</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 Decision Integrity</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 Tool Governance</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 Identity Containment</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 Failure Containment</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 Behavioral Reliability</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 Adversarial Robustness</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 Drift Detection</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 Monitoring</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 Escalation</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11: Auditability</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12: Governance</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bl>
    <w:p>
      <w:pPr>
        <w:spacing w:before="200" w:after="0"/>
      </w:pPr>
    </w:p>
    <w:p>
      <w:pPr>
        <w:pStyle w:val="Heading1"/>
        <w:spacing w:before="360" w:after="200"/>
      </w:pPr>
      <w:r>
        <w:rPr>
          <w:rFonts w:ascii="Arial" w:cs="Arial" w:eastAsia="Arial" w:hAnsi="Arial"/>
          <w:b/>
          <w:bCs/>
          <w:color w:val="1B2A4A"/>
          <w:sz w:val="32"/>
          <w:szCs w:val="32"/>
        </w:rPr>
        <w:t xml:space="preserve">Level 3 — High-Stakes Autonomous Certification</w:t>
      </w:r>
    </w:p>
    <w:p>
      <w:pPr>
        <w:pStyle w:val="Heading2"/>
        <w:spacing w:before="280" w:after="160"/>
      </w:pPr>
      <w:r>
        <w:rPr>
          <w:rFonts w:ascii="Arial" w:cs="Arial" w:eastAsia="Arial" w:hAnsi="Arial"/>
          <w:b/>
          <w:bCs/>
          <w:color w:val="2E4A7A"/>
          <w:sz w:val="26"/>
          <w:szCs w:val="26"/>
        </w:rPr>
        <w:t xml:space="preserve">Description</w:t>
      </w:r>
    </w:p>
    <w:p>
      <w:pPr>
        <w:spacing w:before="80" w:after="80" w:line="276"/>
        <w:jc w:val="both"/>
      </w:pPr>
      <w:r>
        <w:rPr>
          <w:rFonts w:ascii="Arial" w:cs="Arial" w:eastAsia="Arial" w:hAnsi="Arial"/>
          <w:i w:val="false"/>
          <w:iCs w:val="false"/>
          <w:color w:val="333333"/>
          <w:sz w:val="21"/>
          <w:szCs w:val="21"/>
        </w:rPr>
        <w:t xml:space="preserve">Level 3 certifies systems operating in high-stakes environments where autonomous actions may have irreversible, safety-critical, or financially material consequences. Level 3 represents the highest tier of ARA certification and demands the most rigorous evaluation, including extended adversarial simulation, red team validation, and continuous production monitoring compliance.</w:t>
      </w:r>
    </w:p>
    <w:p>
      <w:pPr>
        <w:pStyle w:val="Heading2"/>
        <w:spacing w:before="280" w:after="160"/>
      </w:pPr>
      <w:r>
        <w:rPr>
          <w:rFonts w:ascii="Arial" w:cs="Arial" w:eastAsia="Arial" w:hAnsi="Arial"/>
          <w:b/>
          <w:bCs/>
          <w:color w:val="2E4A7A"/>
          <w:sz w:val="26"/>
          <w:szCs w:val="26"/>
        </w:rPr>
        <w:t xml:space="preserve">Requirements</w:t>
      </w:r>
    </w:p>
    <w:p>
      <w:pPr>
        <w:pStyle w:val="ListParagraph"/>
        <w:numPr>
          <w:ilvl w:val="0"/>
          <w:numId w:val="2"/>
        </w:numPr>
        <w:spacing w:before="40" w:after="40" w:line="276"/>
      </w:pPr>
      <w:r>
        <w:rPr>
          <w:rFonts w:ascii="Arial" w:cs="Arial" w:eastAsia="Arial" w:hAnsi="Arial"/>
          <w:color w:val="333333"/>
          <w:sz w:val="21"/>
          <w:szCs w:val="21"/>
        </w:rPr>
        <w:t xml:space="preserve">All twelve core reliability domains evaluated at maximum rigor.</w:t>
      </w:r>
    </w:p>
    <w:p>
      <w:pPr>
        <w:pStyle w:val="ListParagraph"/>
        <w:numPr>
          <w:ilvl w:val="0"/>
          <w:numId w:val="2"/>
        </w:numPr>
        <w:spacing w:before="40" w:after="40" w:line="276"/>
      </w:pPr>
      <w:r>
        <w:rPr>
          <w:rFonts w:ascii="Arial" w:cs="Arial" w:eastAsia="Arial" w:hAnsi="Arial"/>
          <w:color w:val="333333"/>
          <w:sz w:val="21"/>
          <w:szCs w:val="21"/>
        </w:rPr>
        <w:t xml:space="preserve">Domain 13 (Physical Actuation Integrity) required for all systems with physical interaction.</w:t>
      </w:r>
    </w:p>
    <w:p>
      <w:pPr>
        <w:pStyle w:val="ListParagraph"/>
        <w:numPr>
          <w:ilvl w:val="0"/>
          <w:numId w:val="2"/>
        </w:numPr>
        <w:spacing w:before="40" w:after="40" w:line="276"/>
      </w:pPr>
      <w:r>
        <w:rPr>
          <w:rFonts w:ascii="Arial" w:cs="Arial" w:eastAsia="Arial" w:hAnsi="Arial"/>
          <w:color w:val="333333"/>
          <w:sz w:val="21"/>
          <w:szCs w:val="21"/>
        </w:rPr>
        <w:t xml:space="preserve">Minimum 290 ACRs passed (320+ including Domain 13 where applicable).</w:t>
      </w:r>
    </w:p>
    <w:p>
      <w:pPr>
        <w:pStyle w:val="ListParagraph"/>
        <w:numPr>
          <w:ilvl w:val="0"/>
          <w:numId w:val="2"/>
        </w:numPr>
        <w:spacing w:before="40" w:after="40" w:line="276"/>
      </w:pPr>
      <w:r>
        <w:rPr>
          <w:rFonts w:ascii="Arial" w:cs="Arial" w:eastAsia="Arial" w:hAnsi="Arial"/>
          <w:color w:val="333333"/>
          <w:sz w:val="21"/>
          <w:szCs w:val="21"/>
        </w:rPr>
        <w:t xml:space="preserve">Multi-layer adversarial simulation including automated testing, human adversarial testing, and multi-step attack scenarios.</w:t>
      </w:r>
    </w:p>
    <w:p>
      <w:pPr>
        <w:pStyle w:val="ListParagraph"/>
        <w:numPr>
          <w:ilvl w:val="0"/>
          <w:numId w:val="2"/>
        </w:numPr>
        <w:spacing w:before="40" w:after="40" w:line="276"/>
      </w:pPr>
      <w:r>
        <w:rPr>
          <w:rFonts w:ascii="Arial" w:cs="Arial" w:eastAsia="Arial" w:hAnsi="Arial"/>
          <w:color w:val="333333"/>
          <w:sz w:val="21"/>
          <w:szCs w:val="21"/>
        </w:rPr>
        <w:t xml:space="preserve">Independent red team validation by ARAF-approved red team operators.</w:t>
      </w:r>
    </w:p>
    <w:p>
      <w:pPr>
        <w:pStyle w:val="ListParagraph"/>
        <w:numPr>
          <w:ilvl w:val="0"/>
          <w:numId w:val="2"/>
        </w:numPr>
        <w:spacing w:before="40" w:after="40" w:line="276"/>
      </w:pPr>
      <w:r>
        <w:rPr>
          <w:rFonts w:ascii="Arial" w:cs="Arial" w:eastAsia="Arial" w:hAnsi="Arial"/>
          <w:color w:val="333333"/>
          <w:sz w:val="21"/>
          <w:szCs w:val="21"/>
        </w:rPr>
        <w:t xml:space="preserve">Extended runtime stress testing (minimum 30-day continuous operation under monitored conditions).</w:t>
      </w:r>
    </w:p>
    <w:p>
      <w:pPr>
        <w:pStyle w:val="ListParagraph"/>
        <w:numPr>
          <w:ilvl w:val="0"/>
          <w:numId w:val="2"/>
        </w:numPr>
        <w:spacing w:before="40" w:after="40" w:line="276"/>
      </w:pPr>
      <w:r>
        <w:rPr>
          <w:rFonts w:ascii="Arial" w:cs="Arial" w:eastAsia="Arial" w:hAnsi="Arial"/>
          <w:color w:val="333333"/>
          <w:sz w:val="21"/>
          <w:szCs w:val="21"/>
        </w:rPr>
        <w:t xml:space="preserve">Full production monitoring compliance with real-time alerting verified.</w:t>
      </w:r>
    </w:p>
    <w:p>
      <w:pPr>
        <w:pStyle w:val="ListParagraph"/>
        <w:numPr>
          <w:ilvl w:val="0"/>
          <w:numId w:val="2"/>
        </w:numPr>
        <w:spacing w:before="40" w:after="40" w:line="276"/>
      </w:pPr>
      <w:r>
        <w:rPr>
          <w:rFonts w:ascii="Arial" w:cs="Arial" w:eastAsia="Arial" w:hAnsi="Arial"/>
          <w:color w:val="333333"/>
          <w:sz w:val="21"/>
          <w:szCs w:val="21"/>
        </w:rPr>
        <w:t xml:space="preserve">Quarterly reassessment required.</w:t>
      </w:r>
    </w:p>
    <w:p>
      <w:pPr>
        <w:pStyle w:val="ListParagraph"/>
        <w:numPr>
          <w:ilvl w:val="0"/>
          <w:numId w:val="2"/>
        </w:numPr>
        <w:spacing w:before="40" w:after="40" w:line="276"/>
      </w:pPr>
      <w:r>
        <w:rPr>
          <w:rFonts w:ascii="Arial" w:cs="Arial" w:eastAsia="Arial" w:hAnsi="Arial"/>
          <w:color w:val="333333"/>
          <w:sz w:val="21"/>
          <w:szCs w:val="21"/>
        </w:rPr>
        <w:t xml:space="preserve">Incident response drill completed and documented.</w:t>
      </w:r>
    </w:p>
    <w:p>
      <w:pPr>
        <w:pStyle w:val="Heading2"/>
        <w:spacing w:before="280" w:after="160"/>
      </w:pPr>
      <w:r>
        <w:rPr>
          <w:rFonts w:ascii="Arial" w:cs="Arial" w:eastAsia="Arial" w:hAnsi="Arial"/>
          <w:b/>
          <w:bCs/>
          <w:color w:val="2E4A7A"/>
          <w:sz w:val="26"/>
          <w:szCs w:val="26"/>
        </w:rPr>
        <w:t xml:space="preserve">Applicable System Types</w:t>
      </w:r>
    </w:p>
    <w:p>
      <w:pPr>
        <w:pStyle w:val="ListParagraph"/>
        <w:numPr>
          <w:ilvl w:val="0"/>
          <w:numId w:val="2"/>
        </w:numPr>
        <w:spacing w:before="40" w:after="40" w:line="276"/>
      </w:pPr>
      <w:r>
        <w:rPr>
          <w:rFonts w:ascii="Arial" w:cs="Arial" w:eastAsia="Arial" w:hAnsi="Arial"/>
          <w:color w:val="333333"/>
          <w:sz w:val="21"/>
          <w:szCs w:val="21"/>
        </w:rPr>
        <w:t xml:space="preserve">Autonomous robotic systems operating in shared human environments</w:t>
      </w:r>
    </w:p>
    <w:p>
      <w:pPr>
        <w:pStyle w:val="ListParagraph"/>
        <w:numPr>
          <w:ilvl w:val="0"/>
          <w:numId w:val="2"/>
        </w:numPr>
        <w:spacing w:before="40" w:after="40" w:line="276"/>
      </w:pPr>
      <w:r>
        <w:rPr>
          <w:rFonts w:ascii="Arial" w:cs="Arial" w:eastAsia="Arial" w:hAnsi="Arial"/>
          <w:color w:val="333333"/>
          <w:sz w:val="21"/>
          <w:szCs w:val="21"/>
        </w:rPr>
        <w:t xml:space="preserve">Medical AI systems making or executing clinical decisions</w:t>
      </w:r>
    </w:p>
    <w:p>
      <w:pPr>
        <w:pStyle w:val="ListParagraph"/>
        <w:numPr>
          <w:ilvl w:val="0"/>
          <w:numId w:val="2"/>
        </w:numPr>
        <w:spacing w:before="40" w:after="40" w:line="276"/>
      </w:pPr>
      <w:r>
        <w:rPr>
          <w:rFonts w:ascii="Arial" w:cs="Arial" w:eastAsia="Arial" w:hAnsi="Arial"/>
          <w:color w:val="333333"/>
          <w:sz w:val="21"/>
          <w:szCs w:val="21"/>
        </w:rPr>
        <w:t xml:space="preserve">Critical infrastructure controllers (energy, water, transportation, telecommunications)</w:t>
      </w:r>
    </w:p>
    <w:p>
      <w:pPr>
        <w:pStyle w:val="ListParagraph"/>
        <w:numPr>
          <w:ilvl w:val="0"/>
          <w:numId w:val="2"/>
        </w:numPr>
        <w:spacing w:before="40" w:after="40" w:line="276"/>
      </w:pPr>
      <w:r>
        <w:rPr>
          <w:rFonts w:ascii="Arial" w:cs="Arial" w:eastAsia="Arial" w:hAnsi="Arial"/>
          <w:color w:val="333333"/>
          <w:sz w:val="21"/>
          <w:szCs w:val="21"/>
        </w:rPr>
        <w:t xml:space="preserve">Autonomous financial settlement and trading agents</w:t>
      </w:r>
    </w:p>
    <w:p>
      <w:pPr>
        <w:pStyle w:val="ListParagraph"/>
        <w:numPr>
          <w:ilvl w:val="0"/>
          <w:numId w:val="2"/>
        </w:numPr>
        <w:spacing w:before="40" w:after="40" w:line="276"/>
      </w:pPr>
      <w:r>
        <w:rPr>
          <w:rFonts w:ascii="Arial" w:cs="Arial" w:eastAsia="Arial" w:hAnsi="Arial"/>
          <w:color w:val="333333"/>
          <w:sz w:val="21"/>
          <w:szCs w:val="21"/>
        </w:rPr>
        <w:t xml:space="preserve">Physical autonomous systems including autonomous vehicles and drones</w:t>
      </w:r>
    </w:p>
    <w:p>
      <w:pPr>
        <w:pStyle w:val="ListParagraph"/>
        <w:numPr>
          <w:ilvl w:val="0"/>
          <w:numId w:val="2"/>
        </w:numPr>
        <w:spacing w:before="40" w:after="40" w:line="276"/>
      </w:pPr>
      <w:r>
        <w:rPr>
          <w:rFonts w:ascii="Arial" w:cs="Arial" w:eastAsia="Arial" w:hAnsi="Arial"/>
          <w:color w:val="333333"/>
          <w:sz w:val="21"/>
          <w:szCs w:val="21"/>
        </w:rPr>
        <w:t xml:space="preserve">Autonomous weapon systems (subject to additional regulatory requirements)</w:t>
      </w:r>
    </w:p>
    <w:p>
      <w:pPr>
        <w:pStyle w:val="ListParagraph"/>
        <w:numPr>
          <w:ilvl w:val="0"/>
          <w:numId w:val="2"/>
        </w:numPr>
        <w:spacing w:before="40" w:after="40" w:line="276"/>
      </w:pPr>
      <w:r>
        <w:rPr>
          <w:rFonts w:ascii="Arial" w:cs="Arial" w:eastAsia="Arial" w:hAnsi="Arial"/>
          <w:color w:val="333333"/>
          <w:sz w:val="21"/>
          <w:szCs w:val="21"/>
        </w:rPr>
        <w:t xml:space="preserve">Agentic AI brokers making binding commitments on behalf of organizations</w:t>
      </w:r>
    </w:p>
    <w:p>
      <w:pPr>
        <w:pStyle w:val="Heading2"/>
        <w:spacing w:before="280" w:after="160"/>
      </w:pPr>
      <w:r>
        <w:rPr>
          <w:rFonts w:ascii="Arial" w:cs="Arial" w:eastAsia="Arial" w:hAnsi="Arial"/>
          <w:b/>
          <w:bCs/>
          <w:color w:val="2E4A7A"/>
          <w:sz w:val="26"/>
          <w:szCs w:val="26"/>
        </w:rPr>
        <w:t xml:space="preserve">Minimum Domain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Domain</w:t>
            </w:r>
          </w:p>
        </w:tc>
        <w:tc>
          <w:tcPr>
            <w:tcW w:type="dxa" w:w="288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Minimum Score</w:t>
            </w:r>
          </w:p>
        </w:tc>
        <w:tc>
          <w:tcPr>
            <w:tcW w:type="dxa" w:w="288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Blocking ACRs</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 Autonomy Scope</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 Decision Integrity</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 Tool Governance</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 Identity Containment</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 Failure Containment</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 Behavioral Reliability</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 Adversarial Robustness</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85%</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 Drift Detection</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4</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 Monitoring</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 Escalation</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95%</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7</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11: Auditability</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5</w:t>
            </w:r>
          </w:p>
        </w:tc>
      </w:tr>
      <w:tr>
        <w:tc>
          <w:tcPr>
            <w:tcW w:type="dxa" w:w="3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12: Governance</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6</w:t>
            </w:r>
          </w:p>
        </w:tc>
      </w:tr>
      <w:tr>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13: Physical Integrity*</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90%</w:t>
            </w:r>
          </w:p>
        </w:tc>
        <w:tc>
          <w:tcPr>
            <w:tcW w:type="dxa" w:w="288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8</w:t>
            </w:r>
          </w:p>
        </w:tc>
      </w:tr>
    </w:tbl>
    <w:p>
      <w:pPr>
        <w:spacing w:before="80" w:after="80" w:line="276"/>
        <w:jc w:val="both"/>
      </w:pPr>
      <w:r>
        <w:rPr>
          <w:rFonts w:ascii="Arial" w:cs="Arial" w:eastAsia="Arial" w:hAnsi="Arial"/>
          <w:i/>
          <w:iCs/>
          <w:color w:val="333333"/>
          <w:sz w:val="21"/>
          <w:szCs w:val="21"/>
        </w:rPr>
        <w:t xml:space="preserve">*Domain 13 thresholds apply only to systems with physical actuation capabilities.</w:t>
      </w:r>
    </w:p>
    <w:p>
      <w:pPr>
        <w:spacing w:before="100" w:after="0"/>
      </w:pPr>
    </w:p>
    <w:p>
      <w:pPr>
        <w:pStyle w:val="Heading1"/>
        <w:spacing w:before="360" w:after="200"/>
      </w:pPr>
      <w:r>
        <w:rPr>
          <w:rFonts w:ascii="Arial" w:cs="Arial" w:eastAsia="Arial" w:hAnsi="Arial"/>
          <w:b/>
          <w:bCs/>
          <w:color w:val="1B2A4A"/>
          <w:sz w:val="32"/>
          <w:szCs w:val="32"/>
        </w:rPr>
        <w:t xml:space="preserve">Certification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00"/>
        <w:gridCol w:w="2260"/>
      </w:tblGrid>
      <w:tr>
        <w:trPr>
          <w:tblHeader/>
        </w:trPr>
        <w:tc>
          <w:tcPr>
            <w:tcW w:type="dxa" w:w="2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Characteristic</w:t>
            </w:r>
          </w:p>
        </w:tc>
        <w:tc>
          <w:tcPr>
            <w:tcW w:type="dxa" w:w="2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Level 1</w:t>
            </w:r>
          </w:p>
        </w:tc>
        <w:tc>
          <w:tcPr>
            <w:tcW w:type="dxa" w:w="23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Level 2</w:t>
            </w:r>
          </w:p>
        </w:tc>
        <w:tc>
          <w:tcPr>
            <w:tcW w:type="dxa" w:w="22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Level 3</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Human Oversight</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HITL Required</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Monitoring + Override</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Monitoring + Override + Red Team</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Minimum ACRs</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160</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230</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290 (320+ physical)</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Adversarial Testing</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Automated Suite</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Automated + Human Sim</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Multi-Layer + Red Team</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Drift Monitoring</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Basic</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Full</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Full + Predictive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Reassessment</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Annual</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Semi-Annual</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Quarterly</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Red Team</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Not Required</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Recommended</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Required</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Stress Testing</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Standard</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Extended</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30-Day Continuous</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Incident Response Drill</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Documented Plan</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Tabletop Exercise</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Full Drill Required</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 13</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N/A</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If Physical</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Required if Physical</w:t>
            </w:r>
          </w:p>
        </w:tc>
      </w:tr>
    </w:tbl>
    <w:p>
      <w:pPr>
        <w:pageBreakBefore/>
      </w:pPr>
    </w:p>
    <w:p>
      <w:pPr>
        <w:spacing w:before="600" w:after="200"/>
        <w:jc w:val="center"/>
      </w:pPr>
      <w:r>
        <w:rPr>
          <w:rFonts w:ascii="Arial" w:cs="Arial" w:eastAsia="Arial" w:hAnsi="Arial"/>
          <w:b/>
          <w:bCs/>
          <w:color w:val="1B2A4A"/>
          <w:sz w:val="36"/>
          <w:szCs w:val="36"/>
        </w:rPr>
        <w:t xml:space="preserve">PART V</w:t>
      </w:r>
    </w:p>
    <w:p>
      <w:pPr>
        <w:pBdr>
          <w:bottom w:val="single" w:color="3B7DD8" w:sz="4" w:space="8"/>
        </w:pBdr>
        <w:spacing w:after="400"/>
        <w:jc w:val="center"/>
      </w:pPr>
      <w:r>
        <w:rPr>
          <w:rFonts w:ascii="Arial" w:cs="Arial" w:eastAsia="Arial" w:hAnsi="Arial"/>
          <w:color w:val="2E4A7A"/>
          <w:sz w:val="30"/>
          <w:szCs w:val="30"/>
        </w:rPr>
        <w:t xml:space="preserve">CERTIFICATION LIFECYCLE</w:t>
      </w:r>
    </w:p>
    <w:p>
      <w:pPr>
        <w:spacing w:before="80" w:after="80" w:line="276"/>
        <w:jc w:val="both"/>
      </w:pPr>
      <w:r>
        <w:rPr>
          <w:rFonts w:ascii="Arial" w:cs="Arial" w:eastAsia="Arial" w:hAnsi="Arial"/>
          <w:i w:val="false"/>
          <w:iCs w:val="false"/>
          <w:color w:val="333333"/>
          <w:sz w:val="21"/>
          <w:szCs w:val="21"/>
        </w:rPr>
        <w:t xml:space="preserve">The ARA certification lifecycle encompasses ten phases from initial registration through ongoing compliance. Each phase has defined inputs, activities, outputs, and decision criteria.</w:t>
      </w:r>
    </w:p>
    <w:p>
      <w:pPr>
        <w:spacing w:before="100" w:after="0"/>
      </w:pPr>
    </w:p>
    <w:p>
      <w:pPr>
        <w:pStyle w:val="Heading1"/>
        <w:spacing w:before="360" w:after="200"/>
      </w:pPr>
      <w:r>
        <w:rPr>
          <w:rFonts w:ascii="Arial" w:cs="Arial" w:eastAsia="Arial" w:hAnsi="Arial"/>
          <w:b/>
          <w:bCs/>
          <w:color w:val="1B2A4A"/>
          <w:sz w:val="32"/>
          <w:szCs w:val="32"/>
        </w:rPr>
        <w:t xml:space="preserve">Phase 1: System Registration</w:t>
      </w:r>
    </w:p>
    <w:p>
      <w:pPr>
        <w:spacing w:before="80" w:after="80" w:line="276"/>
        <w:jc w:val="both"/>
      </w:pPr>
      <w:r>
        <w:rPr>
          <w:rFonts w:ascii="Arial" w:cs="Arial" w:eastAsia="Arial" w:hAnsi="Arial"/>
          <w:i w:val="false"/>
          <w:iCs w:val="false"/>
          <w:color w:val="333333"/>
          <w:sz w:val="21"/>
          <w:szCs w:val="21"/>
        </w:rPr>
        <w:t xml:space="preserve">The applicant organization registers the autonomous system with ARAF, providing a system description, intended deployment context, requested certification level, and organizational contact information. Registration initiates the certification process and assigns a unique System Registration ID.</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Required Inputs</w:t>
      </w:r>
      <w:r>
        <w:rPr>
          <w:rFonts w:ascii="Arial" w:cs="Arial" w:eastAsia="Arial" w:hAnsi="Arial"/>
          <w:i w:val="false"/>
          <w:iCs w:val="false"/>
          <w:color w:val="333333"/>
          <w:sz w:val="21"/>
          <w:szCs w:val="21"/>
        </w:rPr>
        <w:t xml:space="preserve">: System name and description; deployment context and risk environment; requested certification level; organizational legal entity information; designated certification contact.</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Output</w:t>
      </w:r>
      <w:r>
        <w:rPr>
          <w:rFonts w:ascii="Arial" w:cs="Arial" w:eastAsia="Arial" w:hAnsi="Arial"/>
          <w:i w:val="false"/>
          <w:iCs w:val="false"/>
          <w:color w:val="333333"/>
          <w:sz w:val="21"/>
          <w:szCs w:val="21"/>
        </w:rPr>
        <w:t xml:space="preserve">: System Registration ID; preliminary eligibility confirmation.</w:t>
      </w:r>
    </w:p>
    <w:p>
      <w:pPr>
        <w:pStyle w:val="Heading1"/>
        <w:spacing w:before="360" w:after="200"/>
      </w:pPr>
      <w:r>
        <w:rPr>
          <w:rFonts w:ascii="Arial" w:cs="Arial" w:eastAsia="Arial" w:hAnsi="Arial"/>
          <w:b/>
          <w:bCs/>
          <w:color w:val="1B2A4A"/>
          <w:sz w:val="32"/>
          <w:szCs w:val="32"/>
        </w:rPr>
        <w:t xml:space="preserve">Phase 2: Risk Classification</w:t>
      </w:r>
    </w:p>
    <w:p>
      <w:pPr>
        <w:spacing w:before="80" w:after="80" w:line="276"/>
        <w:jc w:val="both"/>
      </w:pPr>
      <w:r>
        <w:rPr>
          <w:rFonts w:ascii="Arial" w:cs="Arial" w:eastAsia="Arial" w:hAnsi="Arial"/>
          <w:i w:val="false"/>
          <w:iCs w:val="false"/>
          <w:color w:val="333333"/>
          <w:sz w:val="21"/>
          <w:szCs w:val="21"/>
        </w:rPr>
        <w:t xml:space="preserve">A preliminary risk classification is conducted to confirm the appropriateness of the requested certification level and identify any domain-specific or context-specific evaluation requirements. Risk classification considers the system’s operational autonomy, decision impact, deployment environment, affected populations, and reversibility of actions.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Risk Classification Factors</w:t>
      </w:r>
      <w:r>
        <w:rPr>
          <w:rFonts w:ascii="Arial" w:cs="Arial" w:eastAsia="Arial" w:hAnsi="Arial"/>
          <w:i w:val="false"/>
          <w:iCs w:val="false"/>
          <w:color w:val="333333"/>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00"/>
        <w:gridCol w:w="2260"/>
      </w:tblGrid>
      <w:tr>
        <w:trPr>
          <w:tblHeader/>
        </w:trPr>
        <w:tc>
          <w:tcPr>
            <w:tcW w:type="dxa" w:w="2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Factor</w:t>
            </w:r>
          </w:p>
        </w:tc>
        <w:tc>
          <w:tcPr>
            <w:tcW w:type="dxa" w:w="2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Low Risk</w:t>
            </w:r>
          </w:p>
        </w:tc>
        <w:tc>
          <w:tcPr>
            <w:tcW w:type="dxa" w:w="23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Medium Risk</w:t>
            </w:r>
          </w:p>
        </w:tc>
        <w:tc>
          <w:tcPr>
            <w:tcW w:type="dxa" w:w="22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High Risk</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Decision Impact</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Advisory only; human decides</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Autonomous within constraints</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Irreversible or safety-critical</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Affected Population</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Internal users only</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External users or partners</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Public safety or vulnerable populations</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Financial Exposure</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&lt; $10K per decision</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$10K–$1M per decision</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&gt; $1M or systemic risk</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Physical Interaction</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Digital only</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Indirect physical</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Direct physical actuation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Reversibility</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Fully reversible</w:t>
            </w:r>
          </w:p>
        </w:tc>
        <w:tc>
          <w:tcPr>
            <w:tcW w:type="dxa" w:w="23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Partially reversible</w:t>
            </w:r>
          </w:p>
        </w:tc>
        <w:tc>
          <w:tcPr>
            <w:tcW w:type="dxa" w:w="22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Irreversible or difficult to reverse</w:t>
            </w:r>
          </w:p>
        </w:tc>
      </w:tr>
      <w:tr>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Regulatory Environment</w:t>
            </w:r>
          </w:p>
        </w:tc>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Unregulated</w:t>
            </w:r>
          </w:p>
        </w:tc>
        <w:tc>
          <w:tcPr>
            <w:tcW w:type="dxa" w:w="23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Industry-regulated</w:t>
            </w:r>
          </w:p>
        </w:tc>
        <w:tc>
          <w:tcPr>
            <w:tcW w:type="dxa" w:w="22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Safety-critical regulation</w:t>
            </w:r>
          </w:p>
        </w:tc>
      </w:tr>
    </w:tbl>
    <w:p>
      <w:pPr>
        <w:pStyle w:val="Heading1"/>
        <w:spacing w:before="360" w:after="200"/>
      </w:pPr>
      <w:r>
        <w:rPr>
          <w:rFonts w:ascii="Arial" w:cs="Arial" w:eastAsia="Arial" w:hAnsi="Arial"/>
          <w:b/>
          <w:bCs/>
          <w:color w:val="1B2A4A"/>
          <w:sz w:val="32"/>
          <w:szCs w:val="32"/>
        </w:rPr>
        <w:t xml:space="preserve">Phase 3: Domain Mapping</w:t>
      </w:r>
    </w:p>
    <w:p>
      <w:pPr>
        <w:spacing w:before="80" w:after="80" w:line="276"/>
        <w:jc w:val="both"/>
      </w:pPr>
      <w:r>
        <w:rPr>
          <w:rFonts w:ascii="Arial" w:cs="Arial" w:eastAsia="Arial" w:hAnsi="Arial"/>
          <w:i w:val="false"/>
          <w:iCs w:val="false"/>
          <w:color w:val="333333"/>
          <w:sz w:val="21"/>
          <w:szCs w:val="21"/>
        </w:rPr>
        <w:t xml:space="preserve">Based on the risk classification and system characteristics, the applicable reliability domains and their evaluation scope are determined. All twelve core domains apply to all systems. Domain 13 applies to systems with physical actuation. Domain-specific evaluation depth is calibrated to the certification level.</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Output</w:t>
      </w:r>
      <w:r>
        <w:rPr>
          <w:rFonts w:ascii="Arial" w:cs="Arial" w:eastAsia="Arial" w:hAnsi="Arial"/>
          <w:i w:val="false"/>
          <w:iCs w:val="false"/>
          <w:color w:val="333333"/>
          <w:sz w:val="21"/>
          <w:szCs w:val="21"/>
        </w:rPr>
        <w:t xml:space="preserve">: Domain applicability matrix; evaluation scope document; estimated evaluation timeline and resource requirements.</w:t>
      </w:r>
    </w:p>
    <w:p>
      <w:pPr>
        <w:pStyle w:val="Heading1"/>
        <w:spacing w:before="360" w:after="200"/>
      </w:pPr>
      <w:r>
        <w:rPr>
          <w:rFonts w:ascii="Arial" w:cs="Arial" w:eastAsia="Arial" w:hAnsi="Arial"/>
          <w:b/>
          <w:bCs/>
          <w:color w:val="1B2A4A"/>
          <w:sz w:val="32"/>
          <w:szCs w:val="32"/>
        </w:rPr>
        <w:t xml:space="preserve">Phase 4: ACR Evaluation</w:t>
      </w:r>
    </w:p>
    <w:p>
      <w:pPr>
        <w:spacing w:before="80" w:after="80" w:line="276"/>
        <w:jc w:val="both"/>
      </w:pPr>
      <w:r>
        <w:rPr>
          <w:rFonts w:ascii="Arial" w:cs="Arial" w:eastAsia="Arial" w:hAnsi="Arial"/>
          <w:i w:val="false"/>
          <w:iCs w:val="false"/>
          <w:color w:val="333333"/>
          <w:sz w:val="21"/>
          <w:szCs w:val="21"/>
        </w:rPr>
        <w:t xml:space="preserve">The Authorized Validation Body conducts the detailed evaluation of each applicable ACR using the defined evaluation methods (automated testing, human simulation, expert inspection, continuous monitoring verification). Each ACR evaluation produces a result (pass, fail, or conditional) and links to an evidence artifact.</w:t>
      </w:r>
    </w:p>
    <w:p>
      <w:pPr>
        <w:spacing w:before="80" w:after="80" w:line="276"/>
        <w:jc w:val="both"/>
      </w:pPr>
      <w:r>
        <w:rPr>
          <w:rFonts w:ascii="Arial" w:cs="Arial" w:eastAsia="Arial" w:hAnsi="Arial"/>
          <w:i w:val="false"/>
          <w:iCs w:val="false"/>
          <w:color w:val="333333"/>
          <w:sz w:val="21"/>
          <w:szCs w:val="21"/>
        </w:rPr>
        <w:t xml:space="preserve">This phase constitutes the majority of the evaluation effort and timeline. Typical durations range from 4–8 weeks for Level 1 to 12–20 weeks for Level 3.</w:t>
      </w:r>
    </w:p>
    <w:p>
      <w:pPr>
        <w:pStyle w:val="Heading1"/>
        <w:spacing w:before="360" w:after="200"/>
      </w:pPr>
      <w:r>
        <w:rPr>
          <w:rFonts w:ascii="Arial" w:cs="Arial" w:eastAsia="Arial" w:hAnsi="Arial"/>
          <w:b/>
          <w:bCs/>
          <w:color w:val="1B2A4A"/>
          <w:sz w:val="32"/>
          <w:szCs w:val="32"/>
        </w:rPr>
        <w:t xml:space="preserve">Phase 5: Adversarial Simulation</w:t>
      </w:r>
    </w:p>
    <w:p>
      <w:pPr>
        <w:spacing w:before="80" w:after="80" w:line="276"/>
        <w:jc w:val="both"/>
      </w:pPr>
      <w:r>
        <w:rPr>
          <w:rFonts w:ascii="Arial" w:cs="Arial" w:eastAsia="Arial" w:hAnsi="Arial"/>
          <w:i w:val="false"/>
          <w:iCs w:val="false"/>
          <w:color w:val="333333"/>
          <w:sz w:val="21"/>
          <w:szCs w:val="21"/>
        </w:rPr>
        <w:t xml:space="preserve">Dedicated adversarial testing is conducted as specified for the requested certification level. This phase is distinct from the ACR evaluation of Domain 7 (Adversarial Robustness) in that it tests the system holistically rather than against individual control requirements.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Level 1</w:t>
      </w:r>
      <w:r>
        <w:rPr>
          <w:rFonts w:ascii="Arial" w:cs="Arial" w:eastAsia="Arial" w:hAnsi="Arial"/>
          <w:i w:val="false"/>
          <w:iCs w:val="false"/>
          <w:color w:val="333333"/>
          <w:sz w:val="21"/>
          <w:szCs w:val="21"/>
        </w:rPr>
        <w:t xml:space="preserve">: Standardized automated adversarial test suite.</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Level 2</w:t>
      </w:r>
      <w:r>
        <w:rPr>
          <w:rFonts w:ascii="Arial" w:cs="Arial" w:eastAsia="Arial" w:hAnsi="Arial"/>
          <w:i w:val="false"/>
          <w:iCs w:val="false"/>
          <w:color w:val="333333"/>
          <w:sz w:val="21"/>
          <w:szCs w:val="21"/>
        </w:rPr>
        <w:t xml:space="preserve">: Automated suite plus structured human adversarial simulation (minimum 40 hours).</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Level 3</w:t>
      </w:r>
      <w:r>
        <w:rPr>
          <w:rFonts w:ascii="Arial" w:cs="Arial" w:eastAsia="Arial" w:hAnsi="Arial"/>
          <w:i w:val="false"/>
          <w:iCs w:val="false"/>
          <w:color w:val="333333"/>
          <w:sz w:val="21"/>
          <w:szCs w:val="21"/>
        </w:rPr>
        <w:t xml:space="preserve">: Multi-layer adversarial simulation plus independent red team validation by ARAF-approved operators (minimum 80 hours).</w:t>
      </w:r>
    </w:p>
    <w:p>
      <w:pPr>
        <w:pStyle w:val="Heading1"/>
        <w:spacing w:before="360" w:after="200"/>
      </w:pPr>
      <w:r>
        <w:rPr>
          <w:rFonts w:ascii="Arial" w:cs="Arial" w:eastAsia="Arial" w:hAnsi="Arial"/>
          <w:b/>
          <w:bCs/>
          <w:color w:val="1B2A4A"/>
          <w:sz w:val="32"/>
          <w:szCs w:val="32"/>
        </w:rPr>
        <w:t xml:space="preserve">Phase 6: Human Expert Review</w:t>
      </w:r>
    </w:p>
    <w:p>
      <w:pPr>
        <w:spacing w:before="80" w:after="80" w:line="276"/>
        <w:jc w:val="both"/>
      </w:pPr>
      <w:r>
        <w:rPr>
          <w:rFonts w:ascii="Arial" w:cs="Arial" w:eastAsia="Arial" w:hAnsi="Arial"/>
          <w:i w:val="false"/>
          <w:iCs w:val="false"/>
          <w:color w:val="333333"/>
          <w:sz w:val="21"/>
          <w:szCs w:val="21"/>
        </w:rPr>
        <w:t xml:space="preserve">Qualified human assessors review the evaluation findings, evidence artifacts, and system documentation. Expert review covers areas that automated testing cannot fully address, including governance process maturity, documentation quality, architectural adequacy, and organizational readiness.</w:t>
      </w:r>
    </w:p>
    <w:p>
      <w:pPr>
        <w:spacing w:before="80" w:after="80" w:line="276"/>
        <w:jc w:val="both"/>
      </w:pPr>
      <w:r>
        <w:rPr>
          <w:rFonts w:ascii="Arial" w:cs="Arial" w:eastAsia="Arial" w:hAnsi="Arial"/>
          <w:i w:val="false"/>
          <w:iCs w:val="false"/>
          <w:color w:val="333333"/>
          <w:sz w:val="21"/>
          <w:szCs w:val="21"/>
        </w:rPr>
        <w:t xml:space="preserve">Expert reviewers must hold current ARAF assessor credentials and have no conflict of interest with the applicant.</w:t>
      </w:r>
    </w:p>
    <w:p>
      <w:pPr>
        <w:pStyle w:val="Heading1"/>
        <w:spacing w:before="360" w:after="200"/>
      </w:pPr>
      <w:r>
        <w:rPr>
          <w:rFonts w:ascii="Arial" w:cs="Arial" w:eastAsia="Arial" w:hAnsi="Arial"/>
          <w:b/>
          <w:bCs/>
          <w:color w:val="1B2A4A"/>
          <w:sz w:val="32"/>
          <w:szCs w:val="32"/>
        </w:rPr>
        <w:t xml:space="preserve">Phase 7: Certification Decision</w:t>
      </w:r>
    </w:p>
    <w:p>
      <w:pPr>
        <w:spacing w:before="80" w:after="80" w:line="276"/>
        <w:jc w:val="both"/>
      </w:pPr>
      <w:r>
        <w:rPr>
          <w:rFonts w:ascii="Arial" w:cs="Arial" w:eastAsia="Arial" w:hAnsi="Arial"/>
          <w:i w:val="false"/>
          <w:iCs w:val="false"/>
          <w:color w:val="333333"/>
          <w:sz w:val="21"/>
          <w:szCs w:val="21"/>
        </w:rPr>
        <w:t xml:space="preserve">The ARAF Certification Office reviews the complete evaluation report from the AVB, including ACR results, domain scores, adversarial simulation findings, and expert review conclusions. The Certification Office issues one of four decisions: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Certified</w:t>
      </w:r>
      <w:r>
        <w:rPr>
          <w:rFonts w:ascii="Arial" w:cs="Arial" w:eastAsia="Arial" w:hAnsi="Arial"/>
          <w:color w:val="333333"/>
          <w:sz w:val="21"/>
          <w:szCs w:val="21"/>
        </w:rPr>
        <w:t xml:space="preserve">: All requirements met. Certification issued at the requested level.</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Conditionally Certified</w:t>
      </w:r>
      <w:r>
        <w:rPr>
          <w:rFonts w:ascii="Arial" w:cs="Arial" w:eastAsia="Arial" w:hAnsi="Arial"/>
          <w:color w:val="333333"/>
          <w:sz w:val="21"/>
          <w:szCs w:val="21"/>
        </w:rPr>
        <w:t xml:space="preserve">: Minor deficiencies identified. Certification issued with remediation timeline (maximum 90 days).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Deferred</w:t>
      </w:r>
      <w:r>
        <w:rPr>
          <w:rFonts w:ascii="Arial" w:cs="Arial" w:eastAsia="Arial" w:hAnsi="Arial"/>
          <w:color w:val="333333"/>
          <w:sz w:val="21"/>
          <w:szCs w:val="21"/>
        </w:rPr>
        <w:t xml:space="preserve">: Material deficiencies identified that require remediation and re-evaluation. System may reapply after remediation.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Denied</w:t>
      </w:r>
      <w:r>
        <w:rPr>
          <w:rFonts w:ascii="Arial" w:cs="Arial" w:eastAsia="Arial" w:hAnsi="Arial"/>
          <w:color w:val="333333"/>
          <w:sz w:val="21"/>
          <w:szCs w:val="21"/>
        </w:rPr>
        <w:t xml:space="preserve">: Fundamental deficiencies that preclude certification. System must undergo substantial redesign before reapplication.</w:t>
      </w:r>
    </w:p>
    <w:p>
      <w:pPr>
        <w:pStyle w:val="Heading1"/>
        <w:spacing w:before="360" w:after="200"/>
      </w:pPr>
      <w:r>
        <w:rPr>
          <w:rFonts w:ascii="Arial" w:cs="Arial" w:eastAsia="Arial" w:hAnsi="Arial"/>
          <w:b/>
          <w:bCs/>
          <w:color w:val="1B2A4A"/>
          <w:sz w:val="32"/>
          <w:szCs w:val="32"/>
        </w:rPr>
        <w:t xml:space="preserve">Phase 8: Registry Publication</w:t>
      </w:r>
    </w:p>
    <w:p>
      <w:pPr>
        <w:spacing w:before="80" w:after="80" w:line="276"/>
        <w:jc w:val="both"/>
      </w:pPr>
      <w:r>
        <w:rPr>
          <w:rFonts w:ascii="Arial" w:cs="Arial" w:eastAsia="Arial" w:hAnsi="Arial"/>
          <w:i w:val="false"/>
          <w:iCs w:val="false"/>
          <w:color w:val="333333"/>
          <w:sz w:val="21"/>
          <w:szCs w:val="21"/>
        </w:rPr>
        <w:t xml:space="preserve">Certified systems are registered in the public ARA Certification Registry with the following information: system name and description; certified entity; certification level; certification date and expiration; domain scores; any conditions or limitations; AVB identity.</w:t>
      </w:r>
    </w:p>
    <w:p>
      <w:pPr>
        <w:spacing w:before="80" w:after="80" w:line="276"/>
        <w:jc w:val="both"/>
      </w:pPr>
      <w:r>
        <w:rPr>
          <w:rFonts w:ascii="Arial" w:cs="Arial" w:eastAsia="Arial" w:hAnsi="Arial"/>
          <w:i w:val="false"/>
          <w:iCs w:val="false"/>
          <w:color w:val="333333"/>
          <w:sz w:val="21"/>
          <w:szCs w:val="21"/>
        </w:rPr>
        <w:t xml:space="preserve">The registry is publicly accessible and updated in real time.</w:t>
      </w:r>
    </w:p>
    <w:p>
      <w:pPr>
        <w:pStyle w:val="Heading1"/>
        <w:spacing w:before="360" w:after="200"/>
      </w:pPr>
      <w:r>
        <w:rPr>
          <w:rFonts w:ascii="Arial" w:cs="Arial" w:eastAsia="Arial" w:hAnsi="Arial"/>
          <w:b/>
          <w:bCs/>
          <w:color w:val="1B2A4A"/>
          <w:sz w:val="32"/>
          <w:szCs w:val="32"/>
        </w:rPr>
        <w:t xml:space="preserve">Phase 9: Continuous Monitoring Enrollment</w:t>
      </w:r>
    </w:p>
    <w:p>
      <w:pPr>
        <w:spacing w:before="80" w:after="80" w:line="276"/>
        <w:jc w:val="both"/>
      </w:pPr>
      <w:r>
        <w:rPr>
          <w:rFonts w:ascii="Arial" w:cs="Arial" w:eastAsia="Arial" w:hAnsi="Arial"/>
          <w:i w:val="false"/>
          <w:iCs w:val="false"/>
          <w:color w:val="333333"/>
          <w:sz w:val="21"/>
          <w:szCs w:val="21"/>
        </w:rPr>
        <w:t xml:space="preserve">Following certification, the system enrolls in the ARAF Continuous Assurance Program. This requires deployment of the Behavioral Telemetry SDK or equivalent monitoring integration that provides ongoing compliance verification.</w:t>
      </w:r>
    </w:p>
    <w:p>
      <w:pPr>
        <w:spacing w:before="80" w:after="80" w:line="276"/>
        <w:jc w:val="both"/>
      </w:pPr>
      <w:r>
        <w:rPr>
          <w:rFonts w:ascii="Arial" w:cs="Arial" w:eastAsia="Arial" w:hAnsi="Arial"/>
          <w:i w:val="false"/>
          <w:iCs w:val="false"/>
          <w:color w:val="333333"/>
          <w:sz w:val="21"/>
          <w:szCs w:val="21"/>
        </w:rPr>
        <w:t xml:space="preserve">Continuous monitoring verifies: behavioral drift within thresholds; policy compliance maintenance; telemetry data integrity; escalation pathway availability; incident reporting compliance.</w:t>
      </w:r>
    </w:p>
    <w:p>
      <w:pPr>
        <w:pStyle w:val="Heading1"/>
        <w:spacing w:before="360" w:after="200"/>
      </w:pPr>
      <w:r>
        <w:rPr>
          <w:rFonts w:ascii="Arial" w:cs="Arial" w:eastAsia="Arial" w:hAnsi="Arial"/>
          <w:b/>
          <w:bCs/>
          <w:color w:val="1B2A4A"/>
          <w:sz w:val="32"/>
          <w:szCs w:val="32"/>
        </w:rPr>
        <w:t xml:space="preserve">Phase 10: Reassessment</w:t>
      </w:r>
    </w:p>
    <w:p>
      <w:pPr>
        <w:spacing w:before="80" w:after="80" w:line="276"/>
        <w:jc w:val="both"/>
      </w:pPr>
      <w:r>
        <w:rPr>
          <w:rFonts w:ascii="Arial" w:cs="Arial" w:eastAsia="Arial" w:hAnsi="Arial"/>
          <w:i w:val="false"/>
          <w:iCs w:val="false"/>
          <w:color w:val="333333"/>
          <w:sz w:val="21"/>
          <w:szCs w:val="21"/>
        </w:rPr>
        <w:t xml:space="preserve">Certified systems undergo periodic reassessment according to their certification level schedule (annual for Level 1, semi-annual for Level 2, quarterly for Level 3). Reassessments may be scheduled or triggered by material events including:</w:t>
      </w:r>
    </w:p>
    <w:p>
      <w:pPr>
        <w:pStyle w:val="ListParagraph"/>
        <w:numPr>
          <w:ilvl w:val="0"/>
          <w:numId w:val="2"/>
        </w:numPr>
        <w:spacing w:before="40" w:after="40" w:line="276"/>
      </w:pPr>
      <w:r>
        <w:rPr>
          <w:rFonts w:ascii="Arial" w:cs="Arial" w:eastAsia="Arial" w:hAnsi="Arial"/>
          <w:color w:val="333333"/>
          <w:sz w:val="21"/>
          <w:szCs w:val="21"/>
        </w:rPr>
        <w:t xml:space="preserve">Significant system updates or model changes</w:t>
      </w:r>
    </w:p>
    <w:p>
      <w:pPr>
        <w:pStyle w:val="ListParagraph"/>
        <w:numPr>
          <w:ilvl w:val="0"/>
          <w:numId w:val="2"/>
        </w:numPr>
        <w:spacing w:before="40" w:after="40" w:line="276"/>
      </w:pPr>
      <w:r>
        <w:rPr>
          <w:rFonts w:ascii="Arial" w:cs="Arial" w:eastAsia="Arial" w:hAnsi="Arial"/>
          <w:color w:val="333333"/>
          <w:sz w:val="21"/>
          <w:szCs w:val="21"/>
        </w:rPr>
        <w:t xml:space="preserve">Detected drift exceeding thresholds</w:t>
      </w:r>
    </w:p>
    <w:p>
      <w:pPr>
        <w:pStyle w:val="ListParagraph"/>
        <w:numPr>
          <w:ilvl w:val="0"/>
          <w:numId w:val="2"/>
        </w:numPr>
        <w:spacing w:before="40" w:after="40" w:line="276"/>
      </w:pPr>
      <w:r>
        <w:rPr>
          <w:rFonts w:ascii="Arial" w:cs="Arial" w:eastAsia="Arial" w:hAnsi="Arial"/>
          <w:color w:val="333333"/>
          <w:sz w:val="21"/>
          <w:szCs w:val="21"/>
        </w:rPr>
        <w:t xml:space="preserve">Production incidents affecting reliability</w:t>
      </w:r>
    </w:p>
    <w:p>
      <w:pPr>
        <w:pStyle w:val="ListParagraph"/>
        <w:numPr>
          <w:ilvl w:val="0"/>
          <w:numId w:val="2"/>
        </w:numPr>
        <w:spacing w:before="40" w:after="40" w:line="276"/>
      </w:pPr>
      <w:r>
        <w:rPr>
          <w:rFonts w:ascii="Arial" w:cs="Arial" w:eastAsia="Arial" w:hAnsi="Arial"/>
          <w:color w:val="333333"/>
          <w:sz w:val="21"/>
          <w:szCs w:val="21"/>
        </w:rPr>
        <w:t xml:space="preserve">Changes in deployment context or operational scope</w:t>
      </w:r>
    </w:p>
    <w:p>
      <w:pPr>
        <w:pStyle w:val="ListParagraph"/>
        <w:numPr>
          <w:ilvl w:val="0"/>
          <w:numId w:val="2"/>
        </w:numPr>
        <w:spacing w:before="40" w:after="40" w:line="276"/>
      </w:pPr>
      <w:r>
        <w:rPr>
          <w:rFonts w:ascii="Arial" w:cs="Arial" w:eastAsia="Arial" w:hAnsi="Arial"/>
          <w:color w:val="333333"/>
          <w:sz w:val="21"/>
          <w:szCs w:val="21"/>
        </w:rPr>
        <w:t xml:space="preserve">Revisions to the ARA Standard</w:t>
      </w:r>
    </w:p>
    <w:p>
      <w:pPr>
        <w:spacing w:before="80" w:after="80" w:line="276"/>
        <w:jc w:val="both"/>
      </w:pPr>
      <w:r>
        <w:rPr>
          <w:rFonts w:ascii="Arial" w:cs="Arial" w:eastAsia="Arial" w:hAnsi="Arial"/>
          <w:i w:val="false"/>
          <w:iCs w:val="false"/>
          <w:color w:val="333333"/>
          <w:sz w:val="21"/>
          <w:szCs w:val="21"/>
        </w:rPr>
        <w:t xml:space="preserve">Reassessments may be full or focused depending on the trigger. Focused reassessments evaluate only the domains and ACRs affected by the triggering event.</w:t>
      </w:r>
    </w:p>
    <w:p>
      <w:pPr>
        <w:pageBreakBefore/>
      </w:pPr>
    </w:p>
    <w:p>
      <w:pPr>
        <w:spacing w:before="600" w:after="200"/>
        <w:jc w:val="center"/>
      </w:pPr>
      <w:r>
        <w:rPr>
          <w:rFonts w:ascii="Arial" w:cs="Arial" w:eastAsia="Arial" w:hAnsi="Arial"/>
          <w:b/>
          <w:bCs/>
          <w:color w:val="1B2A4A"/>
          <w:sz w:val="36"/>
          <w:szCs w:val="36"/>
        </w:rPr>
        <w:t xml:space="preserve">PART VI</w:t>
      </w:r>
    </w:p>
    <w:p>
      <w:pPr>
        <w:pBdr>
          <w:bottom w:val="single" w:color="3B7DD8" w:sz="4" w:space="8"/>
        </w:pBdr>
        <w:spacing w:after="400"/>
        <w:jc w:val="center"/>
      </w:pPr>
      <w:r>
        <w:rPr>
          <w:rFonts w:ascii="Arial" w:cs="Arial" w:eastAsia="Arial" w:hAnsi="Arial"/>
          <w:color w:val="2E4A7A"/>
          <w:sz w:val="30"/>
          <w:szCs w:val="30"/>
        </w:rPr>
        <w:t xml:space="preserve">TESTING AND CONTINUOUS MONITORING PLATFORM ARCHITECTURE</w:t>
      </w:r>
    </w:p>
    <w:p>
      <w:pPr>
        <w:spacing w:before="80" w:after="80" w:line="276"/>
        <w:jc w:val="both"/>
      </w:pPr>
      <w:r>
        <w:rPr>
          <w:rFonts w:ascii="Arial" w:cs="Arial" w:eastAsia="Arial" w:hAnsi="Arial"/>
          <w:i w:val="false"/>
          <w:iCs w:val="false"/>
          <w:color w:val="333333"/>
          <w:sz w:val="21"/>
          <w:szCs w:val="21"/>
        </w:rPr>
        <w:t xml:space="preserve">This section defines the technical architecture for the testing, evaluation, and continuous monitoring infrastructure that supports ARA certification. This platform may be operated by ARAF directly, by accredited testing entities, or by commercial operators under ARAF license.</w:t>
      </w:r>
    </w:p>
    <w:p>
      <w:pPr>
        <w:spacing w:before="100" w:after="0"/>
      </w:pPr>
    </w:p>
    <w:p>
      <w:pPr>
        <w:pStyle w:val="Heading1"/>
        <w:spacing w:before="360" w:after="200"/>
      </w:pPr>
      <w:r>
        <w:rPr>
          <w:rFonts w:ascii="Arial" w:cs="Arial" w:eastAsia="Arial" w:hAnsi="Arial"/>
          <w:b/>
          <w:bCs/>
          <w:color w:val="1B2A4A"/>
          <w:sz w:val="32"/>
          <w:szCs w:val="32"/>
        </w:rPr>
        <w:t xml:space="preserve">Platform Overview</w:t>
      </w:r>
    </w:p>
    <w:p>
      <w:pPr>
        <w:spacing w:before="80" w:after="80" w:line="276"/>
        <w:jc w:val="both"/>
      </w:pPr>
      <w:r>
        <w:rPr>
          <w:rFonts w:ascii="Arial" w:cs="Arial" w:eastAsia="Arial" w:hAnsi="Arial"/>
          <w:i w:val="false"/>
          <w:iCs w:val="false"/>
          <w:color w:val="333333"/>
          <w:sz w:val="21"/>
          <w:szCs w:val="21"/>
        </w:rPr>
        <w:t xml:space="preserve">The ARA Testing and Continuous Monitoring Platform comprises six core components, each addressing a distinct function in the evaluation and ongoing assurance lifecycle. The platform is designed as a modular, API-driven architecture supporting both on-premises and cloud deployment.</w:t>
      </w:r>
    </w:p>
    <w:p>
      <w:pPr>
        <w:spacing w:before="80" w:after="0"/>
      </w:pPr>
    </w:p>
    <w:p>
      <w:pPr>
        <w:pStyle w:val="Heading1"/>
        <w:spacing w:before="360" w:after="200"/>
      </w:pPr>
      <w:r>
        <w:rPr>
          <w:rFonts w:ascii="Arial" w:cs="Arial" w:eastAsia="Arial" w:hAnsi="Arial"/>
          <w:b/>
          <w:bCs/>
          <w:color w:val="1B2A4A"/>
          <w:sz w:val="32"/>
          <w:szCs w:val="32"/>
        </w:rPr>
        <w:t xml:space="preserve">Component 1: Simulation Sandbox Engine</w:t>
      </w:r>
    </w:p>
    <w:p>
      <w:pPr>
        <w:spacing w:before="80" w:after="80" w:line="276"/>
        <w:jc w:val="both"/>
      </w:pPr>
      <w:r>
        <w:rPr>
          <w:rFonts w:ascii="Arial" w:cs="Arial" w:eastAsia="Arial" w:hAnsi="Arial"/>
          <w:i w:val="false"/>
          <w:iCs w:val="false"/>
          <w:color w:val="333333"/>
          <w:sz w:val="21"/>
          <w:szCs w:val="21"/>
        </w:rPr>
        <w:t xml:space="preserve">The Simulation Sandbox Engine provides an isolated, controlled execution environment for evaluating autonomous systems without risk to production systems, data, or users.</w:t>
      </w:r>
    </w:p>
    <w:p>
      <w:pPr>
        <w:pStyle w:val="Heading2"/>
        <w:spacing w:before="280" w:after="160"/>
      </w:pPr>
      <w:r>
        <w:rPr>
          <w:rFonts w:ascii="Arial" w:cs="Arial" w:eastAsia="Arial" w:hAnsi="Arial"/>
          <w:b/>
          <w:bCs/>
          <w:color w:val="2E4A7A"/>
          <w:sz w:val="26"/>
          <w:szCs w:val="26"/>
        </w:rPr>
        <w:t xml:space="preserve">Capabilities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Isolated Execution</w:t>
      </w:r>
      <w:r>
        <w:rPr>
          <w:rFonts w:ascii="Arial" w:cs="Arial" w:eastAsia="Arial" w:hAnsi="Arial"/>
          <w:color w:val="333333"/>
          <w:sz w:val="21"/>
          <w:szCs w:val="21"/>
        </w:rPr>
        <w:t xml:space="preserve">: Complete process, network, and data isolation preventing evaluated systems from affecting external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Controlled Tool Access</w:t>
      </w:r>
      <w:r>
        <w:rPr>
          <w:rFonts w:ascii="Arial" w:cs="Arial" w:eastAsia="Arial" w:hAnsi="Arial"/>
          <w:color w:val="333333"/>
          <w:sz w:val="21"/>
          <w:szCs w:val="21"/>
        </w:rPr>
        <w:t xml:space="preserve">: Configurable tool and API access allowing evaluators to simulate real-world integrations with monitored, sandboxed endpoints.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Multi-Agent Adversarial Simulation</w:t>
      </w:r>
      <w:r>
        <w:rPr>
          <w:rFonts w:ascii="Arial" w:cs="Arial" w:eastAsia="Arial" w:hAnsi="Arial"/>
          <w:color w:val="333333"/>
          <w:sz w:val="21"/>
          <w:szCs w:val="21"/>
        </w:rPr>
        <w:t xml:space="preserve">: Support for multi-agent evaluation scenarios including cooperative, competitive, and adversarial multi-agent interactions.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Fault Injection Testing</w:t>
      </w:r>
      <w:r>
        <w:rPr>
          <w:rFonts w:ascii="Arial" w:cs="Arial" w:eastAsia="Arial" w:hAnsi="Arial"/>
          <w:color w:val="333333"/>
          <w:sz w:val="21"/>
          <w:szCs w:val="21"/>
        </w:rPr>
        <w:t xml:space="preserve">: Programmable fault injection across all system interfaces including delayed responses, malformed data, partial failures, and resource exhaustion.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Environmental Simulation</w:t>
      </w:r>
      <w:r>
        <w:rPr>
          <w:rFonts w:ascii="Arial" w:cs="Arial" w:eastAsia="Arial" w:hAnsi="Arial"/>
          <w:color w:val="333333"/>
          <w:sz w:val="21"/>
          <w:szCs w:val="21"/>
        </w:rPr>
        <w:t xml:space="preserve">: Configurable environmental conditions for physical systems including sensor noise injection, actuator response variation, and environmental unpredictability.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Reproducible Execution</w:t>
      </w:r>
      <w:r>
        <w:rPr>
          <w:rFonts w:ascii="Arial" w:cs="Arial" w:eastAsia="Arial" w:hAnsi="Arial"/>
          <w:color w:val="333333"/>
          <w:sz w:val="21"/>
          <w:szCs w:val="21"/>
        </w:rPr>
        <w:t xml:space="preserve">: Deterministic replay capability ensuring evaluation results are reproducible from recorded initial conditions and input sequences.</w:t>
      </w:r>
    </w:p>
    <w:p>
      <w:pPr>
        <w:pStyle w:val="Heading1"/>
        <w:spacing w:before="360" w:after="200"/>
      </w:pPr>
      <w:r>
        <w:rPr>
          <w:rFonts w:ascii="Arial" w:cs="Arial" w:eastAsia="Arial" w:hAnsi="Arial"/>
          <w:b/>
          <w:bCs/>
          <w:color w:val="1B2A4A"/>
          <w:sz w:val="32"/>
          <w:szCs w:val="32"/>
        </w:rPr>
        <w:t xml:space="preserve">Component 2: Adversarial Harness</w:t>
      </w:r>
    </w:p>
    <w:p>
      <w:pPr>
        <w:spacing w:before="80" w:after="80" w:line="276"/>
        <w:jc w:val="both"/>
      </w:pPr>
      <w:r>
        <w:rPr>
          <w:rFonts w:ascii="Arial" w:cs="Arial" w:eastAsia="Arial" w:hAnsi="Arial"/>
          <w:i w:val="false"/>
          <w:iCs w:val="false"/>
          <w:color w:val="333333"/>
          <w:sz w:val="21"/>
          <w:szCs w:val="21"/>
        </w:rPr>
        <w:t xml:space="preserve">The Adversarial Harness provides a comprehensive suite of adversarial testing tools calibrated to the ARA Standard’s adversarial robustness requirements.</w:t>
      </w:r>
    </w:p>
    <w:p>
      <w:pPr>
        <w:pStyle w:val="Heading2"/>
        <w:spacing w:before="280" w:after="160"/>
      </w:pPr>
      <w:r>
        <w:rPr>
          <w:rFonts w:ascii="Arial" w:cs="Arial" w:eastAsia="Arial" w:hAnsi="Arial"/>
          <w:b/>
          <w:bCs/>
          <w:color w:val="2E4A7A"/>
          <w:sz w:val="26"/>
          <w:szCs w:val="26"/>
        </w:rPr>
        <w:t xml:space="preserve">Attack Libraries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Prompt Injection Engine</w:t>
      </w:r>
      <w:r>
        <w:rPr>
          <w:rFonts w:ascii="Arial" w:cs="Arial" w:eastAsia="Arial" w:hAnsi="Arial"/>
          <w:color w:val="333333"/>
          <w:sz w:val="21"/>
          <w:szCs w:val="21"/>
        </w:rPr>
        <w:t xml:space="preserve">: Automated generation and delivery of direct, indirect, and multi-step prompt injection attacks calibrated to current threat intelligence.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Tool Poisoning Simulation</w:t>
      </w:r>
      <w:r>
        <w:rPr>
          <w:rFonts w:ascii="Arial" w:cs="Arial" w:eastAsia="Arial" w:hAnsi="Arial"/>
          <w:color w:val="333333"/>
          <w:sz w:val="21"/>
          <w:szCs w:val="21"/>
        </w:rPr>
        <w:t xml:space="preserve">: Injection of malicious content through simulated tool and API responses to test data validation and sanitization.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Role Confusion Simulation</w:t>
      </w:r>
      <w:r>
        <w:rPr>
          <w:rFonts w:ascii="Arial" w:cs="Arial" w:eastAsia="Arial" w:hAnsi="Arial"/>
          <w:color w:val="333333"/>
          <w:sz w:val="21"/>
          <w:szCs w:val="21"/>
        </w:rPr>
        <w:t xml:space="preserve">: Systematic attempts to alter system identity, authority level, or behavioral constraints through conversational and contextual manipulation.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Escalation Bypass Attempts</w:t>
      </w:r>
      <w:r>
        <w:rPr>
          <w:rFonts w:ascii="Arial" w:cs="Arial" w:eastAsia="Arial" w:hAnsi="Arial"/>
          <w:color w:val="333333"/>
          <w:sz w:val="21"/>
          <w:szCs w:val="21"/>
        </w:rPr>
        <w:t xml:space="preserve">: Targeted attacks on escalation and human override mechanisms to verify they cannot be circumvented.</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Multi-Step Attack Orchestration</w:t>
      </w:r>
      <w:r>
        <w:rPr>
          <w:rFonts w:ascii="Arial" w:cs="Arial" w:eastAsia="Arial" w:hAnsi="Arial"/>
          <w:color w:val="333333"/>
          <w:sz w:val="21"/>
          <w:szCs w:val="21"/>
        </w:rPr>
        <w:t xml:space="preserve">: Coordinated multi-turn attack sequences where individual steps appear benign but combine to achieve adversarial objectives.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Social Engineering Simulation</w:t>
      </w:r>
      <w:r>
        <w:rPr>
          <w:rFonts w:ascii="Arial" w:cs="Arial" w:eastAsia="Arial" w:hAnsi="Arial"/>
          <w:color w:val="333333"/>
          <w:sz w:val="21"/>
          <w:szCs w:val="21"/>
        </w:rPr>
        <w:t xml:space="preserve">: Natural language-based manipulation attempts testing the system’s resistance to persuasion, deception, and authority impersonation.</w:t>
      </w:r>
    </w:p>
    <w:p>
      <w:pPr>
        <w:pStyle w:val="Heading2"/>
        <w:spacing w:before="280" w:after="160"/>
      </w:pPr>
      <w:r>
        <w:rPr>
          <w:rFonts w:ascii="Arial" w:cs="Arial" w:eastAsia="Arial" w:hAnsi="Arial"/>
          <w:b/>
          <w:bCs/>
          <w:color w:val="2E4A7A"/>
          <w:sz w:val="26"/>
          <w:szCs w:val="26"/>
        </w:rPr>
        <w:t xml:space="preserve">Reporting</w:t>
      </w:r>
    </w:p>
    <w:p>
      <w:pPr>
        <w:spacing w:before="80" w:after="80" w:line="276"/>
        <w:jc w:val="both"/>
      </w:pPr>
      <w:r>
        <w:rPr>
          <w:rFonts w:ascii="Arial" w:cs="Arial" w:eastAsia="Arial" w:hAnsi="Arial"/>
          <w:i w:val="false"/>
          <w:iCs w:val="false"/>
          <w:color w:val="333333"/>
          <w:sz w:val="21"/>
          <w:szCs w:val="21"/>
        </w:rPr>
        <w:t xml:space="preserve">The Adversarial Harness produces structured reports mapping each test to specific ACRs, with attack methodology, system response, pass/fail determination, and severity classification for identified vulnerabilities.</w:t>
      </w:r>
    </w:p>
    <w:p>
      <w:pPr>
        <w:pStyle w:val="Heading1"/>
        <w:spacing w:before="360" w:after="200"/>
      </w:pPr>
      <w:r>
        <w:rPr>
          <w:rFonts w:ascii="Arial" w:cs="Arial" w:eastAsia="Arial" w:hAnsi="Arial"/>
          <w:b/>
          <w:bCs/>
          <w:color w:val="1B2A4A"/>
          <w:sz w:val="32"/>
          <w:szCs w:val="32"/>
        </w:rPr>
        <w:t xml:space="preserve">Component 3: Behavioral Telemetry SDK</w:t>
      </w:r>
    </w:p>
    <w:p>
      <w:pPr>
        <w:spacing w:before="80" w:after="80" w:line="276"/>
        <w:jc w:val="both"/>
      </w:pPr>
      <w:r>
        <w:rPr>
          <w:rFonts w:ascii="Arial" w:cs="Arial" w:eastAsia="Arial" w:hAnsi="Arial"/>
          <w:i w:val="false"/>
          <w:iCs w:val="false"/>
          <w:color w:val="333333"/>
          <w:sz w:val="21"/>
          <w:szCs w:val="21"/>
        </w:rPr>
        <w:t xml:space="preserve">The Behavioral Telemetry SDK is an embeddable software component that instruments autonomous systems for runtime monitoring and continuous assurance data collection.</w:t>
      </w:r>
    </w:p>
    <w:p>
      <w:pPr>
        <w:pStyle w:val="Heading2"/>
        <w:spacing w:before="280" w:after="160"/>
      </w:pPr>
      <w:r>
        <w:rPr>
          <w:rFonts w:ascii="Arial" w:cs="Arial" w:eastAsia="Arial" w:hAnsi="Arial"/>
          <w:b/>
          <w:bCs/>
          <w:color w:val="2E4A7A"/>
          <w:sz w:val="26"/>
          <w:szCs w:val="26"/>
        </w:rPr>
        <w:t xml:space="preserve">Capabilities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Action Trace Streaming</w:t>
      </w:r>
      <w:r>
        <w:rPr>
          <w:rFonts w:ascii="Arial" w:cs="Arial" w:eastAsia="Arial" w:hAnsi="Arial"/>
          <w:color w:val="333333"/>
          <w:sz w:val="21"/>
          <w:szCs w:val="21"/>
        </w:rPr>
        <w:t xml:space="preserve">: Real-time streaming of action traces including decision inputs, logic, outputs, and timing.</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Boundary Violation Logging</w:t>
      </w:r>
      <w:r>
        <w:rPr>
          <w:rFonts w:ascii="Arial" w:cs="Arial" w:eastAsia="Arial" w:hAnsi="Arial"/>
          <w:color w:val="333333"/>
          <w:sz w:val="21"/>
          <w:szCs w:val="21"/>
        </w:rPr>
        <w:t xml:space="preserve">: Automated detection and logging of operational boundary violations.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Drift Signal Reporting</w:t>
      </w:r>
      <w:r>
        <w:rPr>
          <w:rFonts w:ascii="Arial" w:cs="Arial" w:eastAsia="Arial" w:hAnsi="Arial"/>
          <w:color w:val="333333"/>
          <w:sz w:val="21"/>
          <w:szCs w:val="21"/>
        </w:rPr>
        <w:t xml:space="preserve">: Continuous output distribution monitoring with configurable drift alerting.</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Resource Utilization Monitoring</w:t>
      </w:r>
      <w:r>
        <w:rPr>
          <w:rFonts w:ascii="Arial" w:cs="Arial" w:eastAsia="Arial" w:hAnsi="Arial"/>
          <w:color w:val="333333"/>
          <w:sz w:val="21"/>
          <w:szCs w:val="21"/>
        </w:rPr>
        <w:t xml:space="preserve">: Tracking of compute, memory, storage, and API consumption patterns.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Anomaly Detection</w:t>
      </w:r>
      <w:r>
        <w:rPr>
          <w:rFonts w:ascii="Arial" w:cs="Arial" w:eastAsia="Arial" w:hAnsi="Arial"/>
          <w:color w:val="333333"/>
          <w:sz w:val="21"/>
          <w:szCs w:val="21"/>
        </w:rPr>
        <w:t xml:space="preserve">: Embedded anomaly detection using statistical and behavioral baselines.</w:t>
      </w:r>
    </w:p>
    <w:p>
      <w:pPr>
        <w:pStyle w:val="Heading2"/>
        <w:spacing w:before="280" w:after="160"/>
      </w:pPr>
      <w:r>
        <w:rPr>
          <w:rFonts w:ascii="Arial" w:cs="Arial" w:eastAsia="Arial" w:hAnsi="Arial"/>
          <w:b/>
          <w:bCs/>
          <w:color w:val="2E4A7A"/>
          <w:sz w:val="26"/>
          <w:szCs w:val="26"/>
        </w:rPr>
        <w:t xml:space="preserve">Integration</w:t>
      </w:r>
    </w:p>
    <w:p>
      <w:pPr>
        <w:spacing w:before="80" w:after="80" w:line="276"/>
        <w:jc w:val="both"/>
      </w:pPr>
      <w:r>
        <w:rPr>
          <w:rFonts w:ascii="Arial" w:cs="Arial" w:eastAsia="Arial" w:hAnsi="Arial"/>
          <w:i w:val="false"/>
          <w:iCs w:val="false"/>
          <w:color w:val="333333"/>
          <w:sz w:val="21"/>
          <w:szCs w:val="21"/>
        </w:rPr>
        <w:t xml:space="preserve">The SDK supports integration via REST API, gRPC, and native language bindings for Python, Node.js, Java, Go, and Rust. All data transmission is encrypted in transit and at rest.</w:t>
      </w:r>
    </w:p>
    <w:p>
      <w:pPr>
        <w:pStyle w:val="Heading1"/>
        <w:spacing w:before="360" w:after="200"/>
      </w:pPr>
      <w:r>
        <w:rPr>
          <w:rFonts w:ascii="Arial" w:cs="Arial" w:eastAsia="Arial" w:hAnsi="Arial"/>
          <w:b/>
          <w:bCs/>
          <w:color w:val="1B2A4A"/>
          <w:sz w:val="32"/>
          <w:szCs w:val="32"/>
        </w:rPr>
        <w:t xml:space="preserve">Component 4: Drift Detection Engine</w:t>
      </w:r>
    </w:p>
    <w:p>
      <w:pPr>
        <w:spacing w:before="80" w:after="80" w:line="276"/>
        <w:jc w:val="both"/>
      </w:pPr>
      <w:r>
        <w:rPr>
          <w:rFonts w:ascii="Arial" w:cs="Arial" w:eastAsia="Arial" w:hAnsi="Arial"/>
          <w:i w:val="false"/>
          <w:iCs w:val="false"/>
          <w:color w:val="333333"/>
          <w:sz w:val="21"/>
          <w:szCs w:val="21"/>
        </w:rPr>
        <w:t xml:space="preserve">The Drift Detection Engine provides specialized analytics for detecting, classifying, and alerting on behavioral drift in certified autonomous systems.</w:t>
      </w:r>
    </w:p>
    <w:p>
      <w:pPr>
        <w:pStyle w:val="Heading2"/>
        <w:spacing w:before="280" w:after="160"/>
      </w:pPr>
      <w:r>
        <w:rPr>
          <w:rFonts w:ascii="Arial" w:cs="Arial" w:eastAsia="Arial" w:hAnsi="Arial"/>
          <w:b/>
          <w:bCs/>
          <w:color w:val="2E4A7A"/>
          <w:sz w:val="26"/>
          <w:szCs w:val="26"/>
        </w:rPr>
        <w:t xml:space="preserve">Methods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Distribution Comparison</w:t>
      </w:r>
      <w:r>
        <w:rPr>
          <w:rFonts w:ascii="Arial" w:cs="Arial" w:eastAsia="Arial" w:hAnsi="Arial"/>
          <w:color w:val="333333"/>
          <w:sz w:val="21"/>
          <w:szCs w:val="21"/>
        </w:rPr>
        <w:t xml:space="preserve">: Statistical comparison of current output distributions against certified behavioral baselines using KL divergence, Kolmogorov-Smirnov, and population stability indices.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Behavior Variance Analysis</w:t>
      </w:r>
      <w:r>
        <w:rPr>
          <w:rFonts w:ascii="Arial" w:cs="Arial" w:eastAsia="Arial" w:hAnsi="Arial"/>
          <w:color w:val="333333"/>
          <w:sz w:val="21"/>
          <w:szCs w:val="21"/>
        </w:rPr>
        <w:t xml:space="preserve">: Monitoring of output consistency independent of distribution center, detecting changes in predictability even when mean behavior remains stable.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Policy Violation Detection</w:t>
      </w:r>
      <w:r>
        <w:rPr>
          <w:rFonts w:ascii="Arial" w:cs="Arial" w:eastAsia="Arial" w:hAnsi="Arial"/>
          <w:color w:val="333333"/>
          <w:sz w:val="21"/>
          <w:szCs w:val="21"/>
        </w:rPr>
        <w:t xml:space="preserve">: Automated detection of outputs or actions that violate documented behavioral policies.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Long-Horizon Degradation Detection</w:t>
      </w:r>
      <w:r>
        <w:rPr>
          <w:rFonts w:ascii="Arial" w:cs="Arial" w:eastAsia="Arial" w:hAnsi="Arial"/>
          <w:color w:val="333333"/>
          <w:sz w:val="21"/>
          <w:szCs w:val="21"/>
        </w:rPr>
        <w:t xml:space="preserve">: Trend analysis over extended time periods to identify gradual degradation that short-window monitoring may miss.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Seasonal and Contextual Normalization</w:t>
      </w:r>
      <w:r>
        <w:rPr>
          <w:rFonts w:ascii="Arial" w:cs="Arial" w:eastAsia="Arial" w:hAnsi="Arial"/>
          <w:color w:val="333333"/>
          <w:sz w:val="21"/>
          <w:szCs w:val="21"/>
        </w:rPr>
        <w:t xml:space="preserve">: Adjustment for expected behavioral variation due to seasonal patterns, business cycles, or environmental changes.</w:t>
      </w:r>
    </w:p>
    <w:p>
      <w:pPr>
        <w:pStyle w:val="Heading1"/>
        <w:spacing w:before="360" w:after="200"/>
      </w:pPr>
      <w:r>
        <w:rPr>
          <w:rFonts w:ascii="Arial" w:cs="Arial" w:eastAsia="Arial" w:hAnsi="Arial"/>
          <w:b/>
          <w:bCs/>
          <w:color w:val="1B2A4A"/>
          <w:sz w:val="32"/>
          <w:szCs w:val="32"/>
        </w:rPr>
        <w:t xml:space="preserve">Component 5: Certification Scoring Engine</w:t>
      </w:r>
    </w:p>
    <w:p>
      <w:pPr>
        <w:spacing w:before="80" w:after="80" w:line="276"/>
        <w:jc w:val="both"/>
      </w:pPr>
      <w:r>
        <w:rPr>
          <w:rFonts w:ascii="Arial" w:cs="Arial" w:eastAsia="Arial" w:hAnsi="Arial"/>
          <w:i w:val="false"/>
          <w:iCs w:val="false"/>
          <w:color w:val="333333"/>
          <w:sz w:val="21"/>
          <w:szCs w:val="21"/>
        </w:rPr>
        <w:t xml:space="preserve">The Certification Scoring Engine aggregates individual ACR results into domain scores, certification level determinations, and comprehensive evaluation reports.</w:t>
      </w:r>
    </w:p>
    <w:p>
      <w:pPr>
        <w:pStyle w:val="Heading2"/>
        <w:spacing w:before="280" w:after="160"/>
      </w:pPr>
      <w:r>
        <w:rPr>
          <w:rFonts w:ascii="Arial" w:cs="Arial" w:eastAsia="Arial" w:hAnsi="Arial"/>
          <w:b/>
          <w:bCs/>
          <w:color w:val="2E4A7A"/>
          <w:sz w:val="26"/>
          <w:szCs w:val="26"/>
        </w:rPr>
        <w:t xml:space="preserve">Functions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Domain-Level Scoring</w:t>
      </w:r>
      <w:r>
        <w:rPr>
          <w:rFonts w:ascii="Arial" w:cs="Arial" w:eastAsia="Arial" w:hAnsi="Arial"/>
          <w:color w:val="333333"/>
          <w:sz w:val="21"/>
          <w:szCs w:val="21"/>
        </w:rPr>
        <w:t xml:space="preserve">: Weighted aggregation of ACR results within each domain.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Risk Weighting</w:t>
      </w:r>
      <w:r>
        <w:rPr>
          <w:rFonts w:ascii="Arial" w:cs="Arial" w:eastAsia="Arial" w:hAnsi="Arial"/>
          <w:color w:val="333333"/>
          <w:sz w:val="21"/>
          <w:szCs w:val="21"/>
        </w:rPr>
        <w:t xml:space="preserve">: Application of risk weights reflecting the relative importance of each ACR.</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Threshold Mapping</w:t>
      </w:r>
      <w:r>
        <w:rPr>
          <w:rFonts w:ascii="Arial" w:cs="Arial" w:eastAsia="Arial" w:hAnsi="Arial"/>
          <w:color w:val="333333"/>
          <w:sz w:val="21"/>
          <w:szCs w:val="21"/>
        </w:rPr>
        <w:t xml:space="preserve">: Comparison of domain scores against certification level thresholds.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Blocking ACR Enforcement</w:t>
      </w:r>
      <w:r>
        <w:rPr>
          <w:rFonts w:ascii="Arial" w:cs="Arial" w:eastAsia="Arial" w:hAnsi="Arial"/>
          <w:color w:val="333333"/>
          <w:sz w:val="21"/>
          <w:szCs w:val="21"/>
        </w:rPr>
        <w:t xml:space="preserve">: Identification and enforcement of blocking ACR failures.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Evidence Artifact Storage</w:t>
      </w:r>
      <w:r>
        <w:rPr>
          <w:rFonts w:ascii="Arial" w:cs="Arial" w:eastAsia="Arial" w:hAnsi="Arial"/>
          <w:color w:val="333333"/>
          <w:sz w:val="21"/>
          <w:szCs w:val="21"/>
        </w:rPr>
        <w:t xml:space="preserve">: Secure, tamper-evident storage of all evidence artifacts linked to ACR evaluations.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Report Generation</w:t>
      </w:r>
      <w:r>
        <w:rPr>
          <w:rFonts w:ascii="Arial" w:cs="Arial" w:eastAsia="Arial" w:hAnsi="Arial"/>
          <w:color w:val="333333"/>
          <w:sz w:val="21"/>
          <w:szCs w:val="21"/>
        </w:rPr>
        <w:t xml:space="preserve">: Automated generation of structured evaluation reports for AVB and ARAF Certification Office review.</w:t>
      </w:r>
    </w:p>
    <w:p>
      <w:pPr>
        <w:pStyle w:val="Heading1"/>
        <w:spacing w:before="360" w:after="200"/>
      </w:pPr>
      <w:r>
        <w:rPr>
          <w:rFonts w:ascii="Arial" w:cs="Arial" w:eastAsia="Arial" w:hAnsi="Arial"/>
          <w:b/>
          <w:bCs/>
          <w:color w:val="1B2A4A"/>
          <w:sz w:val="32"/>
          <w:szCs w:val="32"/>
        </w:rPr>
        <w:t xml:space="preserve">Component 6: Continuous Assurance Platform</w:t>
      </w:r>
    </w:p>
    <w:p>
      <w:pPr>
        <w:spacing w:before="80" w:after="80" w:line="276"/>
        <w:jc w:val="both"/>
      </w:pPr>
      <w:r>
        <w:rPr>
          <w:rFonts w:ascii="Arial" w:cs="Arial" w:eastAsia="Arial" w:hAnsi="Arial"/>
          <w:i w:val="false"/>
          <w:iCs w:val="false"/>
          <w:color w:val="333333"/>
          <w:sz w:val="21"/>
          <w:szCs w:val="21"/>
        </w:rPr>
        <w:t xml:space="preserve">The Continuous Assurance Platform (CAP) provides always-on, persistently connected monitoring of certified autonomous systems in production environments. The CAP is the operational backbone of ARA’s post-certification compliance model, designed not as a periodic check-in tool but as a </w:t>
      </w:r>
      <w:r>
        <w:rPr>
          <w:rFonts w:ascii="Arial" w:cs="Arial" w:eastAsia="Arial" w:hAnsi="Arial"/>
          <w:b/>
          <w:bCs/>
          <w:color w:val="333333"/>
          <w:sz w:val="21"/>
          <w:szCs w:val="21"/>
        </w:rPr>
        <w:t xml:space="preserve">persistent infrastructure layer</w:t>
      </w:r>
      <w:r>
        <w:rPr>
          <w:rFonts w:ascii="Arial" w:cs="Arial" w:eastAsia="Arial" w:hAnsi="Arial"/>
          <w:i w:val="false"/>
          <w:iCs w:val="false"/>
          <w:color w:val="333333"/>
          <w:sz w:val="21"/>
          <w:szCs w:val="21"/>
        </w:rPr>
        <w:t xml:space="preserve"> integrated directly into the operational fabric of autonomous systems.</w:t>
      </w:r>
    </w:p>
    <w:p>
      <w:pPr>
        <w:pStyle w:val="Heading2"/>
        <w:spacing w:before="280" w:after="160"/>
      </w:pPr>
      <w:r>
        <w:rPr>
          <w:rFonts w:ascii="Arial" w:cs="Arial" w:eastAsia="Arial" w:hAnsi="Arial"/>
          <w:b/>
          <w:bCs/>
          <w:color w:val="2E4A7A"/>
          <w:sz w:val="26"/>
          <w:szCs w:val="26"/>
        </w:rPr>
        <w:t xml:space="preserve">Core Services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Real-Time Anomaly Alerts</w:t>
      </w:r>
      <w:r>
        <w:rPr>
          <w:rFonts w:ascii="Arial" w:cs="Arial" w:eastAsia="Arial" w:hAnsi="Arial"/>
          <w:color w:val="333333"/>
          <w:sz w:val="21"/>
          <w:szCs w:val="21"/>
        </w:rPr>
        <w:t xml:space="preserve">: Immediate notification of behavioral anomalies, boundary violations, and policy deviations.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Policy Violation Notifications</w:t>
      </w:r>
      <w:r>
        <w:rPr>
          <w:rFonts w:ascii="Arial" w:cs="Arial" w:eastAsia="Arial" w:hAnsi="Arial"/>
          <w:color w:val="333333"/>
          <w:sz w:val="21"/>
          <w:szCs w:val="21"/>
        </w:rPr>
        <w:t xml:space="preserve">: Automated alerts when monitored behavior violates documented policies.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Boundary Breach Detection</w:t>
      </w:r>
      <w:r>
        <w:rPr>
          <w:rFonts w:ascii="Arial" w:cs="Arial" w:eastAsia="Arial" w:hAnsi="Arial"/>
          <w:color w:val="333333"/>
          <w:sz w:val="21"/>
          <w:szCs w:val="21"/>
        </w:rPr>
        <w:t xml:space="preserve">: Continuous verification that the system operates within its certified operational boundaries.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Version Change Triggers</w:t>
      </w:r>
      <w:r>
        <w:rPr>
          <w:rFonts w:ascii="Arial" w:cs="Arial" w:eastAsia="Arial" w:hAnsi="Arial"/>
          <w:color w:val="333333"/>
          <w:sz w:val="21"/>
          <w:szCs w:val="21"/>
        </w:rPr>
        <w:t xml:space="preserve">: Automated detection of system changes (model updates, configuration changes) that require revalidation.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Automated Revalidation</w:t>
      </w:r>
      <w:r>
        <w:rPr>
          <w:rFonts w:ascii="Arial" w:cs="Arial" w:eastAsia="Arial" w:hAnsi="Arial"/>
          <w:color w:val="333333"/>
          <w:sz w:val="21"/>
          <w:szCs w:val="21"/>
        </w:rPr>
        <w:t xml:space="preserve">: Triggered re-evaluation of affected ACRs when material system changes are detected, executed without manual intervention.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Compliance Dashboard</w:t>
      </w:r>
      <w:r>
        <w:rPr>
          <w:rFonts w:ascii="Arial" w:cs="Arial" w:eastAsia="Arial" w:hAnsi="Arial"/>
          <w:color w:val="333333"/>
          <w:sz w:val="21"/>
          <w:szCs w:val="21"/>
        </w:rPr>
        <w:t xml:space="preserve">: Real-time compliance status visualization for system operators, management, and auditors.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Incident Correlation</w:t>
      </w:r>
      <w:r>
        <w:rPr>
          <w:rFonts w:ascii="Arial" w:cs="Arial" w:eastAsia="Arial" w:hAnsi="Arial"/>
          <w:color w:val="333333"/>
          <w:sz w:val="21"/>
          <w:szCs w:val="21"/>
        </w:rPr>
        <w:t xml:space="preserve">: Correlation of monitoring signals across time, systems, and interaction patterns to identify systemic reliability issues.</w:t>
      </w:r>
    </w:p>
    <w:p>
      <w:pPr>
        <w:pStyle w:val="Heading2"/>
        <w:spacing w:before="280" w:after="160"/>
      </w:pPr>
      <w:r>
        <w:rPr>
          <w:rFonts w:ascii="Arial" w:cs="Arial" w:eastAsia="Arial" w:hAnsi="Arial"/>
          <w:b/>
          <w:bCs/>
          <w:color w:val="2E4A7A"/>
          <w:sz w:val="26"/>
          <w:szCs w:val="26"/>
        </w:rPr>
        <w:t xml:space="preserve">Persistent Integration Architecture</w:t>
      </w:r>
    </w:p>
    <w:p>
      <w:pPr>
        <w:spacing w:before="80" w:after="80" w:line="276"/>
        <w:jc w:val="both"/>
      </w:pPr>
      <w:r>
        <w:rPr>
          <w:rFonts w:ascii="Arial" w:cs="Arial" w:eastAsia="Arial" w:hAnsi="Arial"/>
          <w:i w:val="false"/>
          <w:iCs w:val="false"/>
          <w:color w:val="333333"/>
          <w:sz w:val="21"/>
          <w:szCs w:val="21"/>
        </w:rPr>
        <w:t xml:space="preserve">The CAP is designed for persistent, always-on integration at two levels: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Internal Integration</w:t>
      </w:r>
      <w:r>
        <w:rPr>
          <w:rFonts w:ascii="Arial" w:cs="Arial" w:eastAsia="Arial" w:hAnsi="Arial"/>
          <w:color w:val="333333"/>
          <w:sz w:val="21"/>
          <w:szCs w:val="21"/>
        </w:rPr>
        <w:t xml:space="preserve">: The CAP connects directly to an organization’s autonomous system infrastructure via the Behavioral Telemetry SDK, runtime hooks, or API-based telemetry ingestion. This connection is persistent, not periodic. The platform receives continuous telemetry streams and evaluates compliance in real time.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Multi-Party Integration</w:t>
      </w:r>
      <w:r>
        <w:rPr>
          <w:rFonts w:ascii="Arial" w:cs="Arial" w:eastAsia="Arial" w:hAnsi="Arial"/>
          <w:color w:val="333333"/>
          <w:sz w:val="21"/>
          <w:szCs w:val="21"/>
        </w:rPr>
        <w:t xml:space="preserve">: For ecosystems where autonomous systems interact across organizational boundaries — settlement platforms, multi-agent orchestration, supply chain coordination, cross-company exception resolution — the CAP provides a shared assurance layer. Each party’s system connects independently; the platform monitors the interaction boundary and provides each party with verified compliance signals about their counterparties.</w:t>
      </w:r>
    </w:p>
    <w:p>
      <w:pPr>
        <w:spacing w:before="80" w:after="80" w:line="276"/>
        <w:jc w:val="both"/>
      </w:pPr>
      <w:r>
        <w:rPr>
          <w:rFonts w:ascii="Arial" w:cs="Arial" w:eastAsia="Arial" w:hAnsi="Arial"/>
          <w:i w:val="false"/>
          <w:iCs w:val="false"/>
          <w:color w:val="333333"/>
          <w:sz w:val="21"/>
          <w:szCs w:val="21"/>
        </w:rPr>
        <w:t xml:space="preserve">This persistent integration model means that certification health is not a static credential checked once per quarter. It is a </w:t>
      </w:r>
      <w:r>
        <w:rPr>
          <w:rFonts w:ascii="Arial" w:cs="Arial" w:eastAsia="Arial" w:hAnsi="Arial"/>
          <w:b/>
          <w:bCs/>
          <w:color w:val="333333"/>
          <w:sz w:val="21"/>
          <w:szCs w:val="21"/>
        </w:rPr>
        <w:t xml:space="preserve">live signal</w:t>
      </w:r>
      <w:r>
        <w:rPr>
          <w:rFonts w:ascii="Arial" w:cs="Arial" w:eastAsia="Arial" w:hAnsi="Arial"/>
          <w:i w:val="false"/>
          <w:iCs w:val="false"/>
          <w:color w:val="333333"/>
          <w:sz w:val="21"/>
          <w:szCs w:val="21"/>
        </w:rPr>
        <w:t xml:space="preserve">, continuously validated, immediately degraded when violations occur, and transparently visible to all authorized stakeholders.</w:t>
      </w:r>
    </w:p>
    <w:p>
      <w:pPr>
        <w:pStyle w:val="Heading2"/>
        <w:spacing w:before="280" w:after="160"/>
      </w:pPr>
      <w:r>
        <w:rPr>
          <w:rFonts w:ascii="Arial" w:cs="Arial" w:eastAsia="Arial" w:hAnsi="Arial"/>
          <w:b/>
          <w:bCs/>
          <w:color w:val="2E4A7A"/>
          <w:sz w:val="26"/>
          <w:szCs w:val="26"/>
        </w:rPr>
        <w:t xml:space="preserve">Self-Serve Agent Check-In</w:t>
      </w:r>
    </w:p>
    <w:p>
      <w:pPr>
        <w:spacing w:before="80" w:after="80" w:line="276"/>
        <w:jc w:val="both"/>
      </w:pPr>
      <w:r>
        <w:rPr>
          <w:rFonts w:ascii="Arial" w:cs="Arial" w:eastAsia="Arial" w:hAnsi="Arial"/>
          <w:i w:val="false"/>
          <w:iCs w:val="false"/>
          <w:color w:val="333333"/>
          <w:sz w:val="21"/>
          <w:szCs w:val="21"/>
        </w:rPr>
        <w:t xml:space="preserve">The CAP supports autonomous agent check-in, where certified AI agents periodically or continuously report their operational state, configuration version, and behavioral telemetry to the platform. This enables a model where </w:t>
      </w:r>
      <w:r>
        <w:rPr>
          <w:rFonts w:ascii="Arial" w:cs="Arial" w:eastAsia="Arial" w:hAnsi="Arial"/>
          <w:b/>
          <w:bCs/>
          <w:color w:val="333333"/>
          <w:sz w:val="21"/>
          <w:szCs w:val="21"/>
        </w:rPr>
        <w:t xml:space="preserve">agents actively maintain their own certification</w:t>
      </w:r>
      <w:r>
        <w:rPr>
          <w:rFonts w:ascii="Arial" w:cs="Arial" w:eastAsia="Arial" w:hAnsi="Arial"/>
          <w:i w:val="false"/>
          <w:iCs w:val="false"/>
          <w:color w:val="333333"/>
          <w:sz w:val="21"/>
          <w:szCs w:val="21"/>
        </w:rPr>
        <w:t xml:space="preserve"> by providing the evidence required for ongoing compliance — shifting from a model where humans chase compliance to one where systems demonstrate it continuously.</w:t>
      </w:r>
    </w:p>
    <w:p>
      <w:pPr>
        <w:pStyle w:val="Heading2"/>
        <w:spacing w:before="280" w:after="160"/>
      </w:pPr>
      <w:r>
        <w:rPr>
          <w:rFonts w:ascii="Arial" w:cs="Arial" w:eastAsia="Arial" w:hAnsi="Arial"/>
          <w:b/>
          <w:bCs/>
          <w:color w:val="2E4A7A"/>
          <w:sz w:val="26"/>
          <w:szCs w:val="26"/>
        </w:rPr>
        <w:t xml:space="preserve">Revenue Model</w:t>
      </w:r>
    </w:p>
    <w:p>
      <w:pPr>
        <w:spacing w:before="80" w:after="80" w:line="276"/>
        <w:jc w:val="both"/>
      </w:pPr>
      <w:r>
        <w:rPr>
          <w:rFonts w:ascii="Arial" w:cs="Arial" w:eastAsia="Arial" w:hAnsi="Arial"/>
          <w:i w:val="false"/>
          <w:iCs w:val="false"/>
          <w:color w:val="333333"/>
          <w:sz w:val="21"/>
          <w:szCs w:val="21"/>
        </w:rPr>
        <w:t xml:space="preserve">The Continuous Assurance Platform operates as a recurring subscription service with tiered pricing based on certification level, monitoring complexity, number of connected systems, and multi-party integration scope. The persistent, always-on nature of the integration creates a durable commercial relationship that deepens with each connected system and each multi-party interaction monitored.</w:t>
      </w:r>
    </w:p>
    <w:p>
      <w:pPr>
        <w:pageBreakBefore/>
      </w:pPr>
    </w:p>
    <w:p>
      <w:pPr>
        <w:spacing w:before="600" w:after="200"/>
        <w:jc w:val="center"/>
      </w:pPr>
      <w:r>
        <w:rPr>
          <w:rFonts w:ascii="Arial" w:cs="Arial" w:eastAsia="Arial" w:hAnsi="Arial"/>
          <w:b/>
          <w:bCs/>
          <w:color w:val="1B2A4A"/>
          <w:sz w:val="36"/>
          <w:szCs w:val="36"/>
        </w:rPr>
        <w:t xml:space="preserve">PART VII</w:t>
      </w:r>
    </w:p>
    <w:p>
      <w:pPr>
        <w:pBdr>
          <w:bottom w:val="single" w:color="3B7DD8" w:sz="4" w:space="8"/>
        </w:pBdr>
        <w:spacing w:after="400"/>
        <w:jc w:val="center"/>
      </w:pPr>
      <w:r>
        <w:rPr>
          <w:rFonts w:ascii="Arial" w:cs="Arial" w:eastAsia="Arial" w:hAnsi="Arial"/>
          <w:color w:val="2E4A7A"/>
          <w:sz w:val="30"/>
          <w:szCs w:val="30"/>
        </w:rPr>
        <w:t xml:space="preserve">REGULATORY ALIGNMENT AND COMPLIANCE MAPPING</w:t>
      </w:r>
    </w:p>
    <w:p>
      <w:pPr>
        <w:spacing w:before="80" w:after="80" w:line="276"/>
        <w:jc w:val="both"/>
      </w:pPr>
      <w:r>
        <w:rPr>
          <w:rFonts w:ascii="Arial" w:cs="Arial" w:eastAsia="Arial" w:hAnsi="Arial"/>
          <w:i w:val="false"/>
          <w:iCs w:val="false"/>
          <w:color w:val="333333"/>
          <w:sz w:val="21"/>
          <w:szCs w:val="21"/>
        </w:rPr>
        <w:t xml:space="preserve">The ARA Standard is designed to complement and support compliance with existing and emerging regulatory frameworks. While ARA certification does not constitute legal compliance with any specific regulation, the standard’s requirements are mapped to major regulatory and standards frameworks to facilitate integration.</w:t>
      </w:r>
    </w:p>
    <w:p>
      <w:pPr>
        <w:spacing w:before="100" w:after="0"/>
      </w:pPr>
    </w:p>
    <w:p>
      <w:pPr>
        <w:pStyle w:val="Heading1"/>
        <w:spacing w:before="360" w:after="200"/>
      </w:pPr>
      <w:r>
        <w:rPr>
          <w:rFonts w:ascii="Arial" w:cs="Arial" w:eastAsia="Arial" w:hAnsi="Arial"/>
          <w:b/>
          <w:bCs/>
          <w:color w:val="1B2A4A"/>
          <w:sz w:val="32"/>
          <w:szCs w:val="32"/>
        </w:rPr>
        <w:t xml:space="preserve">Regulatory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Regulatory Framework</w:t>
            </w:r>
          </w:p>
        </w:tc>
        <w:tc>
          <w:tcPr>
            <w:tcW w:type="dxa" w:w="2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Relevant ARA Domains</w:t>
            </w:r>
          </w:p>
        </w:tc>
        <w:tc>
          <w:tcPr>
            <w:tcW w:type="dxa" w:w="45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Alignment Notes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EU AI Act (2024)</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All 12 Core + Domain 13</w:t>
            </w:r>
          </w:p>
        </w:tc>
        <w:tc>
          <w:tcPr>
            <w:tcW w:type="dxa" w:w="4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 Level 2+ substantially addresses High-Risk AI System requirements including risk management, transparency, human oversight, and robustness.</w:t>
            </w:r>
          </w:p>
        </w:tc>
      </w:tr>
      <w:tr>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NIST AI RMF (2023)</w:t>
            </w:r>
          </w:p>
        </w:tc>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Domains 1, 2, 5, 7, 8, 9, 10, 11</w:t>
            </w:r>
          </w:p>
        </w:tc>
        <w:tc>
          <w:tcPr>
            <w:tcW w:type="dxa" w:w="45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 domains map to GOVERN, MAP, MEASURE, and MANAGE functions. ACRs provide measurable controls for NIST’s principles-based guidance.</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ISO/IEC 42001 (2023)</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Domains 10, 11, 12</w:t>
            </w:r>
          </w:p>
        </w:tc>
        <w:tc>
          <w:tcPr>
            <w:tcW w:type="dxa" w:w="4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 governance and auditability domains align with AI management system requirements. Certification evidence supports ISO 42001 conformity.</w:t>
            </w:r>
          </w:p>
        </w:tc>
      </w:tr>
      <w:tr>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ISO/IEC 27001 (2022)</w:t>
            </w:r>
          </w:p>
        </w:tc>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Domains 3, 4, 9, 12</w:t>
            </w:r>
          </w:p>
        </w:tc>
        <w:tc>
          <w:tcPr>
            <w:tcW w:type="dxa" w:w="45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Information security controls map to ARA’s tool governance, identity containment, monitoring, and governance domains.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SOC 2 Type II</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Domains 4, 5, 9, 11, 12</w:t>
            </w:r>
          </w:p>
        </w:tc>
        <w:tc>
          <w:tcPr>
            <w:tcW w:type="dxa" w:w="4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Trust services criteria (security, availability, processing integrity, confidentiality, privacy) map to multiple ARA domains.</w:t>
            </w:r>
          </w:p>
        </w:tc>
      </w:tr>
      <w:tr>
        <w:tc>
          <w:tcPr>
            <w:tcW w:type="dxa" w:w="22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IEC 61508</w:t>
            </w:r>
          </w:p>
        </w:tc>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Domains 5, 10, 13</w:t>
            </w:r>
          </w:p>
        </w:tc>
        <w:tc>
          <w:tcPr>
            <w:tcW w:type="dxa" w:w="45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Functional safety requirements align with ARA’s failure containment, escalation, and physical integrity domains.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OWASP LLM Top 10 (2025)</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Domains 2, 3, 4, 7</w:t>
            </w:r>
          </w:p>
        </w:tc>
        <w:tc>
          <w:tcPr>
            <w:tcW w:type="dxa" w:w="45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LLM-specific vulnerabilities addressed through decision integrity, tool governance, identity containment, and adversarial robustness.</w:t>
            </w:r>
          </w:p>
        </w:tc>
      </w:tr>
    </w:tbl>
    <w:p>
      <w:pPr>
        <w:spacing w:before="100" w:after="0"/>
      </w:pPr>
    </w:p>
    <w:p>
      <w:pPr>
        <w:pStyle w:val="Heading1"/>
        <w:spacing w:before="360" w:after="200"/>
      </w:pPr>
      <w:r>
        <w:rPr>
          <w:rFonts w:ascii="Arial" w:cs="Arial" w:eastAsia="Arial" w:hAnsi="Arial"/>
          <w:b/>
          <w:bCs/>
          <w:color w:val="1B2A4A"/>
          <w:sz w:val="32"/>
          <w:szCs w:val="32"/>
        </w:rPr>
        <w:t xml:space="preserve">Compliance Integration Guidance</w:t>
      </w:r>
    </w:p>
    <w:p>
      <w:pPr>
        <w:spacing w:before="80" w:after="80" w:line="276"/>
        <w:jc w:val="both"/>
      </w:pPr>
      <w:r>
        <w:rPr>
          <w:rFonts w:ascii="Arial" w:cs="Arial" w:eastAsia="Arial" w:hAnsi="Arial"/>
          <w:i w:val="false"/>
          <w:iCs w:val="false"/>
          <w:color w:val="333333"/>
          <w:sz w:val="21"/>
          <w:szCs w:val="21"/>
        </w:rPr>
        <w:t xml:space="preserve">Organizations subject to multiple compliance obligations can leverage ARA certification evidence to support compliance across frameworks. The ARAF Certification Office publishes compliance mapping guides for major regulatory frameworks, including:</w:t>
      </w:r>
    </w:p>
    <w:p>
      <w:pPr>
        <w:pStyle w:val="ListParagraph"/>
        <w:numPr>
          <w:ilvl w:val="0"/>
          <w:numId w:val="2"/>
        </w:numPr>
        <w:spacing w:before="40" w:after="40" w:line="276"/>
      </w:pPr>
      <w:r>
        <w:rPr>
          <w:rFonts w:ascii="Arial" w:cs="Arial" w:eastAsia="Arial" w:hAnsi="Arial"/>
          <w:color w:val="333333"/>
          <w:sz w:val="21"/>
          <w:szCs w:val="21"/>
        </w:rPr>
        <w:t xml:space="preserve">ACR-to-regulation crosswalk documents mapping individual ACRs to specific regulatory requirements.</w:t>
      </w:r>
    </w:p>
    <w:p>
      <w:pPr>
        <w:pStyle w:val="ListParagraph"/>
        <w:numPr>
          <w:ilvl w:val="0"/>
          <w:numId w:val="2"/>
        </w:numPr>
        <w:spacing w:before="40" w:after="40" w:line="276"/>
      </w:pPr>
      <w:r>
        <w:rPr>
          <w:rFonts w:ascii="Arial" w:cs="Arial" w:eastAsia="Arial" w:hAnsi="Arial"/>
          <w:color w:val="333333"/>
          <w:sz w:val="21"/>
          <w:szCs w:val="21"/>
        </w:rPr>
        <w:t xml:space="preserve">Evidence reuse guidance identifying which ARA evaluation artifacts can satisfy requirements under other frameworks.</w:t>
      </w:r>
    </w:p>
    <w:p>
      <w:pPr>
        <w:pStyle w:val="ListParagraph"/>
        <w:numPr>
          <w:ilvl w:val="0"/>
          <w:numId w:val="2"/>
        </w:numPr>
        <w:spacing w:before="40" w:after="40" w:line="276"/>
      </w:pPr>
      <w:r>
        <w:rPr>
          <w:rFonts w:ascii="Arial" w:cs="Arial" w:eastAsia="Arial" w:hAnsi="Arial"/>
          <w:color w:val="333333"/>
          <w:sz w:val="21"/>
          <w:szCs w:val="21"/>
        </w:rPr>
        <w:t xml:space="preserve">Gap analysis templates identifying requirements in other frameworks not covered by ARA certification.</w:t>
      </w:r>
    </w:p>
    <w:p>
      <w:pPr>
        <w:pStyle w:val="ListParagraph"/>
        <w:numPr>
          <w:ilvl w:val="0"/>
          <w:numId w:val="2"/>
        </w:numPr>
        <w:spacing w:before="40" w:after="40" w:line="276"/>
      </w:pPr>
      <w:r>
        <w:rPr>
          <w:rFonts w:ascii="Arial" w:cs="Arial" w:eastAsia="Arial" w:hAnsi="Arial"/>
          <w:color w:val="333333"/>
          <w:sz w:val="21"/>
          <w:szCs w:val="21"/>
        </w:rPr>
        <w:t xml:space="preserve">Audit coordination guidance for organizations scheduling multiple compliance assessments.</w:t>
      </w:r>
    </w:p>
    <w:p>
      <w:pPr>
        <w:pBdr>
          <w:left w:val="single" w:color="3B7DD8" w:sz="12" w:space="8"/>
        </w:pBdr>
        <w:spacing w:before="120" w:after="120" w:line="276"/>
        <w:ind w:left="360"/>
      </w:pPr>
      <w:r>
        <w:rPr>
          <w:rFonts w:ascii="Arial" w:cs="Arial" w:eastAsia="Arial" w:hAnsi="Arial"/>
          <w:b/>
          <w:bCs/>
          <w:color w:val="3B7DD8"/>
          <w:sz w:val="20"/>
          <w:szCs w:val="20"/>
        </w:rPr>
        <w:t xml:space="preserve">Important: </w:t>
      </w:r>
      <w:r>
        <w:rPr>
          <w:rFonts w:ascii="Arial" w:cs="Arial" w:eastAsia="Arial" w:hAnsi="Arial"/>
          <w:color w:val="666666"/>
          <w:sz w:val="20"/>
          <w:szCs w:val="20"/>
        </w:rPr>
        <w:t xml:space="preserve">ARA certification is complementary to, not a substitute for, regulatory compliance. Organizations must independently verify that ARA certification evidence meets the specific requirements of their applicable regulatory obligations.</w:t>
      </w:r>
    </w:p>
    <w:p>
      <w:pPr>
        <w:pageBreakBefore/>
      </w:pPr>
    </w:p>
    <w:p>
      <w:pPr>
        <w:spacing w:before="600" w:after="200"/>
        <w:jc w:val="center"/>
      </w:pPr>
      <w:r>
        <w:rPr>
          <w:rFonts w:ascii="Arial" w:cs="Arial" w:eastAsia="Arial" w:hAnsi="Arial"/>
          <w:b/>
          <w:bCs/>
          <w:color w:val="1B2A4A"/>
          <w:sz w:val="36"/>
          <w:szCs w:val="36"/>
        </w:rPr>
        <w:t xml:space="preserve">PART VIII</w:t>
      </w:r>
    </w:p>
    <w:p>
      <w:pPr>
        <w:pBdr>
          <w:bottom w:val="single" w:color="3B7DD8" w:sz="4" w:space="8"/>
        </w:pBdr>
        <w:spacing w:after="400"/>
        <w:jc w:val="center"/>
      </w:pPr>
      <w:r>
        <w:rPr>
          <w:rFonts w:ascii="Arial" w:cs="Arial" w:eastAsia="Arial" w:hAnsi="Arial"/>
          <w:color w:val="2E4A7A"/>
          <w:sz w:val="30"/>
          <w:szCs w:val="30"/>
        </w:rPr>
        <w:t xml:space="preserve">APPENDICES</w:t>
      </w:r>
    </w:p>
    <w:p>
      <w:pPr>
        <w:pStyle w:val="Heading1"/>
        <w:spacing w:before="360" w:after="200"/>
      </w:pPr>
      <w:r>
        <w:rPr>
          <w:rFonts w:ascii="Arial" w:cs="Arial" w:eastAsia="Arial" w:hAnsi="Arial"/>
          <w:b/>
          <w:bCs/>
          <w:color w:val="1B2A4A"/>
          <w:sz w:val="32"/>
          <w:szCs w:val="32"/>
        </w:rPr>
        <w:t xml:space="preserve">Appendix A: Companion Documents</w:t>
      </w:r>
    </w:p>
    <w:p>
      <w:pPr>
        <w:spacing w:before="80" w:after="80" w:line="276"/>
        <w:jc w:val="both"/>
      </w:pPr>
      <w:r>
        <w:rPr>
          <w:rFonts w:ascii="Arial" w:cs="Arial" w:eastAsia="Arial" w:hAnsi="Arial"/>
          <w:i w:val="false"/>
          <w:iCs w:val="false"/>
          <w:color w:val="333333"/>
          <w:sz w:val="21"/>
          <w:szCs w:val="21"/>
        </w:rPr>
        <w:t xml:space="preserve">The ARA Standard is supported by the following companion documents, published and maintained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Document ID</w:t>
            </w:r>
          </w:p>
        </w:tc>
        <w:tc>
          <w:tcPr>
            <w:tcW w:type="dxa" w:w="260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Title</w:t>
            </w:r>
          </w:p>
        </w:tc>
        <w:tc>
          <w:tcPr>
            <w:tcW w:type="dxa" w:w="4360"/>
            <w:tcBorders>
              <w:top w:val="single" w:color="E8E8E8" w:sz="1"/>
              <w:left w:val="single" w:color="E8E8E8" w:sz="1"/>
              <w:bottom w:val="single" w:color="E8E8E8" w:sz="1"/>
              <w:right w:val="single" w:color="E8E8E8"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ARAF-ARA-ACR-2026-001</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Complete ACR Control Matrix</w:t>
            </w:r>
          </w:p>
        </w:tc>
        <w:tc>
          <w:tcPr>
            <w:tcW w:type="dxa" w:w="4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Full specification of all ACRs with evaluation methods, evidence types, risk weights, and cross-references.</w:t>
            </w:r>
          </w:p>
        </w:tc>
      </w:tr>
      <w:tr>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ARAF-ARA-AVB-2026-001</w:t>
            </w:r>
          </w:p>
        </w:tc>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AVB Authorization Guide</w:t>
            </w:r>
          </w:p>
        </w:tc>
        <w:tc>
          <w:tcPr>
            <w:tcW w:type="dxa" w:w="4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Requirements and process for Authorized Validation Body authorization.</w:t>
            </w:r>
          </w:p>
        </w:tc>
      </w:tr>
      <w:tr>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ARAF-ARA-EVL-2026-001</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Evaluation Methodology Guide</w:t>
            </w:r>
          </w:p>
        </w:tc>
        <w:tc>
          <w:tcPr>
            <w:tcW w:type="dxa" w:w="4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Detailed procedures for conducting ARA evaluations.</w:t>
            </w:r>
          </w:p>
        </w:tc>
      </w:tr>
      <w:tr>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ARAF-ARA-SDK-2026-001</w:t>
            </w:r>
          </w:p>
        </w:tc>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Behavioral Telemetry SDK Reference</w:t>
            </w:r>
          </w:p>
        </w:tc>
        <w:tc>
          <w:tcPr>
            <w:tcW w:type="dxa" w:w="4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Technical documentation for the Continuous Assurance monitoring SDK.</w:t>
            </w:r>
          </w:p>
        </w:tc>
      </w:tr>
      <w:tr>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ARAF-ARA-REG-2026-001</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Regulatory Compliance Mapping Guide</w:t>
            </w:r>
          </w:p>
        </w:tc>
        <w:tc>
          <w:tcPr>
            <w:tcW w:type="dxa" w:w="4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Detailed crosswalk between ARA requirements and major regulatory frameworks.</w:t>
            </w:r>
          </w:p>
        </w:tc>
      </w:tr>
      <w:tr>
        <w:tc>
          <w:tcPr>
            <w:tcW w:type="dxa" w:w="24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ARAF-ARA-PHY-2026-001</w:t>
            </w:r>
          </w:p>
        </w:tc>
        <w:tc>
          <w:tcPr>
            <w:tcW w:type="dxa" w:w="260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Physical Systems Evaluation Supplement</w:t>
            </w:r>
          </w:p>
        </w:tc>
        <w:tc>
          <w:tcPr>
            <w:tcW w:type="dxa" w:w="4360"/>
            <w:tcBorders>
              <w:top w:val="single" w:color="E8E8E8" w:sz="1"/>
              <w:left w:val="single" w:color="E8E8E8" w:sz="1"/>
              <w:bottom w:val="single" w:color="E8E8E8" w:sz="1"/>
              <w:right w:val="single" w:color="E8E8E8" w:sz="1"/>
            </w:tcBorders>
            <w:shd w:fill="EBF3FA" w:val="clear"/>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Extended guidance for Domain 13 evaluation of physical autonomous systems.</w:t>
            </w:r>
          </w:p>
        </w:tc>
      </w:tr>
      <w:tr>
        <w:tc>
          <w:tcPr>
            <w:tcW w:type="dxa" w:w="24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ARAF-ARA-TMK-2026-001</w:t>
            </w:r>
          </w:p>
        </w:tc>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Trademark and Certification Mark Usage Policy</w:t>
            </w:r>
          </w:p>
        </w:tc>
        <w:tc>
          <w:tcPr>
            <w:tcW w:type="dxa" w:w="4360"/>
            <w:tcBorders>
              <w:top w:val="single" w:color="E8E8E8" w:sz="1"/>
              <w:left w:val="single" w:color="E8E8E8" w:sz="1"/>
              <w:bottom w:val="single" w:color="E8E8E8" w:sz="1"/>
              <w:right w:val="single" w:color="E8E8E8" w:sz="1"/>
            </w:tcBorders>
            <w:tcMar>
              <w:top w:type="dxa" w:w="60"/>
              <w:left w:type="dxa" w:w="100"/>
              <w:bottom w:type="dxa" w:w="60"/>
              <w:right w:type="dxa" w:w="100"/>
            </w:tcMar>
            <w:vAlign w:val="center"/>
          </w:tcPr>
          <w:p>
            <w:pPr>
              <w:jc w:val="left"/>
            </w:pPr>
            <w:r>
              <w:rPr>
                <w:rFonts w:ascii="Arial" w:cs="Arial" w:eastAsia="Arial" w:hAnsi="Arial"/>
                <w:color w:val="333333"/>
                <w:sz w:val="19"/>
                <w:szCs w:val="19"/>
              </w:rPr>
              <w:t xml:space="preserve">Rules governing the use of ARA certification marks.</w:t>
            </w:r>
          </w:p>
        </w:tc>
      </w:tr>
    </w:tbl>
    <w:p>
      <w:pPr>
        <w:pStyle w:val="Heading1"/>
        <w:spacing w:before="360" w:after="200"/>
      </w:pPr>
      <w:r>
        <w:rPr>
          <w:rFonts w:ascii="Arial" w:cs="Arial" w:eastAsia="Arial" w:hAnsi="Arial"/>
          <w:b/>
          <w:bCs/>
          <w:color w:val="1B2A4A"/>
          <w:sz w:val="32"/>
          <w:szCs w:val="32"/>
        </w:rPr>
        <w:t xml:space="preserve">Appendix B: Industry-Specific Guidance</w:t>
      </w:r>
    </w:p>
    <w:p>
      <w:pPr>
        <w:spacing w:before="80" w:after="80" w:line="276"/>
        <w:jc w:val="both"/>
      </w:pPr>
      <w:r>
        <w:rPr>
          <w:rFonts w:ascii="Arial" w:cs="Arial" w:eastAsia="Arial" w:hAnsi="Arial"/>
          <w:i w:val="false"/>
          <w:iCs w:val="false"/>
          <w:color w:val="333333"/>
          <w:sz w:val="21"/>
          <w:szCs w:val="21"/>
        </w:rPr>
        <w:t xml:space="preserve">The ARA Standard applies across industries. However, certain industries present domain-specific considerations that require supplementary guidance. ARAF publishes industry-specific application notes for:</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Financial Services</w:t>
      </w:r>
      <w:r>
        <w:rPr>
          <w:rFonts w:ascii="Arial" w:cs="Arial" w:eastAsia="Arial" w:hAnsi="Arial"/>
          <w:color w:val="333333"/>
          <w:sz w:val="21"/>
          <w:szCs w:val="21"/>
        </w:rPr>
        <w:t xml:space="preserve">: Payment processing agents, trading systems, settlement automation, credit decision systems, and regulatory reporting automation.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Healthcare</w:t>
      </w:r>
      <w:r>
        <w:rPr>
          <w:rFonts w:ascii="Arial" w:cs="Arial" w:eastAsia="Arial" w:hAnsi="Arial"/>
          <w:color w:val="333333"/>
          <w:sz w:val="21"/>
          <w:szCs w:val="21"/>
        </w:rPr>
        <w:t xml:space="preserve">: Clinical decision support, diagnostic AI, treatment planning agents, medication management, and patient monitoring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Manufacturing and Industrial</w:t>
      </w:r>
      <w:r>
        <w:rPr>
          <w:rFonts w:ascii="Arial" w:cs="Arial" w:eastAsia="Arial" w:hAnsi="Arial"/>
          <w:color w:val="333333"/>
          <w:sz w:val="21"/>
          <w:szCs w:val="21"/>
        </w:rPr>
        <w:t xml:space="preserve">: Process control, quality inspection, predictive maintenance, robotic assembly, and warehouse automation.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Transportation and Logistics</w:t>
      </w:r>
      <w:r>
        <w:rPr>
          <w:rFonts w:ascii="Arial" w:cs="Arial" w:eastAsia="Arial" w:hAnsi="Arial"/>
          <w:color w:val="333333"/>
          <w:sz w:val="21"/>
          <w:szCs w:val="21"/>
        </w:rPr>
        <w:t xml:space="preserve">: Autonomous vehicles, drone operations, fleet management, route optimization, and traffic control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Energy and Utilities</w:t>
      </w:r>
      <w:r>
        <w:rPr>
          <w:rFonts w:ascii="Arial" w:cs="Arial" w:eastAsia="Arial" w:hAnsi="Arial"/>
          <w:color w:val="333333"/>
          <w:sz w:val="21"/>
          <w:szCs w:val="21"/>
        </w:rPr>
        <w:t xml:space="preserve">: Grid management, demand response, predictive maintenance, safety monitoring, and environmental compliance.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Government and Public Sector</w:t>
      </w:r>
      <w:r>
        <w:rPr>
          <w:rFonts w:ascii="Arial" w:cs="Arial" w:eastAsia="Arial" w:hAnsi="Arial"/>
          <w:color w:val="333333"/>
          <w:sz w:val="21"/>
          <w:szCs w:val="21"/>
        </w:rPr>
        <w:t xml:space="preserve">: Benefits administration, regulatory enforcement, emergency response, and public safety applications.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Food and Supply Chain</w:t>
      </w:r>
      <w:r>
        <w:rPr>
          <w:rFonts w:ascii="Arial" w:cs="Arial" w:eastAsia="Arial" w:hAnsi="Arial"/>
          <w:color w:val="333333"/>
          <w:sz w:val="21"/>
          <w:szCs w:val="21"/>
        </w:rPr>
        <w:t xml:space="preserve">: Procurement automation, spoilage detection, distribution optimization, settlement and exception processing, and traceability systems.</w:t>
      </w:r>
    </w:p>
    <w:p>
      <w:pPr>
        <w:pStyle w:val="Heading1"/>
        <w:spacing w:before="360" w:after="200"/>
      </w:pPr>
      <w:r>
        <w:rPr>
          <w:rFonts w:ascii="Arial" w:cs="Arial" w:eastAsia="Arial" w:hAnsi="Arial"/>
          <w:b/>
          <w:bCs/>
          <w:color w:val="1B2A4A"/>
          <w:sz w:val="32"/>
          <w:szCs w:val="32"/>
        </w:rPr>
        <w:t xml:space="preserve">Appendix C: Certification Pathways and Platform Integration</w:t>
      </w:r>
    </w:p>
    <w:p>
      <w:pPr>
        <w:spacing w:before="80" w:after="80" w:line="276"/>
        <w:jc w:val="both"/>
      </w:pPr>
      <w:r>
        <w:rPr>
          <w:rFonts w:ascii="Arial" w:cs="Arial" w:eastAsia="Arial" w:hAnsi="Arial"/>
          <w:i w:val="false"/>
          <w:iCs w:val="false"/>
          <w:color w:val="333333"/>
          <w:sz w:val="21"/>
          <w:szCs w:val="21"/>
        </w:rPr>
        <w:t xml:space="preserve">The ARA Standard supports two complementary pathways to certification and ongoing assurance, reflecting the reality that autonomous systems operate at varying scales, maturity levels, and organizational contexts. Both pathways lead to the same certification outcome and are governed by the same ACR requirements.</w:t>
      </w:r>
    </w:p>
    <w:p>
      <w:pPr>
        <w:pStyle w:val="Heading2"/>
        <w:spacing w:before="280" w:after="160"/>
      </w:pPr>
      <w:r>
        <w:rPr>
          <w:rFonts w:ascii="Arial" w:cs="Arial" w:eastAsia="Arial" w:hAnsi="Arial"/>
          <w:b/>
          <w:bCs/>
          <w:color w:val="2E4A7A"/>
          <w:sz w:val="26"/>
          <w:szCs w:val="26"/>
        </w:rPr>
        <w:t xml:space="preserve">Pathway 1: Self-Serve Certification via the ARA Platform</w:t>
      </w:r>
    </w:p>
    <w:p>
      <w:pPr>
        <w:spacing w:before="80" w:after="80" w:line="276"/>
        <w:jc w:val="both"/>
      </w:pPr>
      <w:r>
        <w:rPr>
          <w:rFonts w:ascii="Arial" w:cs="Arial" w:eastAsia="Arial" w:hAnsi="Arial"/>
          <w:i w:val="false"/>
          <w:iCs w:val="false"/>
          <w:color w:val="333333"/>
          <w:sz w:val="21"/>
          <w:szCs w:val="21"/>
        </w:rPr>
        <w:t xml:space="preserve">The ARA commercial platform provides a self-serve certification environment where autonomous systems can initiate, execute, and maintain certification with minimal manual overhead. This pathway is designed for the emerging reality that </w:t>
      </w:r>
      <w:r>
        <w:rPr>
          <w:rFonts w:ascii="Arial" w:cs="Arial" w:eastAsia="Arial" w:hAnsi="Arial"/>
          <w:b/>
          <w:bCs/>
          <w:color w:val="333333"/>
          <w:sz w:val="21"/>
          <w:szCs w:val="21"/>
        </w:rPr>
        <w:t xml:space="preserve">AI systems should be evaluated by AI-native infrastructure</w:t>
      </w:r>
      <w:r>
        <w:rPr>
          <w:rFonts w:ascii="Arial" w:cs="Arial" w:eastAsia="Arial" w:hAnsi="Arial"/>
          <w:i w:val="false"/>
          <w:iCs w:val="false"/>
          <w:color w:val="333333"/>
          <w:sz w:val="21"/>
          <w:szCs w:val="21"/>
        </w:rPr>
        <w:t xml:space="preserve">, not legacy consulting engagements.</w:t>
      </w:r>
    </w:p>
    <w:p>
      <w:pPr>
        <w:pStyle w:val="Heading3"/>
        <w:spacing w:before="200" w:after="120"/>
      </w:pPr>
      <w:r>
        <w:rPr>
          <w:rFonts w:ascii="Arial" w:cs="Arial" w:eastAsia="Arial" w:hAnsi="Arial"/>
          <w:b/>
          <w:bCs/>
          <w:color w:val="2E4A7A"/>
          <w:sz w:val="22"/>
          <w:szCs w:val="22"/>
        </w:rPr>
        <w:t xml:space="preserve">How It Works</w:t>
      </w:r>
    </w:p>
    <w:p>
      <w:pPr>
        <w:spacing w:before="80" w:after="80" w:line="276"/>
        <w:jc w:val="both"/>
      </w:pPr>
      <w:r>
        <w:rPr>
          <w:rFonts w:ascii="Arial" w:cs="Arial" w:eastAsia="Arial" w:hAnsi="Arial"/>
          <w:i w:val="false"/>
          <w:iCs w:val="false"/>
          <w:color w:val="333333"/>
          <w:sz w:val="21"/>
          <w:szCs w:val="21"/>
        </w:rPr>
        <w:t xml:space="preserve">System operators connect their autonomous system to the ARA Platform via API integration, SDK deployment, or agent-to-agent handshake. Once connected, the platform orchestrates the certification process automatically:</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Automated Registration and Risk Classification</w:t>
      </w:r>
      <w:r>
        <w:rPr>
          <w:rFonts w:ascii="Arial" w:cs="Arial" w:eastAsia="Arial" w:hAnsi="Arial"/>
          <w:color w:val="333333"/>
          <w:sz w:val="21"/>
          <w:szCs w:val="21"/>
        </w:rPr>
        <w:t xml:space="preserve">: The platform ingests system metadata, operational documentation, and deployment context to auto-classify risk and determine the applicable certification level and domain scope.</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AI-Driven ACR Evaluation</w:t>
      </w:r>
      <w:r>
        <w:rPr>
          <w:rFonts w:ascii="Arial" w:cs="Arial" w:eastAsia="Arial" w:hAnsi="Arial"/>
          <w:color w:val="333333"/>
          <w:sz w:val="21"/>
          <w:szCs w:val="21"/>
        </w:rPr>
        <w:t xml:space="preserve">: The platform’s evaluation engine executes automated test batteries against applicable ACRs, including adversarial simulation, boundary enforcement testing, drift detection validation, and behavioral reliability assessment. Results are scored in real time.</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Self-Serve Evidence Collection</w:t>
      </w:r>
      <w:r>
        <w:rPr>
          <w:rFonts w:ascii="Arial" w:cs="Arial" w:eastAsia="Arial" w:hAnsi="Arial"/>
          <w:color w:val="333333"/>
          <w:sz w:val="21"/>
          <w:szCs w:val="21"/>
        </w:rPr>
        <w:t xml:space="preserve">: The platform automatically collects, structures, and stores evidence artifacts generated during evaluation, linked to specific ACRs for audit traceability.</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Human Expert Review (Strategic Checkpoints)</w:t>
      </w:r>
      <w:r>
        <w:rPr>
          <w:rFonts w:ascii="Arial" w:cs="Arial" w:eastAsia="Arial" w:hAnsi="Arial"/>
          <w:color w:val="333333"/>
          <w:sz w:val="21"/>
          <w:szCs w:val="21"/>
        </w:rPr>
        <w:t xml:space="preserve">: At defined checkpoints in the evaluation process, qualified human assessors review findings that require judgment beyond automated evaluation. These checkpoints are strategically placed at governance assessment, adversarial simulation review, and final certification decision. Human involvement is a deliberate design choice, not a bottleneck — it provides the institutional credibility and contextual judgment that fully automated certification cannot.</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Certification Issuance and Registry Publication</w:t>
      </w:r>
      <w:r>
        <w:rPr>
          <w:rFonts w:ascii="Arial" w:cs="Arial" w:eastAsia="Arial" w:hAnsi="Arial"/>
          <w:color w:val="333333"/>
          <w:sz w:val="21"/>
          <w:szCs w:val="21"/>
        </w:rPr>
        <w:t xml:space="preserve">: Upon passing all requirements and human review checkpoints, the platform issues certification and publishes to the ARA Registry automatically.</w:t>
      </w:r>
    </w:p>
    <w:p>
      <w:pPr>
        <w:pStyle w:val="ListParagraph"/>
        <w:numPr>
          <w:ilvl w:val="0"/>
          <w:numId w:val="3"/>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Continuous Monitoring Enrollment</w:t>
      </w:r>
      <w:r>
        <w:rPr>
          <w:rFonts w:ascii="Arial" w:cs="Arial" w:eastAsia="Arial" w:hAnsi="Arial"/>
          <w:color w:val="333333"/>
          <w:sz w:val="21"/>
          <w:szCs w:val="21"/>
        </w:rPr>
        <w:t xml:space="preserve">: Post-certification, the system remains connected to the platform for ongoing compliance monitoring, drift detection, and automated revalidation.</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Agents certifying agents.</w:t>
      </w:r>
      <w:r>
        <w:rPr>
          <w:rFonts w:ascii="Arial" w:cs="Arial" w:eastAsia="Arial" w:hAnsi="Arial"/>
          <w:i w:val="false"/>
          <w:iCs w:val="false"/>
          <w:color w:val="333333"/>
          <w:sz w:val="21"/>
          <w:szCs w:val="21"/>
        </w:rPr>
        <w:t xml:space="preserve"> The ARA Platform is architected so that autonomous systems — including AI agents — can present themselves for certification, undergo evaluation, and receive ongoing assurance without requiring manual engagement at every step. The platform’s evaluation infrastructure is itself an autonomous system, operating under its own ARA certification.</w:t>
      </w:r>
    </w:p>
    <w:p>
      <w:pPr>
        <w:pBdr>
          <w:left w:val="single" w:color="3B7DD8" w:sz="12" w:space="8"/>
        </w:pBdr>
        <w:spacing w:before="120" w:after="120" w:line="276"/>
        <w:ind w:left="360"/>
      </w:pPr>
      <w:r>
        <w:rPr>
          <w:rFonts w:ascii="Arial" w:cs="Arial" w:eastAsia="Arial" w:hAnsi="Arial"/>
          <w:b/>
          <w:bCs/>
          <w:color w:val="3B7DD8"/>
          <w:sz w:val="20"/>
          <w:szCs w:val="20"/>
        </w:rPr>
        <w:t xml:space="preserve">Design Philosophy: </w:t>
      </w:r>
      <w:r>
        <w:rPr>
          <w:rFonts w:ascii="Arial" w:cs="Arial" w:eastAsia="Arial" w:hAnsi="Arial"/>
          <w:color w:val="666666"/>
          <w:sz w:val="20"/>
          <w:szCs w:val="20"/>
        </w:rPr>
        <w:t xml:space="preserve">The self-serve pathway treats certification not as a consulting engagement but as a continuous infrastructure service. Systems connect once and remain connected. Certification is not a project; it is a persistent operational state.</w:t>
      </w:r>
    </w:p>
    <w:p>
      <w:pPr>
        <w:pStyle w:val="Heading2"/>
        <w:spacing w:before="280" w:after="160"/>
      </w:pPr>
      <w:r>
        <w:rPr>
          <w:rFonts w:ascii="Arial" w:cs="Arial" w:eastAsia="Arial" w:hAnsi="Arial"/>
          <w:b/>
          <w:bCs/>
          <w:color w:val="2E4A7A"/>
          <w:sz w:val="26"/>
          <w:szCs w:val="26"/>
        </w:rPr>
        <w:t xml:space="preserve">Pathway 2: Authorized Validation Body (AVB) Engagement</w:t>
      </w:r>
    </w:p>
    <w:p>
      <w:pPr>
        <w:spacing w:before="80" w:after="80" w:line="276"/>
        <w:jc w:val="both"/>
      </w:pPr>
      <w:r>
        <w:rPr>
          <w:rFonts w:ascii="Arial" w:cs="Arial" w:eastAsia="Arial" w:hAnsi="Arial"/>
          <w:i w:val="false"/>
          <w:iCs w:val="false"/>
          <w:color w:val="333333"/>
          <w:sz w:val="21"/>
          <w:szCs w:val="21"/>
        </w:rPr>
        <w:t xml:space="preserve">For organizations requiring bespoke evaluation, regulatory-specific guidance, or hands-on advisory support, engagement with an Authorized Validation Body provides a full-service certification experience. AVB engagements are particularly appropriate for Level 3 certifications, novel system architectures, or organizations operating in heavily regulated industries. AVB evaluations use the same platform infrastructure and ACR requirements as the self-serve pathway.</w:t>
      </w:r>
    </w:p>
    <w:p>
      <w:pPr>
        <w:pStyle w:val="Heading2"/>
        <w:spacing w:before="280" w:after="160"/>
      </w:pPr>
      <w:r>
        <w:rPr>
          <w:rFonts w:ascii="Arial" w:cs="Arial" w:eastAsia="Arial" w:hAnsi="Arial"/>
          <w:b/>
          <w:bCs/>
          <w:color w:val="2E4A7A"/>
          <w:sz w:val="26"/>
          <w:szCs w:val="26"/>
        </w:rPr>
        <w:t xml:space="preserve">Persistent Infrastructure Integration</w:t>
      </w:r>
    </w:p>
    <w:p>
      <w:pPr>
        <w:spacing w:before="80" w:after="80" w:line="276"/>
        <w:jc w:val="both"/>
      </w:pPr>
      <w:r>
        <w:rPr>
          <w:rFonts w:ascii="Arial" w:cs="Arial" w:eastAsia="Arial" w:hAnsi="Arial"/>
          <w:i w:val="false"/>
          <w:iCs w:val="false"/>
          <w:color w:val="333333"/>
          <w:sz w:val="21"/>
          <w:szCs w:val="21"/>
        </w:rPr>
        <w:t xml:space="preserve">The ARA Platform is not a point-in-time evaluation tool. It is designed for </w:t>
      </w:r>
      <w:r>
        <w:rPr>
          <w:rFonts w:ascii="Arial" w:cs="Arial" w:eastAsia="Arial" w:hAnsi="Arial"/>
          <w:b/>
          <w:bCs/>
          <w:color w:val="333333"/>
          <w:sz w:val="21"/>
          <w:szCs w:val="21"/>
        </w:rPr>
        <w:t xml:space="preserve">persistent integration</w:t>
      </w:r>
      <w:r>
        <w:rPr>
          <w:rFonts w:ascii="Arial" w:cs="Arial" w:eastAsia="Arial" w:hAnsi="Arial"/>
          <w:i w:val="false"/>
          <w:iCs w:val="false"/>
          <w:color w:val="333333"/>
          <w:sz w:val="21"/>
          <w:szCs w:val="21"/>
        </w:rPr>
        <w:t xml:space="preserve"> with the operational infrastructure of certified autonomous systems. This integration operates at two levels:</w:t>
      </w:r>
    </w:p>
    <w:p>
      <w:pPr>
        <w:pStyle w:val="Heading3"/>
        <w:spacing w:before="200" w:after="120"/>
      </w:pPr>
      <w:r>
        <w:rPr>
          <w:rFonts w:ascii="Arial" w:cs="Arial" w:eastAsia="Arial" w:hAnsi="Arial"/>
          <w:b/>
          <w:bCs/>
          <w:color w:val="2E4A7A"/>
          <w:sz w:val="22"/>
          <w:szCs w:val="22"/>
        </w:rPr>
        <w:t xml:space="preserve">Internal Platform Monitoring</w:t>
      </w:r>
    </w:p>
    <w:p>
      <w:pPr>
        <w:spacing w:before="80" w:after="80" w:line="276"/>
        <w:jc w:val="both"/>
      </w:pPr>
      <w:r>
        <w:rPr>
          <w:rFonts w:ascii="Arial" w:cs="Arial" w:eastAsia="Arial" w:hAnsi="Arial"/>
          <w:i w:val="false"/>
          <w:iCs w:val="false"/>
          <w:color w:val="333333"/>
          <w:sz w:val="21"/>
          <w:szCs w:val="21"/>
        </w:rPr>
        <w:t xml:space="preserve">The ARA Behavioral Telemetry SDK or equivalent integration connects directly to the certified system’s internal infrastructure, providing:</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Continuous telemetry ingestion</w:t>
      </w:r>
      <w:r>
        <w:rPr>
          <w:rFonts w:ascii="Arial" w:cs="Arial" w:eastAsia="Arial" w:hAnsi="Arial"/>
          <w:color w:val="333333"/>
          <w:sz w:val="21"/>
          <w:szCs w:val="21"/>
        </w:rPr>
        <w:t xml:space="preserve"> from the system’s runtime environment, including action traces, decision logs, boundary events, and resource utilization.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Real-time drift detection</w:t>
      </w:r>
      <w:r>
        <w:rPr>
          <w:rFonts w:ascii="Arial" w:cs="Arial" w:eastAsia="Arial" w:hAnsi="Arial"/>
          <w:color w:val="333333"/>
          <w:sz w:val="21"/>
          <w:szCs w:val="21"/>
        </w:rPr>
        <w:t xml:space="preserve"> comparing live behavioral distributions against certified baselines.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Automated policy compliance verification</w:t>
      </w:r>
      <w:r>
        <w:rPr>
          <w:rFonts w:ascii="Arial" w:cs="Arial" w:eastAsia="Arial" w:hAnsi="Arial"/>
          <w:color w:val="333333"/>
          <w:sz w:val="21"/>
          <w:szCs w:val="21"/>
        </w:rPr>
        <w:t xml:space="preserve"> ensuring ongoing adherence to operational boundaries and governance controls.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Triggered revalidation</w:t>
      </w:r>
      <w:r>
        <w:rPr>
          <w:rFonts w:ascii="Arial" w:cs="Arial" w:eastAsia="Arial" w:hAnsi="Arial"/>
          <w:color w:val="333333"/>
          <w:sz w:val="21"/>
          <w:szCs w:val="21"/>
        </w:rPr>
        <w:t xml:space="preserve"> when material changes are detected, executing targeted ACR re-evaluation without requiring full recertification.</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Compliance dashboard and reporting</w:t>
      </w:r>
      <w:r>
        <w:rPr>
          <w:rFonts w:ascii="Arial" w:cs="Arial" w:eastAsia="Arial" w:hAnsi="Arial"/>
          <w:color w:val="333333"/>
          <w:sz w:val="21"/>
          <w:szCs w:val="21"/>
        </w:rPr>
        <w:t xml:space="preserve"> providing system operators, management, and auditors with continuous visibility into certification health.</w:t>
      </w:r>
    </w:p>
    <w:p>
      <w:pPr>
        <w:pStyle w:val="Heading3"/>
        <w:spacing w:before="200" w:after="120"/>
      </w:pPr>
      <w:r>
        <w:rPr>
          <w:rFonts w:ascii="Arial" w:cs="Arial" w:eastAsia="Arial" w:hAnsi="Arial"/>
          <w:b/>
          <w:bCs/>
          <w:color w:val="2E4A7A"/>
          <w:sz w:val="22"/>
          <w:szCs w:val="22"/>
        </w:rPr>
        <w:t xml:space="preserve">Multi-Party and Cross-Organization Monitoring</w:t>
      </w:r>
    </w:p>
    <w:p>
      <w:pPr>
        <w:spacing w:before="80" w:after="80" w:line="276"/>
        <w:jc w:val="both"/>
      </w:pPr>
      <w:r>
        <w:rPr>
          <w:rFonts w:ascii="Arial" w:cs="Arial" w:eastAsia="Arial" w:hAnsi="Arial"/>
          <w:i w:val="false"/>
          <w:iCs w:val="false"/>
          <w:color w:val="333333"/>
          <w:sz w:val="21"/>
          <w:szCs w:val="21"/>
        </w:rPr>
        <w:t xml:space="preserve">For autonomous systems operating across organizational boundaries — including multi-agent systems, cross-company settlement platforms, shared infrastructure, and supply chain orchestration — the ARA Platform provides multi-party assurance capabilities: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Cross-party behavioral monitoring</w:t>
      </w:r>
      <w:r>
        <w:rPr>
          <w:rFonts w:ascii="Arial" w:cs="Arial" w:eastAsia="Arial" w:hAnsi="Arial"/>
          <w:color w:val="333333"/>
          <w:sz w:val="21"/>
          <w:szCs w:val="21"/>
        </w:rPr>
        <w:t xml:space="preserve"> where multiple organizations’ autonomous systems interact, ensuring reliability assurance extends across the interaction boundary.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Shared assurance context</w:t>
      </w:r>
      <w:r>
        <w:rPr>
          <w:rFonts w:ascii="Arial" w:cs="Arial" w:eastAsia="Arial" w:hAnsi="Arial"/>
          <w:color w:val="333333"/>
          <w:sz w:val="21"/>
          <w:szCs w:val="21"/>
        </w:rPr>
        <w:t xml:space="preserve"> allowing trading partners, counterparties, and ecosystem participants to verify the certification status and real-time compliance health of systems they interact with.</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Multi-tenant isolation with shared visibility</w:t>
      </w:r>
      <w:r>
        <w:rPr>
          <w:rFonts w:ascii="Arial" w:cs="Arial" w:eastAsia="Arial" w:hAnsi="Arial"/>
          <w:color w:val="333333"/>
          <w:sz w:val="21"/>
          <w:szCs w:val="21"/>
        </w:rPr>
        <w:t xml:space="preserve"> — each organization’s proprietary system data remains isolated while aggregate compliance signals are shared with authorized parties.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Ecosystem-level drift detection</w:t>
      </w:r>
      <w:r>
        <w:rPr>
          <w:rFonts w:ascii="Arial" w:cs="Arial" w:eastAsia="Arial" w:hAnsi="Arial"/>
          <w:color w:val="333333"/>
          <w:sz w:val="21"/>
          <w:szCs w:val="21"/>
        </w:rPr>
        <w:t xml:space="preserve"> identifying reliability degradation that emerges from inter-system interactions rather than individual system failures.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Neutral-party assurance</w:t>
      </w:r>
      <w:r>
        <w:rPr>
          <w:rFonts w:ascii="Arial" w:cs="Arial" w:eastAsia="Arial" w:hAnsi="Arial"/>
          <w:color w:val="333333"/>
          <w:sz w:val="21"/>
          <w:szCs w:val="21"/>
        </w:rPr>
        <w:t xml:space="preserve"> where the ARA Platform serves as a trusted intermediary providing independent verification that all parties in a multi-system workflow meet reliability standards.</w:t>
      </w:r>
    </w:p>
    <w:p>
      <w:pPr>
        <w:pBdr>
          <w:left w:val="single" w:color="3B7DD8" w:sz="12" w:space="8"/>
        </w:pBdr>
        <w:spacing w:before="120" w:after="120" w:line="276"/>
        <w:ind w:left="360"/>
      </w:pPr>
      <w:r>
        <w:rPr>
          <w:rFonts w:ascii="Arial" w:cs="Arial" w:eastAsia="Arial" w:hAnsi="Arial"/>
          <w:b/>
          <w:bCs/>
          <w:color w:val="3B7DD8"/>
          <w:sz w:val="20"/>
          <w:szCs w:val="20"/>
        </w:rPr>
        <w:t xml:space="preserve">Strategic Context: </w:t>
      </w:r>
      <w:r>
        <w:rPr>
          <w:rFonts w:ascii="Arial" w:cs="Arial" w:eastAsia="Arial" w:hAnsi="Arial"/>
          <w:color w:val="666666"/>
          <w:sz w:val="20"/>
          <w:szCs w:val="20"/>
        </w:rPr>
        <w:t xml:space="preserve">As autonomous systems increasingly operate not in isolation but as participants in multi-party ecosystems — negotiating, transacting, and settling across organizational boundaries — reliability assurance must extend beyond single-system certification to cover the interaction layer. The ARA Platform’s persistent multi-party integration addresses this emerging requirement.</w:t>
      </w:r>
    </w:p>
    <w:p>
      <w:pPr>
        <w:pStyle w:val="Heading2"/>
        <w:spacing w:before="280" w:after="160"/>
      </w:pPr>
      <w:r>
        <w:rPr>
          <w:rFonts w:ascii="Arial" w:cs="Arial" w:eastAsia="Arial" w:hAnsi="Arial"/>
          <w:b/>
          <w:bCs/>
          <w:color w:val="2E4A7A"/>
          <w:sz w:val="26"/>
          <w:szCs w:val="26"/>
        </w:rPr>
        <w:t xml:space="preserve">The Role of Human Expertise in an AI-Native Certification Model</w:t>
      </w:r>
    </w:p>
    <w:p>
      <w:pPr>
        <w:spacing w:before="80" w:after="80" w:line="276"/>
        <w:jc w:val="both"/>
      </w:pPr>
      <w:r>
        <w:rPr>
          <w:rFonts w:ascii="Arial" w:cs="Arial" w:eastAsia="Arial" w:hAnsi="Arial"/>
          <w:i w:val="false"/>
          <w:iCs w:val="false"/>
          <w:color w:val="333333"/>
          <w:sz w:val="21"/>
          <w:szCs w:val="21"/>
        </w:rPr>
        <w:t xml:space="preserve">The ARA certification model is deliberately designed to leverage AI-driven automation for scale and consistency while preserving human expert involvement at points where judgment, institutional credibility, and contextual understanding are irreplaceable. This is not a concession to legacy process; it is a strategic design decision.</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Where humans are essential and remain in the loop:</w:t>
      </w:r>
      <w:r>
        <w:rPr>
          <w:rFonts w:ascii="Arial" w:cs="Arial" w:eastAsia="Arial" w:hAnsi="Arial"/>
          <w:i w:val="false"/>
          <w:iCs w:val="false"/>
          <w:color w:val="333333"/>
          <w:sz w:val="21"/>
          <w:szCs w:val="21"/>
        </w:rPr>
        <w:t xml:space="preserve"/>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Governance and Process Maturity Assessment</w:t>
      </w:r>
      <w:r>
        <w:rPr>
          <w:rFonts w:ascii="Arial" w:cs="Arial" w:eastAsia="Arial" w:hAnsi="Arial"/>
          <w:color w:val="333333"/>
          <w:sz w:val="21"/>
          <w:szCs w:val="21"/>
        </w:rPr>
        <w:t xml:space="preserve">: Evaluating organizational readiness, change management discipline, and operational culture requires human judgment that automated testing cannot replicate.</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Adversarial Simulation Review</w:t>
      </w:r>
      <w:r>
        <w:rPr>
          <w:rFonts w:ascii="Arial" w:cs="Arial" w:eastAsia="Arial" w:hAnsi="Arial"/>
          <w:color w:val="333333"/>
          <w:sz w:val="21"/>
          <w:szCs w:val="21"/>
        </w:rPr>
        <w:t xml:space="preserve">: While automated adversarial testing covers known attack patterns, human red team operators discover novel attack vectors and assess the contextual severity of identified vulnerabilities.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Certification Decision Authority</w:t>
      </w:r>
      <w:r>
        <w:rPr>
          <w:rFonts w:ascii="Arial" w:cs="Arial" w:eastAsia="Arial" w:hAnsi="Arial"/>
          <w:color w:val="333333"/>
          <w:sz w:val="21"/>
          <w:szCs w:val="21"/>
        </w:rPr>
        <w:t xml:space="preserve">: Final certification decisions carry institutional and legal weight. Human review of the complete evaluation package provides accountability and credibility that automated pass/fail determination alone cannot.</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Appeal and Dispute Resolution</w:t>
      </w:r>
      <w:r>
        <w:rPr>
          <w:rFonts w:ascii="Arial" w:cs="Arial" w:eastAsia="Arial" w:hAnsi="Arial"/>
          <w:color w:val="333333"/>
          <w:sz w:val="21"/>
          <w:szCs w:val="21"/>
        </w:rPr>
        <w:t xml:space="preserve">: Contested findings, borderline results, and novel system architectures require human judgment to resolve fairly.</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Standard Evolution</w:t>
      </w:r>
      <w:r>
        <w:rPr>
          <w:rFonts w:ascii="Arial" w:cs="Arial" w:eastAsia="Arial" w:hAnsi="Arial"/>
          <w:color w:val="333333"/>
          <w:sz w:val="21"/>
          <w:szCs w:val="21"/>
        </w:rPr>
        <w:t xml:space="preserve">: Identifying gaps in the standard, emerging risk categories, and evolving threat landscapes requires human expertise integrated with automated signal detection.</w:t>
      </w:r>
    </w:p>
    <w:p>
      <w:pPr>
        <w:spacing w:before="80" w:after="80" w:line="276"/>
        <w:jc w:val="both"/>
      </w:pPr>
      <w:r>
        <w:rPr>
          <w:rFonts w:ascii="Arial" w:cs="Arial" w:eastAsia="Arial" w:hAnsi="Arial"/>
          <w:i w:val="false"/>
          <w:iCs w:val="false"/>
          <w:color w:val="333333"/>
          <w:sz w:val="21"/>
          <w:szCs w:val="21"/>
        </w:rPr>
        <w:t xml:space="preserve"/>
      </w:r>
      <w:r>
        <w:rPr>
          <w:rFonts w:ascii="Arial" w:cs="Arial" w:eastAsia="Arial" w:hAnsi="Arial"/>
          <w:b/>
          <w:bCs/>
          <w:color w:val="333333"/>
          <w:sz w:val="21"/>
          <w:szCs w:val="21"/>
        </w:rPr>
        <w:t xml:space="preserve">Where AI-driven automation carries the load:</w:t>
      </w:r>
      <w:r>
        <w:rPr>
          <w:rFonts w:ascii="Arial" w:cs="Arial" w:eastAsia="Arial" w:hAnsi="Arial"/>
          <w:i w:val="false"/>
          <w:iCs w:val="false"/>
          <w:color w:val="333333"/>
          <w:sz w:val="21"/>
          <w:szCs w:val="21"/>
        </w:rPr>
        <w:t xml:space="preserve"/>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ACR evaluation execution</w:t>
      </w:r>
      <w:r>
        <w:rPr>
          <w:rFonts w:ascii="Arial" w:cs="Arial" w:eastAsia="Arial" w:hAnsi="Arial"/>
          <w:color w:val="333333"/>
          <w:sz w:val="21"/>
          <w:szCs w:val="21"/>
        </w:rPr>
        <w:t xml:space="preserve"> across hundreds of control requirements with deterministic, repeatable results.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Adversarial test battery execution</w:t>
      </w:r>
      <w:r>
        <w:rPr>
          <w:rFonts w:ascii="Arial" w:cs="Arial" w:eastAsia="Arial" w:hAnsi="Arial"/>
          <w:color w:val="333333"/>
          <w:sz w:val="21"/>
          <w:szCs w:val="21"/>
        </w:rPr>
        <w:t xml:space="preserve"> covering thousands of attack patterns at a speed and scale no human team can match.</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Continuous monitoring and drift detection</w:t>
      </w:r>
      <w:r>
        <w:rPr>
          <w:rFonts w:ascii="Arial" w:cs="Arial" w:eastAsia="Arial" w:hAnsi="Arial"/>
          <w:color w:val="333333"/>
          <w:sz w:val="21"/>
          <w:szCs w:val="21"/>
        </w:rPr>
        <w:t xml:space="preserve"> operating 24/7 across all connected systems.</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Evidence collection, structuring, and traceability</w:t>
      </w:r>
      <w:r>
        <w:rPr>
          <w:rFonts w:ascii="Arial" w:cs="Arial" w:eastAsia="Arial" w:hAnsi="Arial"/>
          <w:color w:val="333333"/>
          <w:sz w:val="21"/>
          <w:szCs w:val="21"/>
        </w:rPr>
        <w:t xml:space="preserve"> eliminating manual documentation overhead.</w:t>
      </w:r>
    </w:p>
    <w:p>
      <w:pPr>
        <w:pStyle w:val="ListParagraph"/>
        <w:numPr>
          <w:ilvl w:val="0"/>
          <w:numId w:val="2"/>
        </w:numPr>
        <w:spacing w:before="40" w:after="4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Revalidation triggering and execution</w:t>
      </w:r>
      <w:r>
        <w:rPr>
          <w:rFonts w:ascii="Arial" w:cs="Arial" w:eastAsia="Arial" w:hAnsi="Arial"/>
          <w:color w:val="333333"/>
          <w:sz w:val="21"/>
          <w:szCs w:val="21"/>
        </w:rPr>
        <w:t xml:space="preserve"> responding to system changes in real time rather than waiting for scheduled reassessments.</w:t>
      </w:r>
    </w:p>
    <w:p>
      <w:pPr>
        <w:spacing w:before="80" w:after="80" w:line="276"/>
        <w:jc w:val="both"/>
      </w:pPr>
      <w:r>
        <w:rPr>
          <w:rFonts w:ascii="Arial" w:cs="Arial" w:eastAsia="Arial" w:hAnsi="Arial"/>
          <w:i w:val="false"/>
          <w:iCs w:val="false"/>
          <w:color w:val="333333"/>
          <w:sz w:val="21"/>
          <w:szCs w:val="21"/>
        </w:rPr>
        <w:t xml:space="preserve">This hybrid model creates an early strategic moat: organizations trust the standard because humans with institutional authority stand behind it, while the platform scales because AI handles the evaluation and monitoring workload. As the standard matures and trust in automated evaluation deepens, the human-to-AI ratio can evolve — but the human checkpoints remain a deliberate, value-creating feature of the certification model.</w:t>
      </w:r>
    </w:p>
    <w:p>
      <w:pPr>
        <w:pStyle w:val="Heading1"/>
        <w:spacing w:before="360" w:after="200"/>
      </w:pPr>
      <w:r>
        <w:rPr>
          <w:rFonts w:ascii="Arial" w:cs="Arial" w:eastAsia="Arial" w:hAnsi="Arial"/>
          <w:b/>
          <w:bCs/>
          <w:color w:val="1B2A4A"/>
          <w:sz w:val="32"/>
          <w:szCs w:val="32"/>
        </w:rPr>
        <w:t xml:space="preserve">Appendix D: Certification Mark and Registry</w:t>
      </w:r>
    </w:p>
    <w:p>
      <w:pPr>
        <w:spacing w:before="80" w:after="80" w:line="276"/>
        <w:jc w:val="both"/>
      </w:pPr>
      <w:r>
        <w:rPr>
          <w:rFonts w:ascii="Arial" w:cs="Arial" w:eastAsia="Arial" w:hAnsi="Arial"/>
          <w:i w:val="false"/>
          <w:iCs w:val="false"/>
          <w:color w:val="333333"/>
          <w:sz w:val="21"/>
          <w:szCs w:val="21"/>
        </w:rPr>
        <w:t xml:space="preserve">Certified systems are entitled to display the ARA Certification Mark in accordance with the ARAF Trademark Usage Policy. The mark includes the certification level and validity date.</w:t>
      </w:r>
    </w:p>
    <w:p>
      <w:pPr>
        <w:spacing w:before="80" w:after="80" w:line="276"/>
        <w:jc w:val="both"/>
      </w:pPr>
      <w:r>
        <w:rPr>
          <w:rFonts w:ascii="Arial" w:cs="Arial" w:eastAsia="Arial" w:hAnsi="Arial"/>
          <w:i w:val="false"/>
          <w:iCs w:val="false"/>
          <w:color w:val="333333"/>
          <w:sz w:val="21"/>
          <w:szCs w:val="21"/>
        </w:rPr>
        <w:t xml:space="preserve">The ARA Certification Registry is publicly accessible and contains:</w:t>
      </w:r>
    </w:p>
    <w:p>
      <w:pPr>
        <w:pStyle w:val="ListParagraph"/>
        <w:numPr>
          <w:ilvl w:val="0"/>
          <w:numId w:val="2"/>
        </w:numPr>
        <w:spacing w:before="40" w:after="40" w:line="276"/>
      </w:pPr>
      <w:r>
        <w:rPr>
          <w:rFonts w:ascii="Arial" w:cs="Arial" w:eastAsia="Arial" w:hAnsi="Arial"/>
          <w:color w:val="333333"/>
          <w:sz w:val="21"/>
          <w:szCs w:val="21"/>
        </w:rPr>
        <w:t xml:space="preserve">System name and description</w:t>
      </w:r>
    </w:p>
    <w:p>
      <w:pPr>
        <w:pStyle w:val="ListParagraph"/>
        <w:numPr>
          <w:ilvl w:val="0"/>
          <w:numId w:val="2"/>
        </w:numPr>
        <w:spacing w:before="40" w:after="40" w:line="276"/>
      </w:pPr>
      <w:r>
        <w:rPr>
          <w:rFonts w:ascii="Arial" w:cs="Arial" w:eastAsia="Arial" w:hAnsi="Arial"/>
          <w:color w:val="333333"/>
          <w:sz w:val="21"/>
          <w:szCs w:val="21"/>
        </w:rPr>
        <w:t xml:space="preserve">Certified entity (organization)</w:t>
      </w:r>
    </w:p>
    <w:p>
      <w:pPr>
        <w:pStyle w:val="ListParagraph"/>
        <w:numPr>
          <w:ilvl w:val="0"/>
          <w:numId w:val="2"/>
        </w:numPr>
        <w:spacing w:before="40" w:after="40" w:line="276"/>
      </w:pPr>
      <w:r>
        <w:rPr>
          <w:rFonts w:ascii="Arial" w:cs="Arial" w:eastAsia="Arial" w:hAnsi="Arial"/>
          <w:color w:val="333333"/>
          <w:sz w:val="21"/>
          <w:szCs w:val="21"/>
        </w:rPr>
        <w:t xml:space="preserve">Certification level achieved</w:t>
      </w:r>
    </w:p>
    <w:p>
      <w:pPr>
        <w:pStyle w:val="ListParagraph"/>
        <w:numPr>
          <w:ilvl w:val="0"/>
          <w:numId w:val="2"/>
        </w:numPr>
        <w:spacing w:before="40" w:after="40" w:line="276"/>
      </w:pPr>
      <w:r>
        <w:rPr>
          <w:rFonts w:ascii="Arial" w:cs="Arial" w:eastAsia="Arial" w:hAnsi="Arial"/>
          <w:color w:val="333333"/>
          <w:sz w:val="21"/>
          <w:szCs w:val="21"/>
        </w:rPr>
        <w:t xml:space="preserve">Certification date and expiration</w:t>
      </w:r>
    </w:p>
    <w:p>
      <w:pPr>
        <w:pStyle w:val="ListParagraph"/>
        <w:numPr>
          <w:ilvl w:val="0"/>
          <w:numId w:val="2"/>
        </w:numPr>
        <w:spacing w:before="40" w:after="40" w:line="276"/>
      </w:pPr>
      <w:r>
        <w:rPr>
          <w:rFonts w:ascii="Arial" w:cs="Arial" w:eastAsia="Arial" w:hAnsi="Arial"/>
          <w:color w:val="333333"/>
          <w:sz w:val="21"/>
          <w:szCs w:val="21"/>
        </w:rPr>
        <w:t xml:space="preserve">Evaluation scope and any limitations</w:t>
      </w:r>
    </w:p>
    <w:p>
      <w:pPr>
        <w:pStyle w:val="ListParagraph"/>
        <w:numPr>
          <w:ilvl w:val="0"/>
          <w:numId w:val="2"/>
        </w:numPr>
        <w:spacing w:before="40" w:after="40" w:line="276"/>
      </w:pPr>
      <w:r>
        <w:rPr>
          <w:rFonts w:ascii="Arial" w:cs="Arial" w:eastAsia="Arial" w:hAnsi="Arial"/>
          <w:color w:val="333333"/>
          <w:sz w:val="21"/>
          <w:szCs w:val="21"/>
        </w:rPr>
        <w:t xml:space="preserve">Current compliance status (Active, Conditional, Suspended, Revoked)</w:t>
      </w:r>
    </w:p>
    <w:p>
      <w:pPr>
        <w:pStyle w:val="ListParagraph"/>
        <w:numPr>
          <w:ilvl w:val="0"/>
          <w:numId w:val="2"/>
        </w:numPr>
        <w:spacing w:before="40" w:after="40" w:line="276"/>
      </w:pPr>
      <w:r>
        <w:rPr>
          <w:rFonts w:ascii="Arial" w:cs="Arial" w:eastAsia="Arial" w:hAnsi="Arial"/>
          <w:color w:val="333333"/>
          <w:sz w:val="21"/>
          <w:szCs w:val="21"/>
        </w:rPr>
        <w:t xml:space="preserve">Authorized Validation Body</w:t>
      </w:r>
    </w:p>
    <w:p>
      <w:pPr>
        <w:spacing w:before="80" w:after="80" w:line="276"/>
        <w:jc w:val="both"/>
      </w:pPr>
      <w:r>
        <w:rPr>
          <w:rFonts w:ascii="Arial" w:cs="Arial" w:eastAsia="Arial" w:hAnsi="Arial"/>
          <w:i w:val="false"/>
          <w:iCs w:val="false"/>
          <w:color w:val="333333"/>
          <w:sz w:val="21"/>
          <w:szCs w:val="21"/>
        </w:rPr>
        <w:t xml:space="preserve">Registry data is updated in real time. Any change in certification status is reflected within 24 hours.</w:t>
      </w:r>
    </w:p>
    <w:p>
      <w:pPr>
        <w:spacing w:before="400" w:after="0"/>
      </w:pPr>
    </w:p>
    <w:p>
      <w:pPr>
        <w:pBdr>
          <w:bottom w:val="single" w:color="3B7DD8" w:sz="4" w:space="1"/>
        </w:pBdr>
        <w:spacing w:before="200" w:after="200"/>
      </w:pPr>
    </w:p>
    <w:p>
      <w:pPr>
        <w:spacing w:before="200" w:after="100"/>
        <w:jc w:val="center"/>
      </w:pPr>
      <w:r>
        <w:rPr>
          <w:rFonts w:ascii="Arial" w:cs="Arial" w:eastAsia="Arial" w:hAnsi="Arial"/>
          <w:b/>
          <w:bCs/>
          <w:color w:val="1B2A4A"/>
          <w:sz w:val="28"/>
          <w:szCs w:val="28"/>
        </w:rPr>
        <w:t xml:space="preserve">END OF STANDARD</w:t>
      </w:r>
    </w:p>
    <w:p>
      <w:pPr>
        <w:spacing w:after="100"/>
        <w:jc w:val="center"/>
      </w:pPr>
      <w:r>
        <w:rPr>
          <w:rFonts w:ascii="Arial" w:cs="Arial" w:eastAsia="Arial" w:hAnsi="Arial"/>
          <w:color w:val="666666"/>
          <w:sz w:val="20"/>
          <w:szCs w:val="20"/>
        </w:rPr>
        <w:t xml:space="preserve">ARA Standard Version 1.0  |  Public Review Draft</w:t>
      </w:r>
    </w:p>
    <w:p>
      <w:pPr>
        <w:spacing w:after="40"/>
        <w:jc w:val="center"/>
      </w:pPr>
      <w:r>
        <w:rPr>
          <w:rFonts w:ascii="Arial" w:cs="Arial" w:eastAsia="Arial" w:hAnsi="Arial"/>
          <w:i/>
          <w:iCs/>
          <w:color w:val="666666"/>
          <w:sz w:val="18"/>
          <w:szCs w:val="18"/>
        </w:rPr>
        <w:t xml:space="preserve">© 2026 Autonomous Reliability Assurance Foundation</w:t>
      </w:r>
    </w:p>
    <w:p>
      <w:pPr>
        <w:spacing w:after="200"/>
        <w:jc w:val="center"/>
      </w:pPr>
      <w:r>
        <w:rPr>
          <w:rFonts w:ascii="Arial" w:cs="Arial" w:eastAsia="Arial" w:hAnsi="Arial"/>
          <w:b/>
          <w:bCs/>
          <w:color w:val="1B2A4A"/>
          <w:sz w:val="22"/>
          <w:szCs w:val="22"/>
        </w:rPr>
        <w:t xml:space="preserve">The minimum operational reliability floor for autonomous systems.</w:t>
      </w:r>
    </w:p>
    <w:p>
      <w:pPr>
        <w:jc w:val="center"/>
      </w:pPr>
      <w:r>
        <w:rPr>
          <w:rFonts w:ascii="Arial" w:cs="Arial" w:eastAsia="Arial" w:hAnsi="Arial"/>
          <w:i/>
          <w:iCs/>
          <w:color w:val="3B7DD8"/>
          <w:sz w:val="20"/>
          <w:szCs w:val="20"/>
        </w:rPr>
        <w:t xml:space="preserve">It does not rank. It does not optimize. It certifies deployability.</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tabs>
        <w:tab w:val="right" w:pos="9026"/>
      </w:tabs>
    </w:pPr>
    <w:r>
      <w:rPr>
        <w:rFonts w:ascii="Arial" w:cs="Arial" w:eastAsia="Arial" w:hAnsi="Arial"/>
        <w:color w:val="666666"/>
        <w:sz w:val="16"/>
        <w:szCs w:val="16"/>
      </w:rPr>
      <w:t xml:space="preserve">© 2026 ARAF</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tabs>
        <w:tab w:val="right" w:pos="9026"/>
      </w:tabs>
    </w:pPr>
    <w:r>
      <w:rPr>
        <w:rFonts w:ascii="Arial" w:cs="Arial" w:eastAsia="Arial" w:hAnsi="Arial"/>
        <w:color w:val="666666"/>
        <w:sz w:val="16"/>
        <w:szCs w:val="16"/>
      </w:rPr>
      <w:t xml:space="preserve">© 2026 ARAF</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4"/>
      </w:pBdr>
      <w:tabs>
        <w:tab w:val="right" w:pos="9026"/>
      </w:tabs>
    </w:pPr>
    <w:r>
      <w:rPr>
        <w:rFonts w:ascii="Arial" w:cs="Arial" w:eastAsia="Arial" w:hAnsi="Arial"/>
        <w:color w:val="666666"/>
        <w:sz w:val="16"/>
        <w:szCs w:val="16"/>
      </w:rPr>
      <w:t xml:space="preserve">ARAF-ARA-STD-2026-001</w:t>
    </w:r>
    <w:r>
      <w:rPr>
        <w:rFonts w:ascii="Arial" w:cs="Arial" w:eastAsia="Arial" w:hAnsi="Arial"/>
        <w:color w:val="666666"/>
        <w:sz w:val="16"/>
        <w:szCs w:val="16"/>
      </w:rPr>
      <w:t xml:space="preserve">	ARA Standard v1.0 — Public Review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4"/>
      </w:pBdr>
      <w:tabs>
        <w:tab w:val="right" w:pos="9026"/>
      </w:tabs>
    </w:pPr>
    <w:r>
      <w:rPr>
        <w:rFonts w:ascii="Arial" w:cs="Arial" w:eastAsia="Arial" w:hAnsi="Arial"/>
        <w:color w:val="666666"/>
        <w:sz w:val="16"/>
        <w:szCs w:val="16"/>
      </w:rPr>
      <w:t xml:space="preserve">ARAF-ARA-STD-2026-001</w:t>
    </w:r>
    <w:r>
      <w:rPr>
        <w:rFonts w:ascii="Arial" w:cs="Arial" w:eastAsia="Arial" w:hAnsi="Arial"/>
        <w:color w:val="666666"/>
        <w:sz w:val="16"/>
        <w:szCs w:val="16"/>
      </w:rPr>
      <w:t xml:space="preserve">	ARA Standard v1.0 — Public Review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A7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2026-02-28T04:13:58.893Z</dcterms:created>
  <dcterms:modified xsi:type="dcterms:W3CDTF">2026-02-28T04:13:58.894Z</dcterms:modified>
</cp:coreProperties>
</file>

<file path=docProps/custom.xml><?xml version="1.0" encoding="utf-8"?>
<Properties xmlns="http://schemas.openxmlformats.org/officeDocument/2006/custom-properties" xmlns:vt="http://schemas.openxmlformats.org/officeDocument/2006/docPropsVTypes"/>
</file>