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52"/>
          <w:szCs w:val="52"/>
        </w:rPr>
        <w:t xml:space="preserve">ARA Standard v1.0</w:t>
      </w:r>
    </w:p>
    <w:p>
      <w:pPr>
        <w:spacing w:after="100"/>
        <w:jc w:val="center"/>
      </w:pPr>
      <w:r>
        <w:rPr>
          <w:rFonts w:ascii="Arial" w:cs="Arial" w:eastAsia="Arial" w:hAnsi="Arial"/>
          <w:color w:val="2E4A7A"/>
          <w:sz w:val="36"/>
          <w:szCs w:val="36"/>
        </w:rPr>
        <w:t xml:space="preserve">AVB Authorization Guide</w:t>
      </w:r>
    </w:p>
    <w:p>
      <w:pPr>
        <w:spacing w:after="400"/>
        <w:jc w:val="center"/>
      </w:pPr>
      <w:r>
        <w:rPr>
          <w:rFonts w:ascii="Arial" w:cs="Arial" w:eastAsia="Arial" w:hAnsi="Arial"/>
          <w:color w:val="3B7DD8"/>
          <w:sz w:val="24"/>
          <w:szCs w:val="24"/>
        </w:rPr>
        <w:t xml:space="preserve">ARAF-ARA-AVB-2026-001</w:t>
      </w:r>
    </w:p>
    <w:p>
      <w:pPr>
        <w:pBdr>
          <w:top w:val="single" w:color="3B7DD8" w:sz="6" w:space="1"/>
        </w:pBdr>
        <w:spacing w:before="200" w:after="200"/>
        <w:jc w:val="center"/>
      </w:pPr>
      <w:r>
        <w:rPr>
          <w:rFonts w:ascii="Arial" w:cs="Arial" w:eastAsia="Arial" w:hAnsi="Arial"/>
          <w:color w:val="2E4A7A"/>
          <w:sz w:val="22"/>
          <w:szCs w:val="22"/>
        </w:rPr>
        <w:t xml:space="preserve">Autonomous Reliability Assurance Foundation</w:t>
      </w:r>
    </w:p>
    <w:p>
      <w:pPr>
        <w:spacing w:after="1200"/>
      </w:pPr>
    </w:p>
    <w:p>
      <w:pPr>
        <w:jc w:val="center"/>
      </w:pPr>
      <w:r>
        <w:rPr>
          <w:rFonts w:ascii="Arial" w:cs="Arial" w:eastAsia="Arial" w:hAnsi="Arial"/>
          <w:color w:val="2E4A7A"/>
          <w:sz w:val="22"/>
          <w:szCs w:val="22"/>
        </w:rPr>
        <w:t xml:space="preserve">Public Review Draft  |  Version 1.0  |  2026-Q2</w:t>
      </w:r>
    </w:p>
    <w:p>
      <w:pPr>
        <w:spacing w:after="200"/>
        <w:jc w:val="center"/>
      </w:pPr>
      <w:r>
        <w:rPr>
          <w:rFonts w:ascii="Arial" w:cs="Arial" w:eastAsia="Arial" w:hAnsi="Arial"/>
          <w:i/>
          <w:iCs/>
          <w:color w:val="666666"/>
          <w:sz w:val="20"/>
          <w:szCs w:val="20"/>
        </w:rPr>
        <w:t xml:space="preserve">Companion to ARAF-ARA-STD-2026-001 (ARA Standard v1.0)</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Document ID</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ARAF-ARA-AVB-2026-001</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Title</w:t>
            </w:r>
          </w:p>
        </w:tc>
        <w:tc>
          <w:tcPr>
            <w:tcW w:type="dxa" w:w="61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AVB Authorization Guide</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 (Public Review Draft)</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Date</w:t>
            </w:r>
          </w:p>
        </w:tc>
        <w:tc>
          <w:tcPr>
            <w:tcW w:type="dxa" w:w="61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2026-Q2</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Classification</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Review Draft</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Issuing Body</w:t>
            </w:r>
          </w:p>
        </w:tc>
        <w:tc>
          <w:tcPr>
            <w:tcW w:type="dxa" w:w="61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Autonomous Reliability Assurance Foundation (ARAF)</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Parent Standard</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ARAF-ARA-STD-2026-001 (ARA Standard v1.0)</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Related Documents</w:t>
            </w:r>
          </w:p>
        </w:tc>
        <w:tc>
          <w:tcPr>
            <w:tcW w:type="dxa" w:w="61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ARAF-ARA-EVL-2026-001 (Evaluation Methodology Guide), ARAF-ARA-ACR-2026-001 (ACR Control Matrix), ARAF-ARA-SDK-2026-001 (SDK Reference)</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Approved By</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Technical Standards Board (TSB)</w:t>
            </w:r>
          </w:p>
        </w:tc>
      </w:tr>
    </w:tbl>
    <w:p>
      <w:pPr>
        <w:spacing w:after="20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c>
          <w:tcPr>
            <w:tcW w:type="dxa" w:w="12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8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0.1</w:t>
            </w:r>
          </w:p>
        </w:tc>
        <w:tc>
          <w:tcPr>
            <w:tcW w:type="dxa" w:w="1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2026-Q1</w:t>
            </w:r>
          </w:p>
        </w:tc>
        <w:tc>
          <w:tcPr>
            <w:tcW w:type="dxa" w:w="2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Founding Committee</w:t>
            </w:r>
          </w:p>
        </w:tc>
        <w:tc>
          <w:tcPr>
            <w:tcW w:type="dxa" w:w="39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Initial AVB framework outline</w:t>
            </w:r>
          </w:p>
        </w:tc>
      </w:tr>
      <w:tr>
        <w:tc>
          <w:tcPr>
            <w:tcW w:type="dxa" w:w="1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0.5</w:t>
            </w:r>
          </w:p>
        </w:tc>
        <w:tc>
          <w:tcPr>
            <w:tcW w:type="dxa" w:w="1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2026-Q1</w:t>
            </w:r>
          </w:p>
        </w:tc>
        <w:tc>
          <w:tcPr>
            <w:tcW w:type="dxa" w:w="2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Technical Standards Board</w:t>
            </w:r>
          </w:p>
        </w:tc>
        <w:tc>
          <w:tcPr>
            <w:tcW w:type="dxa" w:w="39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Authorization requirements and process defined</w:t>
            </w:r>
          </w:p>
        </w:tc>
      </w:tr>
      <w:tr>
        <w:tc>
          <w:tcPr>
            <w:tcW w:type="dxa" w:w="1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1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2026-Q2</w:t>
            </w:r>
          </w:p>
        </w:tc>
        <w:tc>
          <w:tcPr>
            <w:tcW w:type="dxa" w:w="2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ARAF Technical Standards Board</w:t>
            </w:r>
          </w:p>
        </w:tc>
        <w:tc>
          <w:tcPr>
            <w:tcW w:type="dxa" w:w="39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Review Draft aligned with ARA Standard v1.0</w:t>
            </w:r>
          </w:p>
        </w:tc>
      </w:tr>
    </w:tbl>
    <w:p>
      <w:r>
        <w:br w:type="page"/>
      </w:r>
    </w:p>
    <w:p>
      <w:pPr>
        <w:pStyle w:val="Heading1"/>
      </w:pPr>
      <w:r>
        <w:t xml:space="preserve">Table of Contents</w:t>
      </w:r>
    </w:p>
    <w:p>
      <w:pPr>
        <w:spacing w:after="40"/>
        <w:ind w:left="0"/>
      </w:pPr>
      <w:r>
        <w:rPr>
          <w:rFonts w:ascii="Arial" w:cs="Arial" w:eastAsia="Arial" w:hAnsi="Arial"/>
          <w:b/>
          <w:bCs/>
          <w:sz w:val="22"/>
          <w:szCs w:val="22"/>
        </w:rPr>
        <w:t xml:space="preserve">Foreword</w:t>
      </w:r>
      <w:r>
        <w:rPr>
          <w:rFonts w:ascii="Arial" w:cs="Arial" w:eastAsia="Arial" w:hAnsi="Arial"/>
          <w:sz w:val="22"/>
          <w:szCs w:val="22"/>
        </w:rPr>
        <w:ptab w:alignment="right" w:relativeTo="margin" w:leader="dot"/>
      </w:r>
    </w:p>
    <w:p>
      <w:pPr>
        <w:spacing w:after="40"/>
        <w:ind w:left="0"/>
      </w:pPr>
      <w:r>
        <w:rPr>
          <w:rFonts w:ascii="Arial" w:cs="Arial" w:eastAsia="Arial" w:hAnsi="Arial"/>
          <w:b/>
          <w:bCs/>
          <w:sz w:val="22"/>
          <w:szCs w:val="22"/>
        </w:rPr>
        <w:t xml:space="preserve">Article 1 — Scope and Purpose</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1.1 Purpose</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1.2 Role of AVBs in the ARA Ecosystem</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1.3 Relationship to the Self-Serve Platform</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2 — AVB Authorization Levels</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2.1 Authorization Level Definitions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2.2 Level Progression</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3 — Authorization Requirements</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3.1 Organizational Requirements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3.2 Independence and Conflict of Interest</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3.3 Technical Competency</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3.4 Operational Capacity</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3.5 Quality Management</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3.6 Insurance and Liability</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3.7 Confidentiality and Data Protection</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4 — Application Process</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4.1 Pre-Application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4.2 Application Submission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4.3 Application Review</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4.4 On-Site Assessment</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4.5 Authorization Decision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4.6 Timeline</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5 — Ongoing Obligations</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5.1 Evaluation Standards Compliance</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5.2 Reporting Requirements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5.3 Calibration and Consistency</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5.4 Continued Professional Development</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5.5 Record Keeping</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5.6 Platform Integration</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6 — Annual Renewal</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6.1 Renewal Process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6.2 Performance Review Criteria</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6.3 Renewal Decision</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7 — Suspension and Revocation</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7.1 Grounds for Suspension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7.2 Suspension Procedures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7.3 Grounds for Revocation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7.4 Revocation Procedures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7.5 Voluntary Withdrawal</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8 — Appeals</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8.1 Appeal Rights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8.2 Appeal Process</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9 — AVB Code of Conduct</w:t>
      </w:r>
      <w:r>
        <w:rPr>
          <w:rFonts w:ascii="Arial" w:cs="Arial" w:eastAsia="Arial" w:hAnsi="Arial"/>
          <w:sz w:val="22"/>
          <w:szCs w:val="22"/>
        </w:rPr>
        <w:ptab w:alignment="right" w:relativeTo="margin" w:leader="dot"/>
      </w:r>
    </w:p>
    <w:p>
      <w:pPr>
        <w:spacing w:after="40"/>
        <w:ind w:left="0"/>
      </w:pPr>
      <w:r>
        <w:rPr>
          <w:rFonts w:ascii="Arial" w:cs="Arial" w:eastAsia="Arial" w:hAnsi="Arial"/>
          <w:b/>
          <w:bCs/>
          <w:sz w:val="22"/>
          <w:szCs w:val="22"/>
        </w:rPr>
        <w:t xml:space="preserve">Article 10 — Transition Provisions</w:t>
      </w:r>
      <w:r>
        <w:rPr>
          <w:rFonts w:ascii="Arial" w:cs="Arial" w:eastAsia="Arial" w:hAnsi="Arial"/>
          <w:sz w:val="22"/>
          <w:szCs w:val="22"/>
        </w:rPr>
        <w:ptab w:alignment="right" w:relativeTo="margin" w:leader="dot"/>
      </w:r>
    </w:p>
    <w:p>
      <w:pPr>
        <w:spacing w:after="40"/>
        <w:ind w:left="0"/>
      </w:pPr>
      <w:r>
        <w:rPr>
          <w:rFonts w:ascii="Arial" w:cs="Arial" w:eastAsia="Arial" w:hAnsi="Arial"/>
          <w:b/>
          <w:bCs/>
          <w:sz w:val="22"/>
          <w:szCs w:val="22"/>
        </w:rPr>
        <w:t xml:space="preserve">Appendix A — Application Checklist</w:t>
      </w:r>
      <w:r>
        <w:rPr>
          <w:rFonts w:ascii="Arial" w:cs="Arial" w:eastAsia="Arial" w:hAnsi="Arial"/>
          <w:sz w:val="22"/>
          <w:szCs w:val="22"/>
        </w:rPr>
        <w:ptab w:alignment="right" w:relativeTo="margin" w:leader="dot"/>
      </w:r>
    </w:p>
    <w:p>
      <w:pPr>
        <w:spacing w:after="40"/>
        <w:ind w:left="0"/>
      </w:pPr>
      <w:r>
        <w:rPr>
          <w:rFonts w:ascii="Arial" w:cs="Arial" w:eastAsia="Arial" w:hAnsi="Arial"/>
          <w:b/>
          <w:bCs/>
          <w:sz w:val="22"/>
          <w:szCs w:val="22"/>
        </w:rPr>
        <w:t xml:space="preserve">Appendix B — AVB Performance Scorecard</w:t>
      </w:r>
      <w:r>
        <w:rPr>
          <w:rFonts w:ascii="Arial" w:cs="Arial" w:eastAsia="Arial" w:hAnsi="Arial"/>
          <w:sz w:val="22"/>
          <w:szCs w:val="22"/>
        </w:rPr>
        <w:ptab w:alignment="right" w:relativeTo="margin" w:leader="dot"/>
      </w:r>
    </w:p>
    <w:p>
      <w:pPr>
        <w:spacing w:after="40"/>
        <w:ind w:left="0"/>
      </w:pPr>
      <w:r>
        <w:rPr>
          <w:rFonts w:ascii="Arial" w:cs="Arial" w:eastAsia="Arial" w:hAnsi="Arial"/>
          <w:b/>
          <w:bCs/>
          <w:sz w:val="22"/>
          <w:szCs w:val="22"/>
        </w:rPr>
        <w:t xml:space="preserve">Appendix C — Glossary</w:t>
      </w:r>
      <w:r>
        <w:rPr>
          <w:rFonts w:ascii="Arial" w:cs="Arial" w:eastAsia="Arial" w:hAnsi="Arial"/>
          <w:sz w:val="22"/>
          <w:szCs w:val="22"/>
        </w:rPr>
        <w:ptab w:alignment="right" w:relativeTo="margin" w:leader="dot"/>
      </w:r>
    </w:p>
    <w:p>
      <w:r>
        <w:br w:type="page"/>
      </w:r>
    </w:p>
    <w:p>
      <w:pPr>
        <w:pStyle w:val="Heading1"/>
      </w:pPr>
      <w:r>
        <w:t xml:space="preserve">Foreword</w:t>
      </w:r>
    </w:p>
    <w:p>
      <w:pPr>
        <w:spacing w:after="120"/>
      </w:pPr>
      <w:r>
        <w:rPr>
          <w:rFonts w:ascii="Arial" w:cs="Arial" w:eastAsia="Arial" w:hAnsi="Arial"/>
          <w:sz w:val="22"/>
          <w:szCs w:val="22"/>
        </w:rPr>
        <w:t xml:space="preserve">Authorized Validation Bodies (AVBs) are the operational backbone of the ARA certification ecosystem. They conduct the evaluations that determine whether autonomous systems meet the reliability requirements defined in the ARA Standard. The credibility of every ARA certification depends on the competence, independence, and integrity of the AVBs that perform the underlying evaluation work.</w:t>
      </w:r>
    </w:p>
    <w:p>
      <w:pPr>
        <w:spacing w:after="120"/>
      </w:pPr>
      <w:r>
        <w:rPr>
          <w:rFonts w:ascii="Arial" w:cs="Arial" w:eastAsia="Arial" w:hAnsi="Arial"/>
          <w:sz w:val="22"/>
          <w:szCs w:val="22"/>
        </w:rPr>
        <w:t xml:space="preserve">This guide defines the requirements for becoming an AVB, the application and assessment process, ongoing obligations, performance review procedures, and the conditions under which authorization may be suspended or revoked.</w:t>
      </w:r>
    </w:p>
    <w:p>
      <w:pPr>
        <w:spacing w:after="120"/>
      </w:pPr>
      <w:r>
        <w:rPr>
          <w:rFonts w:ascii="Arial" w:cs="Arial" w:eastAsia="Arial" w:hAnsi="Arial"/>
          <w:sz w:val="22"/>
          <w:szCs w:val="22"/>
        </w:rPr>
        <w:t xml:space="preserve">The AVB model is designed to scale. As the ARA Standard gains adoption, the number of systems requiring evaluation will grow beyond what any single organization can assess. AVBs distribute evaluation capacity while maintaining consistent quality through standardized methodology, calibration exercises, and continuous performance review.</w:t>
      </w:r>
    </w:p>
    <w:p>
      <w:pPr>
        <w:spacing w:after="120"/>
      </w:pPr>
      <w:r>
        <w:rPr>
          <w:rFonts w:ascii="Arial" w:cs="Arial" w:eastAsia="Arial" w:hAnsi="Arial"/>
          <w:sz w:val="22"/>
          <w:szCs w:val="22"/>
        </w:rPr>
        <w:t xml:space="preserve">AVBs are not competitors to the ARAF self-serve certification platform. They serve a complementary role: the platform provides automated, scalable evaluation for systems that can connect via API or SDK; AVBs provide hands-on, bespoke evaluation for complex systems requiring human judgment, regulatory-specific guidance, or deployment contexts that demand on-premise assessment.</w:t>
      </w:r>
    </w:p>
    <w:p>
      <w:pPr>
        <w:spacing w:after="120"/>
      </w:pPr>
      <w:r>
        <w:rPr>
          <w:rFonts w:ascii="Arial" w:cs="Arial" w:eastAsia="Arial" w:hAnsi="Arial"/>
          <w:sz w:val="22"/>
          <w:szCs w:val="22"/>
        </w:rPr>
        <w:t xml:space="preserve">This guide should be read alongside the Evaluation Methodology Guide (ARAF-ARA-EVL-2026-001), which defines the procedures AVBs must follow when conducting evaluations.</w:t>
      </w:r>
    </w:p>
    <w:p>
      <w:r>
        <w:br w:type="page"/>
      </w:r>
    </w:p>
    <w:p>
      <w:pPr>
        <w:pStyle w:val="Heading1"/>
      </w:pPr>
      <w:r>
        <w:t xml:space="preserve">Article 1 — Scope and Purpose</w:t>
      </w:r>
    </w:p>
    <w:p>
      <w:pPr>
        <w:pStyle w:val="Heading2"/>
      </w:pPr>
      <w:r>
        <w:t xml:space="preserve">1.1 Purpose</w:t>
      </w:r>
    </w:p>
    <w:p>
      <w:pPr>
        <w:spacing w:after="120"/>
      </w:pPr>
      <w:r>
        <w:rPr>
          <w:rFonts w:ascii="Arial" w:cs="Arial" w:eastAsia="Arial" w:hAnsi="Arial"/>
          <w:sz w:val="22"/>
          <w:szCs w:val="22"/>
        </w:rPr>
        <w:t xml:space="preserve">This document establishes the requirements, processes, and obligations for organizations seeking authorization as Authorized Validation Bodies under the ARA Standard. It defines:</w:t>
      </w:r>
    </w:p>
    <w:p>
      <w:pPr>
        <w:pStyle w:val="ListParagraph"/>
        <w:numPr>
          <w:ilvl w:val="0"/>
          <w:numId w:val="2"/>
        </w:numPr>
        <w:spacing w:after="80"/>
      </w:pPr>
      <w:r>
        <w:rPr>
          <w:rFonts w:ascii="Arial" w:cs="Arial" w:eastAsia="Arial" w:hAnsi="Arial"/>
          <w:sz w:val="22"/>
          <w:szCs w:val="22"/>
        </w:rPr>
        <w:t xml:space="preserve">Eligibility criteria for AVB authorization</w:t>
      </w:r>
    </w:p>
    <w:p>
      <w:pPr>
        <w:pStyle w:val="ListParagraph"/>
        <w:numPr>
          <w:ilvl w:val="0"/>
          <w:numId w:val="2"/>
        </w:numPr>
        <w:spacing w:after="80"/>
      </w:pPr>
      <w:r>
        <w:rPr>
          <w:rFonts w:ascii="Arial" w:cs="Arial" w:eastAsia="Arial" w:hAnsi="Arial"/>
          <w:sz w:val="22"/>
          <w:szCs w:val="22"/>
        </w:rPr>
        <w:t xml:space="preserve">Authorization levels and their scope</w:t>
      </w:r>
    </w:p>
    <w:p>
      <w:pPr>
        <w:pStyle w:val="ListParagraph"/>
        <w:numPr>
          <w:ilvl w:val="0"/>
          <w:numId w:val="2"/>
        </w:numPr>
        <w:spacing w:after="80"/>
      </w:pPr>
      <w:r>
        <w:rPr>
          <w:rFonts w:ascii="Arial" w:cs="Arial" w:eastAsia="Arial" w:hAnsi="Arial"/>
          <w:sz w:val="22"/>
          <w:szCs w:val="22"/>
        </w:rPr>
        <w:t xml:space="preserve">The application, assessment, and decision process</w:t>
      </w:r>
    </w:p>
    <w:p>
      <w:pPr>
        <w:pStyle w:val="ListParagraph"/>
        <w:numPr>
          <w:ilvl w:val="0"/>
          <w:numId w:val="2"/>
        </w:numPr>
        <w:spacing w:after="80"/>
      </w:pPr>
      <w:r>
        <w:rPr>
          <w:rFonts w:ascii="Arial" w:cs="Arial" w:eastAsia="Arial" w:hAnsi="Arial"/>
          <w:sz w:val="22"/>
          <w:szCs w:val="22"/>
        </w:rPr>
        <w:t xml:space="preserve">Ongoing obligations and performance standards</w:t>
      </w:r>
    </w:p>
    <w:p>
      <w:pPr>
        <w:pStyle w:val="ListParagraph"/>
        <w:numPr>
          <w:ilvl w:val="0"/>
          <w:numId w:val="2"/>
        </w:numPr>
        <w:spacing w:after="80"/>
      </w:pPr>
      <w:r>
        <w:rPr>
          <w:rFonts w:ascii="Arial" w:cs="Arial" w:eastAsia="Arial" w:hAnsi="Arial"/>
          <w:sz w:val="22"/>
          <w:szCs w:val="22"/>
        </w:rPr>
        <w:t xml:space="preserve">Annual renewal requirements</w:t>
      </w:r>
    </w:p>
    <w:p>
      <w:pPr>
        <w:pStyle w:val="ListParagraph"/>
        <w:numPr>
          <w:ilvl w:val="0"/>
          <w:numId w:val="2"/>
        </w:numPr>
        <w:spacing w:after="80"/>
      </w:pPr>
      <w:r>
        <w:rPr>
          <w:rFonts w:ascii="Arial" w:cs="Arial" w:eastAsia="Arial" w:hAnsi="Arial"/>
          <w:sz w:val="22"/>
          <w:szCs w:val="22"/>
        </w:rPr>
        <w:t xml:space="preserve">Suspension, revocation, and appeals procedures</w:t>
      </w:r>
    </w:p>
    <w:p>
      <w:pPr>
        <w:pStyle w:val="Heading2"/>
      </w:pPr>
      <w:r>
        <w:t xml:space="preserve">1.2 Role of AVBs in the ARA Ecosystem</w:t>
      </w:r>
    </w:p>
    <w:p>
      <w:pPr>
        <w:spacing w:after="120"/>
      </w:pPr>
      <w:r>
        <w:rPr>
          <w:rFonts w:ascii="Arial" w:cs="Arial" w:eastAsia="Arial" w:hAnsi="Arial"/>
          <w:sz w:val="22"/>
          <w:szCs w:val="22"/>
        </w:rPr>
        <w:t xml:space="preserve">AVBs perform the following functions within the ARA certification ecosystem:</w:t>
      </w:r>
    </w:p>
    <w:p>
      <w:pPr>
        <w:pStyle w:val="ListParagraph"/>
        <w:numPr>
          <w:ilvl w:val="0"/>
          <w:numId w:val="2"/>
        </w:numPr>
        <w:spacing w:after="80"/>
      </w:pPr>
      <w:r>
        <w:rPr>
          <w:rFonts w:ascii="Arial" w:cs="Arial" w:eastAsia="Arial" w:hAnsi="Arial"/>
          <w:b/>
          <w:bCs/>
          <w:sz w:val="22"/>
          <w:szCs w:val="22"/>
        </w:rPr>
        <w:t xml:space="preserve">Evaluation Execution: </w:t>
      </w:r>
      <w:r>
        <w:rPr>
          <w:rFonts w:ascii="Arial" w:cs="Arial" w:eastAsia="Arial" w:hAnsi="Arial"/>
          <w:sz w:val="22"/>
          <w:szCs w:val="22"/>
        </w:rPr>
        <w:t xml:space="preserve">Conduct comprehensive evaluations of autonomous systems against the ACR Control Matrix using the procedures defined in the Evaluation Methodology Guide.</w:t>
      </w:r>
    </w:p>
    <w:p>
      <w:pPr>
        <w:pStyle w:val="ListParagraph"/>
        <w:numPr>
          <w:ilvl w:val="0"/>
          <w:numId w:val="2"/>
        </w:numPr>
        <w:spacing w:after="80"/>
      </w:pPr>
      <w:r>
        <w:rPr>
          <w:rFonts w:ascii="Arial" w:cs="Arial" w:eastAsia="Arial" w:hAnsi="Arial"/>
          <w:b/>
          <w:bCs/>
          <w:sz w:val="22"/>
          <w:szCs w:val="22"/>
        </w:rPr>
        <w:t xml:space="preserve">Evidence Collection: </w:t>
      </w:r>
      <w:r>
        <w:rPr>
          <w:rFonts w:ascii="Arial" w:cs="Arial" w:eastAsia="Arial" w:hAnsi="Arial"/>
          <w:sz w:val="22"/>
          <w:szCs w:val="22"/>
        </w:rPr>
        <w:t xml:space="preserve">Generate, collect, and validate evidence artifacts that substantiate ACR compliance findings.</w:t>
      </w:r>
    </w:p>
    <w:p>
      <w:pPr>
        <w:pStyle w:val="ListParagraph"/>
        <w:numPr>
          <w:ilvl w:val="0"/>
          <w:numId w:val="2"/>
        </w:numPr>
        <w:spacing w:after="80"/>
      </w:pPr>
      <w:r>
        <w:rPr>
          <w:rFonts w:ascii="Arial" w:cs="Arial" w:eastAsia="Arial" w:hAnsi="Arial"/>
          <w:b/>
          <w:bCs/>
          <w:sz w:val="22"/>
          <w:szCs w:val="22"/>
        </w:rPr>
        <w:t xml:space="preserve">Report Generation: </w:t>
      </w:r>
      <w:r>
        <w:rPr>
          <w:rFonts w:ascii="Arial" w:cs="Arial" w:eastAsia="Arial" w:hAnsi="Arial"/>
          <w:sz w:val="22"/>
          <w:szCs w:val="22"/>
        </w:rPr>
        <w:t xml:space="preserve">Produce structured evaluation reports delivered to the ARAF Certification Office for certification decision.</w:t>
      </w:r>
    </w:p>
    <w:p>
      <w:pPr>
        <w:pStyle w:val="ListParagraph"/>
        <w:numPr>
          <w:ilvl w:val="0"/>
          <w:numId w:val="2"/>
        </w:numPr>
        <w:spacing w:after="80"/>
      </w:pPr>
      <w:r>
        <w:rPr>
          <w:rFonts w:ascii="Arial" w:cs="Arial" w:eastAsia="Arial" w:hAnsi="Arial"/>
          <w:b/>
          <w:bCs/>
          <w:sz w:val="22"/>
          <w:szCs w:val="22"/>
        </w:rPr>
        <w:t xml:space="preserve">Advisory Services: </w:t>
      </w:r>
      <w:r>
        <w:rPr>
          <w:rFonts w:ascii="Arial" w:cs="Arial" w:eastAsia="Arial" w:hAnsi="Arial"/>
          <w:sz w:val="22"/>
          <w:szCs w:val="22"/>
        </w:rPr>
        <w:t xml:space="preserve">Provide pre-certification guidance to organizations preparing for evaluation (subject to conflict-of-interest constraints defined in Article 3).</w:t>
      </w:r>
    </w:p>
    <w:p>
      <w:pPr>
        <w:pStyle w:val="ListParagraph"/>
        <w:numPr>
          <w:ilvl w:val="0"/>
          <w:numId w:val="2"/>
        </w:numPr>
        <w:spacing w:after="80"/>
      </w:pPr>
      <w:r>
        <w:rPr>
          <w:rFonts w:ascii="Arial" w:cs="Arial" w:eastAsia="Arial" w:hAnsi="Arial"/>
          <w:b/>
          <w:bCs/>
          <w:sz w:val="22"/>
          <w:szCs w:val="22"/>
        </w:rPr>
        <w:t xml:space="preserve">Reassessment Execution: </w:t>
      </w:r>
      <w:r>
        <w:rPr>
          <w:rFonts w:ascii="Arial" w:cs="Arial" w:eastAsia="Arial" w:hAnsi="Arial"/>
          <w:sz w:val="22"/>
          <w:szCs w:val="22"/>
        </w:rPr>
        <w:t xml:space="preserve">Conduct scheduled and triggered reassessments for certified systems.</w:t>
      </w:r>
    </w:p>
    <w:p>
      <w:pPr>
        <w:spacing w:after="120"/>
      </w:pPr>
      <w:r>
        <w:rPr>
          <w:rFonts w:ascii="Arial" w:cs="Arial" w:eastAsia="Arial" w:hAnsi="Arial"/>
          <w:sz w:val="22"/>
          <w:szCs w:val="22"/>
        </w:rPr>
        <w:t xml:space="preserve">AVBs do not issue certifications. The ARAF Certification Office is the sole authority for certification decisions. AVBs provide the evaluation evidence and recommendation upon which certification decisions are based.</w:t>
      </w:r>
    </w:p>
    <w:p>
      <w:pPr>
        <w:pStyle w:val="Heading2"/>
      </w:pPr>
      <w:r>
        <w:t xml:space="preserve">1.3 Relationship to the Self-Serve Platform</w:t>
      </w:r>
    </w:p>
    <w:p>
      <w:pPr>
        <w:spacing w:after="120"/>
      </w:pPr>
      <w:r>
        <w:rPr>
          <w:rFonts w:ascii="Arial" w:cs="Arial" w:eastAsia="Arial" w:hAnsi="Arial"/>
          <w:sz w:val="22"/>
          <w:szCs w:val="22"/>
        </w:rPr>
        <w:t xml:space="preserve">The ARAF self-serve certification platform and AVBs serve complementary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68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Self-Serve Platform</w:t>
            </w:r>
          </w:p>
        </w:tc>
        <w:tc>
          <w:tcPr>
            <w:tcW w:type="dxa" w:w="368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AVB Engagement</w:t>
            </w:r>
          </w:p>
        </w:tc>
      </w:tr>
      <w:tr>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Evaluation method</w:t>
            </w:r>
          </w:p>
        </w:tc>
        <w:tc>
          <w:tcPr>
            <w:tcW w:type="dxa" w:w="3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Automated + platform-guided</w:t>
            </w:r>
          </w:p>
        </w:tc>
        <w:tc>
          <w:tcPr>
            <w:tcW w:type="dxa" w:w="3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Human-led with automated support</w:t>
            </w:r>
          </w:p>
        </w:tc>
      </w:tr>
      <w:tr>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Best suited for</w:t>
            </w:r>
          </w:p>
        </w:tc>
        <w:tc>
          <w:tcPr>
            <w:tcW w:type="dxa" w:w="3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AI agents, LLM-based systems, API-connected autonomous systems</w:t>
            </w:r>
          </w:p>
        </w:tc>
        <w:tc>
          <w:tcPr>
            <w:tcW w:type="dxa" w:w="3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Complex deployments, physical systems, regulated industries, bespoke architectures</w:t>
            </w:r>
          </w:p>
        </w:tc>
      </w:tr>
      <w:tr>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Speed</w:t>
            </w:r>
          </w:p>
        </w:tc>
        <w:tc>
          <w:tcPr>
            <w:tcW w:type="dxa" w:w="3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Days to weeks</w:t>
            </w:r>
          </w:p>
        </w:tc>
        <w:tc>
          <w:tcPr>
            <w:tcW w:type="dxa" w:w="3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Weeks to months</w:t>
            </w:r>
          </w:p>
        </w:tc>
      </w:tr>
      <w:tr>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Cost model</w:t>
            </w:r>
          </w:p>
        </w:tc>
        <w:tc>
          <w:tcPr>
            <w:tcW w:type="dxa" w:w="3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Subscription + per-evaluation fees</w:t>
            </w:r>
          </w:p>
        </w:tc>
        <w:tc>
          <w:tcPr>
            <w:tcW w:type="dxa" w:w="3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Engagement-based professional fees</w:t>
            </w:r>
          </w:p>
        </w:tc>
      </w:tr>
      <w:tr>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Human involvement</w:t>
            </w:r>
          </w:p>
        </w:tc>
        <w:tc>
          <w:tcPr>
            <w:tcW w:type="dxa" w:w="3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Expert review at certification decision</w:t>
            </w:r>
          </w:p>
        </w:tc>
        <w:tc>
          <w:tcPr>
            <w:tcW w:type="dxa" w:w="3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Throughout the evaluation process</w:t>
            </w:r>
          </w:p>
        </w:tc>
      </w:tr>
      <w:tr>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CM integration</w:t>
            </w:r>
          </w:p>
        </w:tc>
        <w:tc>
          <w:tcPr>
            <w:tcW w:type="dxa" w:w="3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Native via SDK/API</w:t>
            </w:r>
          </w:p>
        </w:tc>
        <w:tc>
          <w:tcPr>
            <w:tcW w:type="dxa" w:w="3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Configured during evaluation, maintained through CAP</w:t>
            </w:r>
          </w:p>
        </w:tc>
      </w:tr>
      <w:tr>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Regulatory guidance</w:t>
            </w:r>
          </w:p>
        </w:tc>
        <w:tc>
          <w:tcPr>
            <w:tcW w:type="dxa" w:w="3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Standardized compliance mapping</w:t>
            </w:r>
          </w:p>
        </w:tc>
        <w:tc>
          <w:tcPr>
            <w:tcW w:type="dxa" w:w="3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Jurisdiction-specific advisory</w:t>
            </w:r>
          </w:p>
        </w:tc>
      </w:tr>
    </w:tbl>
    <w:p>
      <w:pPr>
        <w:spacing w:after="200"/>
      </w:pPr>
    </w:p>
    <w:p>
      <w:pPr>
        <w:spacing w:after="120"/>
      </w:pPr>
      <w:r>
        <w:rPr>
          <w:rFonts w:ascii="Arial" w:cs="Arial" w:eastAsia="Arial" w:hAnsi="Arial"/>
          <w:sz w:val="22"/>
          <w:szCs w:val="22"/>
        </w:rPr>
        <w:t xml:space="preserve">Organizations may use both pathways: self-serve for initial automated evaluation and AVB engagement for domains requiring human judgment or regulatory-specific assessment.</w:t>
      </w:r>
    </w:p>
    <w:p>
      <w:r>
        <w:br w:type="page"/>
      </w:r>
    </w:p>
    <w:p>
      <w:pPr>
        <w:pStyle w:val="Heading1"/>
      </w:pPr>
      <w:r>
        <w:t xml:space="preserve">Article 2 — AVB Authorization Levels</w:t>
      </w:r>
    </w:p>
    <w:p>
      <w:pPr>
        <w:pStyle w:val="Heading2"/>
      </w:pPr>
      <w:r>
        <w:t xml:space="preserve">2.1 Authorization Level Definitions</w:t>
      </w:r>
    </w:p>
    <w:p>
      <w:pPr>
        <w:spacing w:after="120"/>
      </w:pPr>
      <w:r>
        <w:rPr>
          <w:rFonts w:ascii="Arial" w:cs="Arial" w:eastAsia="Arial" w:hAnsi="Arial"/>
          <w:sz w:val="22"/>
          <w:szCs w:val="22"/>
        </w:rPr>
        <w:t xml:space="preserve">AVBs are authorized at specific levels corresponding to the ARA certification levels they may evaluate. Authorization at a higher level includes authorization at all lower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AVB Level</w:t>
            </w:r>
          </w:p>
        </w:tc>
        <w:tc>
          <w:tcPr>
            <w:tcW w:type="dxa" w:w="22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Certification Scope</w:t>
            </w:r>
          </w:p>
        </w:tc>
        <w:tc>
          <w:tcPr>
            <w:tcW w:type="dxa" w:w="28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Requirements</w:t>
            </w:r>
          </w:p>
        </w:tc>
        <w:tc>
          <w:tcPr>
            <w:tcW w:type="dxa" w:w="28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Profile</w:t>
            </w:r>
          </w:p>
        </w:tc>
      </w:tr>
      <w:tr>
        <w:tc>
          <w:tcPr>
            <w:tcW w:type="dxa" w:w="1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AVB Level 1</w:t>
            </w:r>
          </w:p>
        </w:tc>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May evaluate systems for Level 1 (Supervised Operational Reliability) certification only</w:t>
            </w:r>
          </w:p>
        </w:tc>
        <w:tc>
          <w:tcPr>
            <w:tcW w:type="dxa" w:w="2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Core technical competency; quality management system; 2+ qualified evaluators</w:t>
            </w:r>
          </w:p>
        </w:tc>
        <w:tc>
          <w:tcPr>
            <w:tcW w:type="dxa" w:w="2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Consulting firms, technology auditors, quality assurance organizations entering AI evaluation</w:t>
            </w:r>
          </w:p>
        </w:tc>
      </w:tr>
      <w:tr>
        <w:tc>
          <w:tcPr>
            <w:tcW w:type="dxa" w:w="1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AVB Level 2</w:t>
            </w:r>
          </w:p>
        </w:tc>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May evaluate systems for Level 1 and Level 2 (Bounded Autonomous Deployment) certification</w:t>
            </w:r>
          </w:p>
        </w:tc>
        <w:tc>
          <w:tcPr>
            <w:tcW w:type="dxa" w:w="2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Level 1 requirements plus: adversarial testing capability; 4+ qualified evaluators including HS specialists; demonstrated evaluation track record</w:t>
            </w:r>
          </w:p>
        </w:tc>
        <w:tc>
          <w:tcPr>
            <w:tcW w:type="dxa" w:w="2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Established security testing firms, AI safety consultancies, technology audit firms with adversarial capabilities</w:t>
            </w:r>
          </w:p>
        </w:tc>
      </w:tr>
      <w:tr>
        <w:tc>
          <w:tcPr>
            <w:tcW w:type="dxa" w:w="1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AVB Level 3</w:t>
            </w:r>
          </w:p>
        </w:tc>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May evaluate systems for all levels including Level 3 (High-Stakes Autonomous Certification)</w:t>
            </w:r>
          </w:p>
        </w:tc>
        <w:tc>
          <w:tcPr>
            <w:tcW w:type="dxa" w:w="2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Level 2 requirements plus: red team capability; physical systems evaluation (if applicable); 6+ qualified evaluators; independent red team assessors on staff or retainer</w:t>
            </w:r>
          </w:p>
        </w:tc>
        <w:tc>
          <w:tcPr>
            <w:tcW w:type="dxa" w:w="2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Specialized AI safety and security firms, certification bodies with deep adversarial and physical systems expertise</w:t>
            </w:r>
          </w:p>
        </w:tc>
      </w:tr>
    </w:tbl>
    <w:p>
      <w:pPr>
        <w:spacing w:after="200"/>
      </w:pPr>
    </w:p>
    <w:p>
      <w:pPr>
        <w:pStyle w:val="Heading2"/>
      </w:pPr>
      <w:r>
        <w:t xml:space="preserve">2.2 Level Progression</w:t>
      </w:r>
    </w:p>
    <w:p>
      <w:pPr>
        <w:spacing w:after="120"/>
      </w:pPr>
      <w:r>
        <w:rPr>
          <w:rFonts w:ascii="Arial" w:cs="Arial" w:eastAsia="Arial" w:hAnsi="Arial"/>
          <w:sz w:val="22"/>
          <w:szCs w:val="22"/>
        </w:rPr>
        <w:t xml:space="preserve">AVBs may apply for higher authorization levels after demonstrating competence at their current level:</w:t>
      </w:r>
    </w:p>
    <w:p>
      <w:pPr>
        <w:pStyle w:val="ListParagraph"/>
        <w:numPr>
          <w:ilvl w:val="0"/>
          <w:numId w:val="2"/>
        </w:numPr>
        <w:spacing w:after="80"/>
      </w:pPr>
      <w:r>
        <w:rPr>
          <w:rFonts w:ascii="Arial" w:cs="Arial" w:eastAsia="Arial" w:hAnsi="Arial"/>
          <w:b/>
          <w:bCs/>
          <w:sz w:val="22"/>
          <w:szCs w:val="22"/>
        </w:rPr>
        <w:t xml:space="preserve">Level 1 to Level 2: </w:t>
      </w:r>
      <w:r>
        <w:rPr>
          <w:rFonts w:ascii="Arial" w:cs="Arial" w:eastAsia="Arial" w:hAnsi="Arial"/>
          <w:sz w:val="22"/>
          <w:szCs w:val="22"/>
        </w:rPr>
        <w:t xml:space="preserve">Minimum 12 months of active Level 1 evaluation work; completion of at least 5 Level 1 evaluations; no unresolved quality findings; demonstrated adversarial testing capability through staff qualification or partnership.</w:t>
      </w:r>
    </w:p>
    <w:p>
      <w:pPr>
        <w:pStyle w:val="ListParagraph"/>
        <w:numPr>
          <w:ilvl w:val="0"/>
          <w:numId w:val="2"/>
        </w:numPr>
        <w:spacing w:after="80"/>
      </w:pPr>
      <w:r>
        <w:rPr>
          <w:rFonts w:ascii="Arial" w:cs="Arial" w:eastAsia="Arial" w:hAnsi="Arial"/>
          <w:b/>
          <w:bCs/>
          <w:sz w:val="22"/>
          <w:szCs w:val="22"/>
        </w:rPr>
        <w:t xml:space="preserve">Level 2 to Level 3: </w:t>
      </w:r>
      <w:r>
        <w:rPr>
          <w:rFonts w:ascii="Arial" w:cs="Arial" w:eastAsia="Arial" w:hAnsi="Arial"/>
          <w:sz w:val="22"/>
          <w:szCs w:val="22"/>
        </w:rPr>
        <w:t xml:space="preserve">Minimum 12 months of active Level 2 evaluation work; completion of at least 5 Level 2 evaluations; no unresolved quality findings; demonstrated red team capability; physical systems evaluation capability (if seeking Domain 13 authorization).</w:t>
      </w:r>
    </w:p>
    <w:p>
      <w:pPr>
        <w:spacing w:after="120"/>
      </w:pPr>
      <w:r>
        <w:rPr>
          <w:rFonts w:ascii="Arial" w:cs="Arial" w:eastAsia="Arial" w:hAnsi="Arial"/>
          <w:sz w:val="22"/>
          <w:szCs w:val="22"/>
        </w:rPr>
        <w:t xml:space="preserve">Level progression is assessed through a supplemental review process, not a full re-application. The supplemental review focuses on the incremental requirements for the higher level.</w:t>
      </w:r>
    </w:p>
    <w:p>
      <w:r>
        <w:br w:type="page"/>
      </w:r>
    </w:p>
    <w:p>
      <w:pPr>
        <w:pStyle w:val="Heading1"/>
      </w:pPr>
      <w:r>
        <w:t xml:space="preserve">Article 3 — Authorization Requirements</w:t>
      </w:r>
    </w:p>
    <w:p>
      <w:pPr>
        <w:pStyle w:val="Heading2"/>
      </w:pPr>
      <w:r>
        <w:t xml:space="preserve">3.1 Organizational Requirements</w:t>
      </w:r>
    </w:p>
    <w:p>
      <w:pPr>
        <w:spacing w:after="120"/>
      </w:pPr>
      <w:r>
        <w:rPr>
          <w:rFonts w:ascii="Arial" w:cs="Arial" w:eastAsia="Arial" w:hAnsi="Arial"/>
          <w:sz w:val="22"/>
          <w:szCs w:val="22"/>
        </w:rPr>
        <w:t xml:space="preserve">Applicant organizations must meet the following baseline requirements:</w:t>
      </w:r>
    </w:p>
    <w:p>
      <w:pPr>
        <w:pStyle w:val="ListParagraph"/>
        <w:numPr>
          <w:ilvl w:val="0"/>
          <w:numId w:val="3"/>
        </w:numPr>
        <w:spacing w:after="80"/>
      </w:pPr>
      <w:r>
        <w:rPr>
          <w:rFonts w:ascii="Arial" w:cs="Arial" w:eastAsia="Arial" w:hAnsi="Arial"/>
          <w:sz w:val="22"/>
          <w:szCs w:val="22"/>
        </w:rPr>
        <w:t xml:space="preserve">Legal Entity: The applicant must be a legally constituted entity with documented governance structure, registered in a jurisdiction recognized by ARAF.</w:t>
      </w:r>
    </w:p>
    <w:p>
      <w:pPr>
        <w:pStyle w:val="ListParagraph"/>
        <w:numPr>
          <w:ilvl w:val="0"/>
          <w:numId w:val="3"/>
        </w:numPr>
        <w:spacing w:after="80"/>
      </w:pPr>
      <w:r>
        <w:rPr>
          <w:rFonts w:ascii="Arial" w:cs="Arial" w:eastAsia="Arial" w:hAnsi="Arial"/>
          <w:sz w:val="22"/>
          <w:szCs w:val="22"/>
        </w:rPr>
        <w:t xml:space="preserve">Operational History: The applicant must demonstrate at least 2 years of operational history in technology evaluation, security assessment, quality assurance, compliance auditing, or a closely related field.</w:t>
      </w:r>
    </w:p>
    <w:p>
      <w:pPr>
        <w:pStyle w:val="ListParagraph"/>
        <w:numPr>
          <w:ilvl w:val="0"/>
          <w:numId w:val="3"/>
        </w:numPr>
        <w:spacing w:after="80"/>
      </w:pPr>
      <w:r>
        <w:rPr>
          <w:rFonts w:ascii="Arial" w:cs="Arial" w:eastAsia="Arial" w:hAnsi="Arial"/>
          <w:sz w:val="22"/>
          <w:szCs w:val="22"/>
        </w:rPr>
        <w:t xml:space="preserve">Financial Stability: The applicant must demonstrate financial stability sufficient to sustain evaluation operations and meet insurance requirements. Financial statements for the prior 2 fiscal years must be provided.</w:t>
      </w:r>
    </w:p>
    <w:p>
      <w:pPr>
        <w:pStyle w:val="ListParagraph"/>
        <w:numPr>
          <w:ilvl w:val="0"/>
          <w:numId w:val="3"/>
        </w:numPr>
        <w:spacing w:after="80"/>
      </w:pPr>
      <w:r>
        <w:rPr>
          <w:rFonts w:ascii="Arial" w:cs="Arial" w:eastAsia="Arial" w:hAnsi="Arial"/>
          <w:sz w:val="22"/>
          <w:szCs w:val="22"/>
        </w:rPr>
        <w:t xml:space="preserve">Management Commitment: Executive management must formally commit to the AVB program requirements including resource allocation, ongoing training, and compliance with ARAF quality standards.</w:t>
      </w:r>
    </w:p>
    <w:p>
      <w:pPr>
        <w:pStyle w:val="ListParagraph"/>
        <w:numPr>
          <w:ilvl w:val="0"/>
          <w:numId w:val="3"/>
        </w:numPr>
        <w:spacing w:after="80"/>
      </w:pPr>
      <w:r>
        <w:rPr>
          <w:rFonts w:ascii="Arial" w:cs="Arial" w:eastAsia="Arial" w:hAnsi="Arial"/>
          <w:sz w:val="22"/>
          <w:szCs w:val="22"/>
        </w:rPr>
        <w:t xml:space="preserve">Designated AVB Manager: The applicant must designate a senior individual as AVB Manager responsible for overall compliance with AVB obligations. The AVB Manager must have authority over evaluation staff assignments, quality management, and ARAF reporting.</w:t>
      </w:r>
    </w:p>
    <w:p>
      <w:pPr>
        <w:pStyle w:val="Heading2"/>
      </w:pPr>
      <w:r>
        <w:t xml:space="preserve">3.2 Independence and Conflict of Interest</w:t>
      </w:r>
    </w:p>
    <w:p>
      <w:pPr>
        <w:spacing w:after="120"/>
      </w:pPr>
      <w:r>
        <w:rPr>
          <w:rFonts w:ascii="Arial" w:cs="Arial" w:eastAsia="Arial" w:hAnsi="Arial"/>
          <w:sz w:val="22"/>
          <w:szCs w:val="22"/>
        </w:rPr>
        <w:t xml:space="preserve">AVB independence is a foundational requirement. The following rules are non-negotiable:</w:t>
      </w:r>
    </w:p>
    <w:p>
      <w:pPr>
        <w:spacing w:after="120"/>
      </w:pPr>
      <w:r>
        <w:rPr>
          <w:rFonts w:ascii="Arial" w:cs="Arial" w:eastAsia="Arial" w:hAnsi="Arial"/>
          <w:b/>
          <w:bCs/>
          <w:sz w:val="22"/>
          <w:szCs w:val="22"/>
        </w:rPr>
        <w:t xml:space="preserve">Absolute Prohibitions:</w:t>
      </w:r>
    </w:p>
    <w:p>
      <w:pPr>
        <w:pStyle w:val="ListParagraph"/>
        <w:numPr>
          <w:ilvl w:val="0"/>
          <w:numId w:val="2"/>
        </w:numPr>
        <w:spacing w:after="80"/>
      </w:pPr>
      <w:r>
        <w:rPr>
          <w:rFonts w:ascii="Arial" w:cs="Arial" w:eastAsia="Arial" w:hAnsi="Arial"/>
          <w:sz w:val="22"/>
          <w:szCs w:val="22"/>
        </w:rPr>
        <w:t xml:space="preserve">An AVB SHALL NOT evaluate any system developed, deployed, maintained, or operated by its own organization, parent company, subsidiary, or affiliate.</w:t>
      </w:r>
    </w:p>
    <w:p>
      <w:pPr>
        <w:pStyle w:val="ListParagraph"/>
        <w:numPr>
          <w:ilvl w:val="0"/>
          <w:numId w:val="2"/>
        </w:numPr>
        <w:spacing w:after="80"/>
      </w:pPr>
      <w:r>
        <w:rPr>
          <w:rFonts w:ascii="Arial" w:cs="Arial" w:eastAsia="Arial" w:hAnsi="Arial"/>
          <w:sz w:val="22"/>
          <w:szCs w:val="22"/>
        </w:rPr>
        <w:t xml:space="preserve">An AVB SHALL NOT evaluate any system where an AVB employee, contractor, or partner has a financial interest in the evaluation outcome.</w:t>
      </w:r>
    </w:p>
    <w:p>
      <w:pPr>
        <w:pStyle w:val="ListParagraph"/>
        <w:numPr>
          <w:ilvl w:val="0"/>
          <w:numId w:val="2"/>
        </w:numPr>
        <w:spacing w:after="80"/>
      </w:pPr>
      <w:r>
        <w:rPr>
          <w:rFonts w:ascii="Arial" w:cs="Arial" w:eastAsia="Arial" w:hAnsi="Arial"/>
          <w:sz w:val="22"/>
          <w:szCs w:val="22"/>
        </w:rPr>
        <w:t xml:space="preserve">An AVB SHALL NOT accept contingency fees, success bonuses, or any compensation structure that ties fees to the certification outcome.</w:t>
      </w:r>
    </w:p>
    <w:p>
      <w:pPr>
        <w:pStyle w:val="ListParagraph"/>
        <w:numPr>
          <w:ilvl w:val="0"/>
          <w:numId w:val="2"/>
        </w:numPr>
        <w:spacing w:after="80"/>
      </w:pPr>
      <w:r>
        <w:rPr>
          <w:rFonts w:ascii="Arial" w:cs="Arial" w:eastAsia="Arial" w:hAnsi="Arial"/>
          <w:sz w:val="22"/>
          <w:szCs w:val="22"/>
        </w:rPr>
        <w:t xml:space="preserve">An AVB SHALL NOT provide consulting, development, or implementation services to an organization and subsequently evaluate that same organization's system within 24 months of the consulting engagement's conclusion.</w:t>
      </w:r>
    </w:p>
    <w:p>
      <w:pPr>
        <w:spacing w:after="120"/>
      </w:pPr>
      <w:r>
        <w:rPr>
          <w:rFonts w:ascii="Arial" w:cs="Arial" w:eastAsia="Arial" w:hAnsi="Arial"/>
          <w:b/>
          <w:bCs/>
          <w:sz w:val="22"/>
          <w:szCs w:val="22"/>
        </w:rPr>
        <w:t xml:space="preserve">Managed Conflicts:</w:t>
      </w:r>
    </w:p>
    <w:p>
      <w:pPr>
        <w:spacing w:after="120"/>
      </w:pPr>
      <w:r>
        <w:rPr>
          <w:rFonts w:ascii="Arial" w:cs="Arial" w:eastAsia="Arial" w:hAnsi="Arial"/>
          <w:sz w:val="22"/>
          <w:szCs w:val="22"/>
        </w:rPr>
        <w:t xml:space="preserve">The following situations require disclosure and management but do not automatically disqualify an AVB:</w:t>
      </w:r>
    </w:p>
    <w:p>
      <w:pPr>
        <w:pStyle w:val="ListParagraph"/>
        <w:numPr>
          <w:ilvl w:val="0"/>
          <w:numId w:val="2"/>
        </w:numPr>
        <w:spacing w:after="80"/>
      </w:pPr>
      <w:r>
        <w:rPr>
          <w:rFonts w:ascii="Arial" w:cs="Arial" w:eastAsia="Arial" w:hAnsi="Arial"/>
          <w:sz w:val="22"/>
          <w:szCs w:val="22"/>
        </w:rPr>
        <w:t xml:space="preserve">Prior advisory engagement with the organization (beyond the 24-month cooling period).</w:t>
      </w:r>
    </w:p>
    <w:p>
      <w:pPr>
        <w:pStyle w:val="ListParagraph"/>
        <w:numPr>
          <w:ilvl w:val="0"/>
          <w:numId w:val="2"/>
        </w:numPr>
        <w:spacing w:after="80"/>
      </w:pPr>
      <w:r>
        <w:rPr>
          <w:rFonts w:ascii="Arial" w:cs="Arial" w:eastAsia="Arial" w:hAnsi="Arial"/>
          <w:sz w:val="22"/>
          <w:szCs w:val="22"/>
        </w:rPr>
        <w:t xml:space="preserve">Individual evaluator who previously worked at the organization (requires minimum 12-month separation and disclosure).</w:t>
      </w:r>
    </w:p>
    <w:p>
      <w:pPr>
        <w:pStyle w:val="ListParagraph"/>
        <w:numPr>
          <w:ilvl w:val="0"/>
          <w:numId w:val="2"/>
        </w:numPr>
        <w:spacing w:after="80"/>
      </w:pPr>
      <w:r>
        <w:rPr>
          <w:rFonts w:ascii="Arial" w:cs="Arial" w:eastAsia="Arial" w:hAnsi="Arial"/>
          <w:sz w:val="22"/>
          <w:szCs w:val="22"/>
        </w:rPr>
        <w:t xml:space="preserve">AVB providing evaluations to competing organizations in the same market (requires information barriers and separate evaluation teams).</w:t>
      </w:r>
    </w:p>
    <w:p>
      <w:pPr>
        <w:spacing w:after="120"/>
      </w:pPr>
      <w:r>
        <w:rPr>
          <w:rFonts w:ascii="Arial" w:cs="Arial" w:eastAsia="Arial" w:hAnsi="Arial"/>
          <w:sz w:val="22"/>
          <w:szCs w:val="22"/>
        </w:rPr>
        <w:t xml:space="preserve">All potential conflicts must be disclosed in the Conflict of Interest Declaration submitted with each evaluation engagement. The ARAF Certification Office reviews declarations and may require additional mitigation measures or reassignment.</w:t>
      </w:r>
    </w:p>
    <w:p>
      <w:pPr>
        <w:pStyle w:val="Heading2"/>
      </w:pPr>
      <w:r>
        <w:t xml:space="preserve">3.3 Technical Competency</w:t>
      </w:r>
    </w:p>
    <w:p>
      <w:pPr>
        <w:spacing w:after="120"/>
      </w:pPr>
      <w:r>
        <w:rPr>
          <w:rFonts w:ascii="Arial" w:cs="Arial" w:eastAsia="Arial" w:hAnsi="Arial"/>
          <w:sz w:val="22"/>
          <w:szCs w:val="22"/>
        </w:rPr>
        <w:t xml:space="preserve">AVBs must demonstrate technical competency across the evaluation methods they will employ:</w:t>
      </w:r>
    </w:p>
    <w:p>
      <w:pPr>
        <w:pStyle w:val="Heading3"/>
      </w:pPr>
      <w:r>
        <w:t xml:space="preserve">3.3.1 Evaluator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80"/>
        <w:gridCol w:w="2380"/>
      </w:tblGrid>
      <w:tr>
        <w:tc>
          <w:tcPr>
            <w:tcW w:type="dxa" w:w="22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Qualification Area</w:t>
            </w:r>
          </w:p>
        </w:tc>
        <w:tc>
          <w:tcPr>
            <w:tcW w:type="dxa" w:w="22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1 AVB</w:t>
            </w:r>
          </w:p>
        </w:tc>
        <w:tc>
          <w:tcPr>
            <w:tcW w:type="dxa" w:w="258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2 AVB</w:t>
            </w:r>
          </w:p>
        </w:tc>
        <w:tc>
          <w:tcPr>
            <w:tcW w:type="dxa" w:w="238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3 AVB</w:t>
            </w:r>
          </w:p>
        </w:tc>
      </w:tr>
      <w:tr>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Minimum evaluators</w:t>
            </w:r>
          </w:p>
        </w:tc>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qualified</w:t>
            </w:r>
          </w:p>
        </w:tc>
        <w:tc>
          <w:tcPr>
            <w:tcW w:type="dxa" w:w="25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 qualified</w:t>
            </w:r>
          </w:p>
        </w:tc>
        <w:tc>
          <w:tcPr>
            <w:tcW w:type="dxa" w:w="23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 qualified</w:t>
            </w:r>
          </w:p>
        </w:tc>
      </w:tr>
      <w:tr>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AT competency</w:t>
            </w:r>
          </w:p>
        </w:tc>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Automated testing methodology; test environment management; evidence collection</w:t>
            </w:r>
          </w:p>
        </w:tc>
        <w:tc>
          <w:tcPr>
            <w:tcW w:type="dxa" w:w="25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Level 1 plus: adversarial test suite execution; stress test methodology</w:t>
            </w:r>
          </w:p>
        </w:tc>
        <w:tc>
          <w:tcPr>
            <w:tcW w:type="dxa" w:w="23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Level 2 plus: advanced adversarial automation; multi-system evaluation</w:t>
            </w:r>
          </w:p>
        </w:tc>
      </w:tr>
      <w:tr>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HS competency</w:t>
            </w:r>
          </w:p>
        </w:tc>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Not required</w:t>
            </w:r>
          </w:p>
        </w:tc>
        <w:tc>
          <w:tcPr>
            <w:tcW w:type="dxa" w:w="25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Social engineering simulation; multi-turn manipulation testing; 3+ years relevant experience</w:t>
            </w:r>
          </w:p>
        </w:tc>
        <w:tc>
          <w:tcPr>
            <w:tcW w:type="dxa" w:w="23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Level 2 plus: red team leadership; novel attack development</w:t>
            </w:r>
          </w:p>
        </w:tc>
      </w:tr>
      <w:tr>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EI competency</w:t>
            </w:r>
          </w:p>
        </w:tc>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Documentation review; architecture assessment; governance audit</w:t>
            </w:r>
          </w:p>
        </w:tc>
        <w:tc>
          <w:tcPr>
            <w:tcW w:type="dxa" w:w="25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Level 1 plus: security architecture review; regulatory compliance mapping</w:t>
            </w:r>
          </w:p>
        </w:tc>
        <w:tc>
          <w:tcPr>
            <w:tcW w:type="dxa" w:w="23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Level 2 plus: safety-critical systems assessment; physical systems expertise (if applicable)</w:t>
            </w:r>
          </w:p>
        </w:tc>
      </w:tr>
      <w:tr>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CM competency</w:t>
            </w:r>
          </w:p>
        </w:tc>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Telemetry review; drift analysis basics</w:t>
            </w:r>
          </w:p>
        </w:tc>
        <w:tc>
          <w:tcPr>
            <w:tcW w:type="dxa" w:w="25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Level 1 plus: statistical drift detection; anomaly detection configuration</w:t>
            </w:r>
          </w:p>
        </w:tc>
        <w:tc>
          <w:tcPr>
            <w:tcW w:type="dxa" w:w="23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Level 2 plus: predictive drift analysis; cross-system correlation</w:t>
            </w:r>
          </w:p>
        </w:tc>
      </w:tr>
      <w:tr>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Certifications (recommended)</w:t>
            </w:r>
          </w:p>
        </w:tc>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CISA, ISO 27001 Lead Auditor, or equivalent</w:t>
            </w:r>
          </w:p>
        </w:tc>
        <w:tc>
          <w:tcPr>
            <w:tcW w:type="dxa" w:w="25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Level 1 plus: OSCP, GPEN, CISSP, or equivalent</w:t>
            </w:r>
          </w:p>
        </w:tc>
        <w:tc>
          <w:tcPr>
            <w:tcW w:type="dxa" w:w="23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Level 2 plus: domain-specific safety certifications (e.g., CFSE for IEC 61508)</w:t>
            </w:r>
          </w:p>
        </w:tc>
      </w:tr>
    </w:tbl>
    <w:p>
      <w:pPr>
        <w:spacing w:after="200"/>
      </w:pPr>
    </w:p>
    <w:p>
      <w:pPr>
        <w:pStyle w:val="Heading3"/>
      </w:pPr>
      <w:r>
        <w:t xml:space="preserve">3.3.2 Technical Infrastructure</w:t>
      </w:r>
    </w:p>
    <w:p>
      <w:pPr>
        <w:pStyle w:val="ListParagraph"/>
        <w:numPr>
          <w:ilvl w:val="0"/>
          <w:numId w:val="2"/>
        </w:numPr>
        <w:spacing w:after="80"/>
      </w:pPr>
      <w:r>
        <w:rPr>
          <w:rFonts w:ascii="Arial" w:cs="Arial" w:eastAsia="Arial" w:hAnsi="Arial"/>
          <w:sz w:val="22"/>
          <w:szCs w:val="22"/>
        </w:rPr>
        <w:t xml:space="preserve">Isolated test environments capable of running automated evaluation suites without interference to production systems.</w:t>
      </w:r>
    </w:p>
    <w:p>
      <w:pPr>
        <w:pStyle w:val="ListParagraph"/>
        <w:numPr>
          <w:ilvl w:val="0"/>
          <w:numId w:val="2"/>
        </w:numPr>
        <w:spacing w:after="80"/>
      </w:pPr>
      <w:r>
        <w:rPr>
          <w:rFonts w:ascii="Arial" w:cs="Arial" w:eastAsia="Arial" w:hAnsi="Arial"/>
          <w:sz w:val="22"/>
          <w:szCs w:val="22"/>
        </w:rPr>
        <w:t xml:space="preserve">Secure evidence storage with tamper-evident controls, access logging, and retention management.</w:t>
      </w:r>
    </w:p>
    <w:p>
      <w:pPr>
        <w:pStyle w:val="ListParagraph"/>
        <w:numPr>
          <w:ilvl w:val="0"/>
          <w:numId w:val="2"/>
        </w:numPr>
        <w:spacing w:after="80"/>
      </w:pPr>
      <w:r>
        <w:rPr>
          <w:rFonts w:ascii="Arial" w:cs="Arial" w:eastAsia="Arial" w:hAnsi="Arial"/>
          <w:sz w:val="22"/>
          <w:szCs w:val="22"/>
        </w:rPr>
        <w:t xml:space="preserve">Encrypted communication channels for evaluation data exchange with organizations under evaluation and with ARAF.</w:t>
      </w:r>
    </w:p>
    <w:p>
      <w:pPr>
        <w:pStyle w:val="ListParagraph"/>
        <w:numPr>
          <w:ilvl w:val="0"/>
          <w:numId w:val="2"/>
        </w:numPr>
        <w:spacing w:after="80"/>
      </w:pPr>
      <w:r>
        <w:rPr>
          <w:rFonts w:ascii="Arial" w:cs="Arial" w:eastAsia="Arial" w:hAnsi="Arial"/>
          <w:sz w:val="22"/>
          <w:szCs w:val="22"/>
        </w:rPr>
        <w:t xml:space="preserve">Integration capability with the ARAF platform for report submission, evidence upload, and status tracking.</w:t>
      </w:r>
    </w:p>
    <w:p>
      <w:pPr>
        <w:pStyle w:val="Heading2"/>
      </w:pPr>
      <w:r>
        <w:t xml:space="preserve">3.4 Operational Capacity</w:t>
      </w:r>
    </w:p>
    <w:p>
      <w:pPr>
        <w:pStyle w:val="ListParagraph"/>
        <w:numPr>
          <w:ilvl w:val="0"/>
          <w:numId w:val="2"/>
        </w:numPr>
        <w:spacing w:after="80"/>
      </w:pPr>
      <w:r>
        <w:rPr>
          <w:rFonts w:ascii="Arial" w:cs="Arial" w:eastAsia="Arial" w:hAnsi="Arial"/>
          <w:sz w:val="22"/>
          <w:szCs w:val="22"/>
        </w:rPr>
        <w:t xml:space="preserve">The AVB must demonstrate capacity to complete evaluations within timelines agreed with the organization under evaluation and communicated to ARAF.</w:t>
      </w:r>
    </w:p>
    <w:p>
      <w:pPr>
        <w:pStyle w:val="ListParagraph"/>
        <w:numPr>
          <w:ilvl w:val="0"/>
          <w:numId w:val="2"/>
        </w:numPr>
        <w:spacing w:after="80"/>
      </w:pPr>
      <w:r>
        <w:rPr>
          <w:rFonts w:ascii="Arial" w:cs="Arial" w:eastAsia="Arial" w:hAnsi="Arial"/>
          <w:sz w:val="22"/>
          <w:szCs w:val="22"/>
        </w:rPr>
        <w:t xml:space="preserve">Evaluation teams must include a minimum of two qualified evaluators for every engagement (no single-evaluator assessments).</w:t>
      </w:r>
    </w:p>
    <w:p>
      <w:pPr>
        <w:pStyle w:val="ListParagraph"/>
        <w:numPr>
          <w:ilvl w:val="0"/>
          <w:numId w:val="2"/>
        </w:numPr>
        <w:spacing w:after="80"/>
      </w:pPr>
      <w:r>
        <w:rPr>
          <w:rFonts w:ascii="Arial" w:cs="Arial" w:eastAsia="Arial" w:hAnsi="Arial"/>
          <w:sz w:val="22"/>
          <w:szCs w:val="22"/>
        </w:rPr>
        <w:t xml:space="preserve">The AVB must maintain a documented resource planning process ensuring adequate staffing for accepted engagements.</w:t>
      </w:r>
    </w:p>
    <w:p>
      <w:pPr>
        <w:pStyle w:val="ListParagraph"/>
        <w:numPr>
          <w:ilvl w:val="0"/>
          <w:numId w:val="2"/>
        </w:numPr>
        <w:spacing w:after="80"/>
      </w:pPr>
      <w:r>
        <w:rPr>
          <w:rFonts w:ascii="Arial" w:cs="Arial" w:eastAsia="Arial" w:hAnsi="Arial"/>
          <w:sz w:val="22"/>
          <w:szCs w:val="22"/>
        </w:rPr>
        <w:t xml:space="preserve">Peak workload management procedures must be documented, including policies for declining engagements when capacity is insufficient.</w:t>
      </w:r>
    </w:p>
    <w:p>
      <w:pPr>
        <w:pStyle w:val="Heading2"/>
      </w:pPr>
      <w:r>
        <w:t xml:space="preserve">3.5 Quality Management</w:t>
      </w:r>
    </w:p>
    <w:p>
      <w:pPr>
        <w:spacing w:after="120"/>
      </w:pPr>
      <w:r>
        <w:rPr>
          <w:rFonts w:ascii="Arial" w:cs="Arial" w:eastAsia="Arial" w:hAnsi="Arial"/>
          <w:sz w:val="22"/>
          <w:szCs w:val="22"/>
        </w:rPr>
        <w:t xml:space="preserve">AVBs must implement and maintain a quality management system (QMS) that covers:</w:t>
      </w:r>
    </w:p>
    <w:p>
      <w:pPr>
        <w:pStyle w:val="ListParagraph"/>
        <w:numPr>
          <w:ilvl w:val="0"/>
          <w:numId w:val="3"/>
        </w:numPr>
        <w:spacing w:after="80"/>
      </w:pPr>
      <w:r>
        <w:rPr>
          <w:rFonts w:ascii="Arial" w:cs="Arial" w:eastAsia="Arial" w:hAnsi="Arial"/>
          <w:sz w:val="22"/>
          <w:szCs w:val="22"/>
        </w:rPr>
        <w:t xml:space="preserve">Evaluation process documentation aligned with the ARAF Evaluation Methodology Guide.</w:t>
      </w:r>
    </w:p>
    <w:p>
      <w:pPr>
        <w:pStyle w:val="ListParagraph"/>
        <w:numPr>
          <w:ilvl w:val="0"/>
          <w:numId w:val="3"/>
        </w:numPr>
        <w:spacing w:after="80"/>
      </w:pPr>
      <w:r>
        <w:rPr>
          <w:rFonts w:ascii="Arial" w:cs="Arial" w:eastAsia="Arial" w:hAnsi="Arial"/>
          <w:sz w:val="22"/>
          <w:szCs w:val="22"/>
        </w:rPr>
        <w:t xml:space="preserve">Internal quality review procedures including peer review of evaluation reports before submission.</w:t>
      </w:r>
    </w:p>
    <w:p>
      <w:pPr>
        <w:pStyle w:val="ListParagraph"/>
        <w:numPr>
          <w:ilvl w:val="0"/>
          <w:numId w:val="3"/>
        </w:numPr>
        <w:spacing w:after="80"/>
      </w:pPr>
      <w:r>
        <w:rPr>
          <w:rFonts w:ascii="Arial" w:cs="Arial" w:eastAsia="Arial" w:hAnsi="Arial"/>
          <w:sz w:val="22"/>
          <w:szCs w:val="22"/>
        </w:rPr>
        <w:t xml:space="preserve">Non-conformity management procedures for identifying, documenting, and correcting quality issues.</w:t>
      </w:r>
    </w:p>
    <w:p>
      <w:pPr>
        <w:pStyle w:val="ListParagraph"/>
        <w:numPr>
          <w:ilvl w:val="0"/>
          <w:numId w:val="3"/>
        </w:numPr>
        <w:spacing w:after="80"/>
      </w:pPr>
      <w:r>
        <w:rPr>
          <w:rFonts w:ascii="Arial" w:cs="Arial" w:eastAsia="Arial" w:hAnsi="Arial"/>
          <w:sz w:val="22"/>
          <w:szCs w:val="22"/>
        </w:rPr>
        <w:t xml:space="preserve">Continuous improvement processes driven by internal review findings, ARAF feedback, and calibration exercise results.</w:t>
      </w:r>
    </w:p>
    <w:p>
      <w:pPr>
        <w:pStyle w:val="ListParagraph"/>
        <w:numPr>
          <w:ilvl w:val="0"/>
          <w:numId w:val="3"/>
        </w:numPr>
        <w:spacing w:after="80"/>
      </w:pPr>
      <w:r>
        <w:rPr>
          <w:rFonts w:ascii="Arial" w:cs="Arial" w:eastAsia="Arial" w:hAnsi="Arial"/>
          <w:sz w:val="22"/>
          <w:szCs w:val="22"/>
        </w:rPr>
        <w:t xml:space="preserve">Document control procedures ensuring evaluators use current versions of the ACR Control Matrix, Evaluation Methodology Guide, and ARAF templates.</w:t>
      </w:r>
    </w:p>
    <w:p>
      <w:pPr>
        <w:spacing w:after="120"/>
      </w:pPr>
      <w:r>
        <w:rPr>
          <w:rFonts w:ascii="Arial" w:cs="Arial" w:eastAsia="Arial" w:hAnsi="Arial"/>
          <w:sz w:val="22"/>
          <w:szCs w:val="22"/>
        </w:rPr>
        <w:t xml:space="preserve">AVBs with existing ISO 9001, ISO/IEC 17025, or ISO/IEC 17065 certification may reference those systems, provided they demonstrate coverage of ARA-specific requirements. Existing certifications do not automatically satisfy AVB quality requirements but are considered favorably during assessment.</w:t>
      </w:r>
    </w:p>
    <w:p>
      <w:pPr>
        <w:pStyle w:val="Heading2"/>
      </w:pPr>
      <w:r>
        <w:t xml:space="preserve">3.6 Insurance and Liability</w:t>
      </w:r>
    </w:p>
    <w:p>
      <w:pPr>
        <w:pStyle w:val="ListParagraph"/>
        <w:numPr>
          <w:ilvl w:val="0"/>
          <w:numId w:val="2"/>
        </w:numPr>
        <w:spacing w:after="80"/>
      </w:pPr>
      <w:r>
        <w:rPr>
          <w:rFonts w:ascii="Arial" w:cs="Arial" w:eastAsia="Arial" w:hAnsi="Arial"/>
          <w:sz w:val="22"/>
          <w:szCs w:val="22"/>
        </w:rPr>
        <w:t xml:space="preserve">Professional indemnity insurance with minimum coverage of $2 million per claim and $5 million aggregate.</w:t>
      </w:r>
    </w:p>
    <w:p>
      <w:pPr>
        <w:pStyle w:val="ListParagraph"/>
        <w:numPr>
          <w:ilvl w:val="0"/>
          <w:numId w:val="2"/>
        </w:numPr>
        <w:spacing w:after="80"/>
      </w:pPr>
      <w:r>
        <w:rPr>
          <w:rFonts w:ascii="Arial" w:cs="Arial" w:eastAsia="Arial" w:hAnsi="Arial"/>
          <w:sz w:val="22"/>
          <w:szCs w:val="22"/>
        </w:rPr>
        <w:t xml:space="preserve">Errors and omissions coverage specifically addressing evaluation and certification advisory services.</w:t>
      </w:r>
    </w:p>
    <w:p>
      <w:pPr>
        <w:pStyle w:val="ListParagraph"/>
        <w:numPr>
          <w:ilvl w:val="0"/>
          <w:numId w:val="2"/>
        </w:numPr>
        <w:spacing w:after="80"/>
      </w:pPr>
      <w:r>
        <w:rPr>
          <w:rFonts w:ascii="Arial" w:cs="Arial" w:eastAsia="Arial" w:hAnsi="Arial"/>
          <w:sz w:val="22"/>
          <w:szCs w:val="22"/>
        </w:rPr>
        <w:t xml:space="preserve">Insurance coverage must be maintained throughout the authorization period and evidence of coverage provided at application and each renewal.</w:t>
      </w:r>
    </w:p>
    <w:p>
      <w:pPr>
        <w:pStyle w:val="ListParagraph"/>
        <w:numPr>
          <w:ilvl w:val="0"/>
          <w:numId w:val="2"/>
        </w:numPr>
        <w:spacing w:after="80"/>
      </w:pPr>
      <w:r>
        <w:rPr>
          <w:rFonts w:ascii="Arial" w:cs="Arial" w:eastAsia="Arial" w:hAnsi="Arial"/>
          <w:sz w:val="22"/>
          <w:szCs w:val="22"/>
        </w:rPr>
        <w:t xml:space="preserve">The AVB must indemnify ARAF against claims arising from negligent evaluation, provided ARAF's certification decision was based on the AVB's evaluation report.</w:t>
      </w:r>
    </w:p>
    <w:p>
      <w:pPr>
        <w:pStyle w:val="Heading2"/>
      </w:pPr>
      <w:r>
        <w:t xml:space="preserve">3.7 Confidentiality and Data Protection</w:t>
      </w:r>
    </w:p>
    <w:p>
      <w:pPr>
        <w:pStyle w:val="ListParagraph"/>
        <w:numPr>
          <w:ilvl w:val="0"/>
          <w:numId w:val="2"/>
        </w:numPr>
        <w:spacing w:after="80"/>
      </w:pPr>
      <w:r>
        <w:rPr>
          <w:rFonts w:ascii="Arial" w:cs="Arial" w:eastAsia="Arial" w:hAnsi="Arial"/>
          <w:sz w:val="22"/>
          <w:szCs w:val="22"/>
        </w:rPr>
        <w:t xml:space="preserve">The AVB must implement confidentiality controls protecting all information received from organizations under evaluation.</w:t>
      </w:r>
    </w:p>
    <w:p>
      <w:pPr>
        <w:pStyle w:val="ListParagraph"/>
        <w:numPr>
          <w:ilvl w:val="0"/>
          <w:numId w:val="2"/>
        </w:numPr>
        <w:spacing w:after="80"/>
      </w:pPr>
      <w:r>
        <w:rPr>
          <w:rFonts w:ascii="Arial" w:cs="Arial" w:eastAsia="Arial" w:hAnsi="Arial"/>
          <w:sz w:val="22"/>
          <w:szCs w:val="22"/>
        </w:rPr>
        <w:t xml:space="preserve">Evaluation data, system architecture details, and evidence artifacts are classified as confidential and may not be disclosed to any third party without the written consent of the organization under evaluation and ARAF.</w:t>
      </w:r>
    </w:p>
    <w:p>
      <w:pPr>
        <w:pStyle w:val="ListParagraph"/>
        <w:numPr>
          <w:ilvl w:val="0"/>
          <w:numId w:val="2"/>
        </w:numPr>
        <w:spacing w:after="80"/>
      </w:pPr>
      <w:r>
        <w:rPr>
          <w:rFonts w:ascii="Arial" w:cs="Arial" w:eastAsia="Arial" w:hAnsi="Arial"/>
          <w:sz w:val="22"/>
          <w:szCs w:val="22"/>
        </w:rPr>
        <w:t xml:space="preserve">Staff confidentiality agreements must be in place for all personnel involved in evaluation activities.</w:t>
      </w:r>
    </w:p>
    <w:p>
      <w:pPr>
        <w:pStyle w:val="ListParagraph"/>
        <w:numPr>
          <w:ilvl w:val="0"/>
          <w:numId w:val="2"/>
        </w:numPr>
        <w:spacing w:after="80"/>
      </w:pPr>
      <w:r>
        <w:rPr>
          <w:rFonts w:ascii="Arial" w:cs="Arial" w:eastAsia="Arial" w:hAnsi="Arial"/>
          <w:sz w:val="22"/>
          <w:szCs w:val="22"/>
        </w:rPr>
        <w:t xml:space="preserve">Data protection practices must comply with applicable privacy regulations (GDPR, CCPA, etc.) in all jurisdictions where the AVB operates.</w:t>
      </w:r>
    </w:p>
    <w:p>
      <w:pPr>
        <w:pStyle w:val="ListParagraph"/>
        <w:numPr>
          <w:ilvl w:val="0"/>
          <w:numId w:val="2"/>
        </w:numPr>
        <w:spacing w:after="80"/>
      </w:pPr>
      <w:r>
        <w:rPr>
          <w:rFonts w:ascii="Arial" w:cs="Arial" w:eastAsia="Arial" w:hAnsi="Arial"/>
          <w:sz w:val="22"/>
          <w:szCs w:val="22"/>
        </w:rPr>
        <w:t xml:space="preserve">Data retention and destruction procedures must be documented and followed, with evaluation data retained for the minimum period specified in the Evaluation Methodology Guide and securely destroyed thereafter.</w:t>
      </w:r>
    </w:p>
    <w:p>
      <w:r>
        <w:br w:type="page"/>
      </w:r>
    </w:p>
    <w:p>
      <w:pPr>
        <w:pStyle w:val="Heading1"/>
      </w:pPr>
      <w:r>
        <w:t xml:space="preserve">Article 4 — Application Process</w:t>
      </w:r>
    </w:p>
    <w:p>
      <w:pPr>
        <w:pStyle w:val="Heading2"/>
      </w:pPr>
      <w:r>
        <w:t xml:space="preserve">4.1 Pre-Application</w:t>
      </w:r>
    </w:p>
    <w:p>
      <w:pPr>
        <w:spacing w:after="120"/>
      </w:pPr>
      <w:r>
        <w:rPr>
          <w:rFonts w:ascii="Arial" w:cs="Arial" w:eastAsia="Arial" w:hAnsi="Arial"/>
          <w:sz w:val="22"/>
          <w:szCs w:val="22"/>
        </w:rPr>
        <w:t xml:space="preserve">Organizations considering AVB application are encouraged to:</w:t>
      </w:r>
    </w:p>
    <w:p>
      <w:pPr>
        <w:pStyle w:val="ListParagraph"/>
        <w:numPr>
          <w:ilvl w:val="0"/>
          <w:numId w:val="3"/>
        </w:numPr>
        <w:spacing w:after="80"/>
      </w:pPr>
      <w:r>
        <w:rPr>
          <w:rFonts w:ascii="Arial" w:cs="Arial" w:eastAsia="Arial" w:hAnsi="Arial"/>
          <w:sz w:val="22"/>
          <w:szCs w:val="22"/>
        </w:rPr>
        <w:t xml:space="preserve">Review this guide, the ARA Standard, and the Evaluation Methodology Guide in full.</w:t>
      </w:r>
    </w:p>
    <w:p>
      <w:pPr>
        <w:pStyle w:val="ListParagraph"/>
        <w:numPr>
          <w:ilvl w:val="0"/>
          <w:numId w:val="3"/>
        </w:numPr>
        <w:spacing w:after="80"/>
      </w:pPr>
      <w:r>
        <w:rPr>
          <w:rFonts w:ascii="Arial" w:cs="Arial" w:eastAsia="Arial" w:hAnsi="Arial"/>
          <w:sz w:val="22"/>
          <w:szCs w:val="22"/>
        </w:rPr>
        <w:t xml:space="preserve">Conduct a self-assessment against the authorization requirements in Article 3.</w:t>
      </w:r>
    </w:p>
    <w:p>
      <w:pPr>
        <w:pStyle w:val="ListParagraph"/>
        <w:numPr>
          <w:ilvl w:val="0"/>
          <w:numId w:val="3"/>
        </w:numPr>
        <w:spacing w:after="80"/>
      </w:pPr>
      <w:r>
        <w:rPr>
          <w:rFonts w:ascii="Arial" w:cs="Arial" w:eastAsia="Arial" w:hAnsi="Arial"/>
          <w:sz w:val="22"/>
          <w:szCs w:val="22"/>
        </w:rPr>
        <w:t xml:space="preserve">Contact the ARAF AVB Program Office for a preliminary consultation (optional but recommended). The consultation provides informal guidance on readiness and is not a pre-commitment by either party.</w:t>
      </w:r>
    </w:p>
    <w:p>
      <w:pPr>
        <w:pStyle w:val="ListParagraph"/>
        <w:numPr>
          <w:ilvl w:val="0"/>
          <w:numId w:val="3"/>
        </w:numPr>
        <w:spacing w:after="80"/>
      </w:pPr>
      <w:r>
        <w:rPr>
          <w:rFonts w:ascii="Arial" w:cs="Arial" w:eastAsia="Arial" w:hAnsi="Arial"/>
          <w:sz w:val="22"/>
          <w:szCs w:val="22"/>
        </w:rPr>
        <w:t xml:space="preserve">Identify and address any gaps in qualifications, infrastructure, or quality management before formal application.</w:t>
      </w:r>
    </w:p>
    <w:p>
      <w:pPr>
        <w:pStyle w:val="Heading2"/>
      </w:pPr>
      <w:r>
        <w:t xml:space="preserve">4.2 Application Submission</w:t>
      </w:r>
    </w:p>
    <w:p>
      <w:pPr>
        <w:spacing w:after="120"/>
      </w:pPr>
      <w:r>
        <w:rPr>
          <w:rFonts w:ascii="Arial" w:cs="Arial" w:eastAsia="Arial" w:hAnsi="Arial"/>
          <w:sz w:val="22"/>
          <w:szCs w:val="22"/>
        </w:rPr>
        <w:t xml:space="preserve">Formal applications are submitted to the ARAF AVB Program Office and must include:</w:t>
      </w:r>
    </w:p>
    <w:p>
      <w:pPr>
        <w:pStyle w:val="ListParagraph"/>
        <w:numPr>
          <w:ilvl w:val="0"/>
          <w:numId w:val="3"/>
        </w:numPr>
        <w:spacing w:after="80"/>
      </w:pPr>
      <w:r>
        <w:rPr>
          <w:rFonts w:ascii="Arial" w:cs="Arial" w:eastAsia="Arial" w:hAnsi="Arial"/>
          <w:sz w:val="22"/>
          <w:szCs w:val="22"/>
        </w:rPr>
        <w:t xml:space="preserve">Completed AVB Application Form (standard form provided by ARAF).</w:t>
      </w:r>
    </w:p>
    <w:p>
      <w:pPr>
        <w:pStyle w:val="ListParagraph"/>
        <w:numPr>
          <w:ilvl w:val="0"/>
          <w:numId w:val="3"/>
        </w:numPr>
        <w:spacing w:after="80"/>
      </w:pPr>
      <w:r>
        <w:rPr>
          <w:rFonts w:ascii="Arial" w:cs="Arial" w:eastAsia="Arial" w:hAnsi="Arial"/>
          <w:sz w:val="22"/>
          <w:szCs w:val="22"/>
        </w:rPr>
        <w:t xml:space="preserve">Organizational documentation: legal entity registration, governance structure, ownership disclosure.</w:t>
      </w:r>
    </w:p>
    <w:p>
      <w:pPr>
        <w:pStyle w:val="ListParagraph"/>
        <w:numPr>
          <w:ilvl w:val="0"/>
          <w:numId w:val="3"/>
        </w:numPr>
        <w:spacing w:after="80"/>
      </w:pPr>
      <w:r>
        <w:rPr>
          <w:rFonts w:ascii="Arial" w:cs="Arial" w:eastAsia="Arial" w:hAnsi="Arial"/>
          <w:sz w:val="22"/>
          <w:szCs w:val="22"/>
        </w:rPr>
        <w:t xml:space="preserve">Financial stability evidence: audited financial statements for the prior 2 fiscal years, or reviewed statements with bank reference for organizations less than 3 years old.</w:t>
      </w:r>
    </w:p>
    <w:p>
      <w:pPr>
        <w:pStyle w:val="ListParagraph"/>
        <w:numPr>
          <w:ilvl w:val="0"/>
          <w:numId w:val="3"/>
        </w:numPr>
        <w:spacing w:after="80"/>
      </w:pPr>
      <w:r>
        <w:rPr>
          <w:rFonts w:ascii="Arial" w:cs="Arial" w:eastAsia="Arial" w:hAnsi="Arial"/>
          <w:sz w:val="22"/>
          <w:szCs w:val="22"/>
        </w:rPr>
        <w:t xml:space="preserve">Technical competency evidence: evaluator CVs with qualifications, certifications, and relevant experience.</w:t>
      </w:r>
    </w:p>
    <w:p>
      <w:pPr>
        <w:pStyle w:val="ListParagraph"/>
        <w:numPr>
          <w:ilvl w:val="0"/>
          <w:numId w:val="3"/>
        </w:numPr>
        <w:spacing w:after="80"/>
      </w:pPr>
      <w:r>
        <w:rPr>
          <w:rFonts w:ascii="Arial" w:cs="Arial" w:eastAsia="Arial" w:hAnsi="Arial"/>
          <w:sz w:val="22"/>
          <w:szCs w:val="22"/>
        </w:rPr>
        <w:t xml:space="preserve">Quality management system documentation: QMS manual or equivalent, aligned with requirements in Article 3.5.</w:t>
      </w:r>
    </w:p>
    <w:p>
      <w:pPr>
        <w:pStyle w:val="ListParagraph"/>
        <w:numPr>
          <w:ilvl w:val="0"/>
          <w:numId w:val="3"/>
        </w:numPr>
        <w:spacing w:after="80"/>
      </w:pPr>
      <w:r>
        <w:rPr>
          <w:rFonts w:ascii="Arial" w:cs="Arial" w:eastAsia="Arial" w:hAnsi="Arial"/>
          <w:sz w:val="22"/>
          <w:szCs w:val="22"/>
        </w:rPr>
        <w:t xml:space="preserve">Technical infrastructure description: test environment capabilities, evidence storage, communication security.</w:t>
      </w:r>
    </w:p>
    <w:p>
      <w:pPr>
        <w:pStyle w:val="ListParagraph"/>
        <w:numPr>
          <w:ilvl w:val="0"/>
          <w:numId w:val="3"/>
        </w:numPr>
        <w:spacing w:after="80"/>
      </w:pPr>
      <w:r>
        <w:rPr>
          <w:rFonts w:ascii="Arial" w:cs="Arial" w:eastAsia="Arial" w:hAnsi="Arial"/>
          <w:sz w:val="22"/>
          <w:szCs w:val="22"/>
        </w:rPr>
        <w:t xml:space="preserve">Insurance certificates: current professional indemnity and E&amp;O coverage documentation.</w:t>
      </w:r>
    </w:p>
    <w:p>
      <w:pPr>
        <w:pStyle w:val="ListParagraph"/>
        <w:numPr>
          <w:ilvl w:val="0"/>
          <w:numId w:val="3"/>
        </w:numPr>
        <w:spacing w:after="80"/>
      </w:pPr>
      <w:r>
        <w:rPr>
          <w:rFonts w:ascii="Arial" w:cs="Arial" w:eastAsia="Arial" w:hAnsi="Arial"/>
          <w:sz w:val="22"/>
          <w:szCs w:val="22"/>
        </w:rPr>
        <w:t xml:space="preserve">Conflict of interest policy: documented organizational COI policy.</w:t>
      </w:r>
    </w:p>
    <w:p>
      <w:pPr>
        <w:pStyle w:val="ListParagraph"/>
        <w:numPr>
          <w:ilvl w:val="0"/>
          <w:numId w:val="3"/>
        </w:numPr>
        <w:spacing w:after="80"/>
      </w:pPr>
      <w:r>
        <w:rPr>
          <w:rFonts w:ascii="Arial" w:cs="Arial" w:eastAsia="Arial" w:hAnsi="Arial"/>
          <w:sz w:val="22"/>
          <w:szCs w:val="22"/>
        </w:rPr>
        <w:t xml:space="preserve">Confidentiality and data protection policies.</w:t>
      </w:r>
    </w:p>
    <w:p>
      <w:pPr>
        <w:pStyle w:val="ListParagraph"/>
        <w:numPr>
          <w:ilvl w:val="0"/>
          <w:numId w:val="3"/>
        </w:numPr>
        <w:spacing w:after="80"/>
      </w:pPr>
      <w:r>
        <w:rPr>
          <w:rFonts w:ascii="Arial" w:cs="Arial" w:eastAsia="Arial" w:hAnsi="Arial"/>
          <w:sz w:val="22"/>
          <w:szCs w:val="22"/>
        </w:rPr>
        <w:t xml:space="preserve">Management commitment statement signed by an officer of the organization.</w:t>
      </w:r>
    </w:p>
    <w:p>
      <w:pPr>
        <w:pStyle w:val="ListParagraph"/>
        <w:numPr>
          <w:ilvl w:val="0"/>
          <w:numId w:val="3"/>
        </w:numPr>
        <w:spacing w:after="80"/>
      </w:pPr>
      <w:r>
        <w:rPr>
          <w:rFonts w:ascii="Arial" w:cs="Arial" w:eastAsia="Arial" w:hAnsi="Arial"/>
          <w:sz w:val="22"/>
          <w:szCs w:val="22"/>
        </w:rPr>
        <w:t xml:space="preserve">Requested authorization level (Level 1, 2, or 3) with justification.</w:t>
      </w:r>
    </w:p>
    <w:p>
      <w:pPr>
        <w:pStyle w:val="ListParagraph"/>
        <w:numPr>
          <w:ilvl w:val="0"/>
          <w:numId w:val="3"/>
        </w:numPr>
        <w:spacing w:after="80"/>
      </w:pPr>
      <w:r>
        <w:rPr>
          <w:rFonts w:ascii="Arial" w:cs="Arial" w:eastAsia="Arial" w:hAnsi="Arial"/>
          <w:sz w:val="22"/>
          <w:szCs w:val="22"/>
        </w:rPr>
        <w:t xml:space="preserve">Application fee (fee schedule published separately by ARAF).</w:t>
      </w:r>
    </w:p>
    <w:p>
      <w:pPr>
        <w:pStyle w:val="Heading2"/>
      </w:pPr>
      <w:r>
        <w:t xml:space="preserve">4.3 Application Review</w:t>
      </w:r>
    </w:p>
    <w:p>
      <w:pPr>
        <w:spacing w:after="120"/>
      </w:pPr>
      <w:r>
        <w:rPr>
          <w:rFonts w:ascii="Arial" w:cs="Arial" w:eastAsia="Arial" w:hAnsi="Arial"/>
          <w:sz w:val="22"/>
          <w:szCs w:val="22"/>
        </w:rPr>
        <w:t xml:space="preserve">The ARAF AVB Program Office reviews applications in two stages:</w:t>
      </w:r>
    </w:p>
    <w:p>
      <w:pPr>
        <w:pStyle w:val="Heading3"/>
      </w:pPr>
      <w:r>
        <w:t xml:space="preserve">4.3.1 Administrative Review (Weeks 1–2)</w:t>
      </w:r>
    </w:p>
    <w:p>
      <w:pPr>
        <w:pStyle w:val="ListParagraph"/>
        <w:numPr>
          <w:ilvl w:val="0"/>
          <w:numId w:val="2"/>
        </w:numPr>
        <w:spacing w:after="80"/>
      </w:pPr>
      <w:r>
        <w:rPr>
          <w:rFonts w:ascii="Arial" w:cs="Arial" w:eastAsia="Arial" w:hAnsi="Arial"/>
          <w:sz w:val="22"/>
          <w:szCs w:val="22"/>
        </w:rPr>
        <w:t xml:space="preserve">Completeness check: All required documents present and current.</w:t>
      </w:r>
    </w:p>
    <w:p>
      <w:pPr>
        <w:pStyle w:val="ListParagraph"/>
        <w:numPr>
          <w:ilvl w:val="0"/>
          <w:numId w:val="2"/>
        </w:numPr>
        <w:spacing w:after="80"/>
      </w:pPr>
      <w:r>
        <w:rPr>
          <w:rFonts w:ascii="Arial" w:cs="Arial" w:eastAsia="Arial" w:hAnsi="Arial"/>
          <w:sz w:val="22"/>
          <w:szCs w:val="22"/>
        </w:rPr>
        <w:t xml:space="preserve">Eligibility screening: Organization meets baseline requirements.</w:t>
      </w:r>
    </w:p>
    <w:p>
      <w:pPr>
        <w:pStyle w:val="ListParagraph"/>
        <w:numPr>
          <w:ilvl w:val="0"/>
          <w:numId w:val="2"/>
        </w:numPr>
        <w:spacing w:after="80"/>
      </w:pPr>
      <w:r>
        <w:rPr>
          <w:rFonts w:ascii="Arial" w:cs="Arial" w:eastAsia="Arial" w:hAnsi="Arial"/>
          <w:sz w:val="22"/>
          <w:szCs w:val="22"/>
        </w:rPr>
        <w:t xml:space="preserve">Conflict screening: No disqualifying conflicts of interest identified.</w:t>
      </w:r>
    </w:p>
    <w:p>
      <w:pPr>
        <w:spacing w:after="120"/>
      </w:pPr>
      <w:r>
        <w:rPr>
          <w:rFonts w:ascii="Arial" w:cs="Arial" w:eastAsia="Arial" w:hAnsi="Arial"/>
          <w:sz w:val="22"/>
          <w:szCs w:val="22"/>
        </w:rPr>
        <w:t xml:space="preserve">Incomplete applications are returned with specific deficiency notices. Applicants may resubmit within 60 days.</w:t>
      </w:r>
    </w:p>
    <w:p>
      <w:pPr>
        <w:pStyle w:val="Heading3"/>
      </w:pPr>
      <w:r>
        <w:t xml:space="preserve">4.3.2 Technical Review (Weeks 3–6)</w:t>
      </w:r>
    </w:p>
    <w:p>
      <w:pPr>
        <w:pStyle w:val="ListParagraph"/>
        <w:numPr>
          <w:ilvl w:val="0"/>
          <w:numId w:val="2"/>
        </w:numPr>
        <w:spacing w:after="80"/>
      </w:pPr>
      <w:r>
        <w:rPr>
          <w:rFonts w:ascii="Arial" w:cs="Arial" w:eastAsia="Arial" w:hAnsi="Arial"/>
          <w:sz w:val="22"/>
          <w:szCs w:val="22"/>
        </w:rPr>
        <w:t xml:space="preserve">Evaluator qualification assessment: Individual competency review against Article 3.3 requirements.</w:t>
      </w:r>
    </w:p>
    <w:p>
      <w:pPr>
        <w:pStyle w:val="ListParagraph"/>
        <w:numPr>
          <w:ilvl w:val="0"/>
          <w:numId w:val="2"/>
        </w:numPr>
        <w:spacing w:after="80"/>
      </w:pPr>
      <w:r>
        <w:rPr>
          <w:rFonts w:ascii="Arial" w:cs="Arial" w:eastAsia="Arial" w:hAnsi="Arial"/>
          <w:sz w:val="22"/>
          <w:szCs w:val="22"/>
        </w:rPr>
        <w:t xml:space="preserve">QMS review: Quality management system adequacy assessment.</w:t>
      </w:r>
    </w:p>
    <w:p>
      <w:pPr>
        <w:pStyle w:val="ListParagraph"/>
        <w:numPr>
          <w:ilvl w:val="0"/>
          <w:numId w:val="2"/>
        </w:numPr>
        <w:spacing w:after="80"/>
      </w:pPr>
      <w:r>
        <w:rPr>
          <w:rFonts w:ascii="Arial" w:cs="Arial" w:eastAsia="Arial" w:hAnsi="Arial"/>
          <w:sz w:val="22"/>
          <w:szCs w:val="22"/>
        </w:rPr>
        <w:t xml:space="preserve">Infrastructure review: Technical capability assessment against Article 3.3.2 requirements.</w:t>
      </w:r>
    </w:p>
    <w:p>
      <w:pPr>
        <w:pStyle w:val="ListParagraph"/>
        <w:numPr>
          <w:ilvl w:val="0"/>
          <w:numId w:val="2"/>
        </w:numPr>
        <w:spacing w:after="80"/>
      </w:pPr>
      <w:r>
        <w:rPr>
          <w:rFonts w:ascii="Arial" w:cs="Arial" w:eastAsia="Arial" w:hAnsi="Arial"/>
          <w:sz w:val="22"/>
          <w:szCs w:val="22"/>
        </w:rPr>
        <w:t xml:space="preserve">Reference checks: Verification of claimed experience and capabilities.</w:t>
      </w:r>
    </w:p>
    <w:p>
      <w:pPr>
        <w:spacing w:after="120"/>
      </w:pPr>
      <w:r>
        <w:rPr>
          <w:rFonts w:ascii="Arial" w:cs="Arial" w:eastAsia="Arial" w:hAnsi="Arial"/>
          <w:sz w:val="22"/>
          <w:szCs w:val="22"/>
        </w:rPr>
        <w:t xml:space="preserve">The technical review may request clarification, additional documentation, or supplemental evidence. Applicants have 30 days to respond to requests.</w:t>
      </w:r>
    </w:p>
    <w:p>
      <w:pPr>
        <w:pStyle w:val="Heading2"/>
      </w:pPr>
      <w:r>
        <w:t xml:space="preserve">4.4 On-Site Assessment</w:t>
      </w:r>
    </w:p>
    <w:p>
      <w:pPr>
        <w:spacing w:after="120"/>
      </w:pPr>
      <w:r>
        <w:rPr>
          <w:rFonts w:ascii="Arial" w:cs="Arial" w:eastAsia="Arial" w:hAnsi="Arial"/>
          <w:sz w:val="22"/>
          <w:szCs w:val="22"/>
        </w:rPr>
        <w:t xml:space="preserve">Following successful technical review, ARAF conducts an on-site assessment of the applicant organization:</w:t>
      </w:r>
    </w:p>
    <w:p>
      <w:pPr>
        <w:pStyle w:val="ListParagraph"/>
        <w:numPr>
          <w:ilvl w:val="0"/>
          <w:numId w:val="3"/>
        </w:numPr>
        <w:spacing w:after="80"/>
      </w:pPr>
      <w:r>
        <w:rPr>
          <w:rFonts w:ascii="Arial" w:cs="Arial" w:eastAsia="Arial" w:hAnsi="Arial"/>
          <w:sz w:val="22"/>
          <w:szCs w:val="22"/>
        </w:rPr>
        <w:t xml:space="preserve">Facility inspection: Test environment verification, evidence storage security, physical security.</w:t>
      </w:r>
    </w:p>
    <w:p>
      <w:pPr>
        <w:pStyle w:val="ListParagraph"/>
        <w:numPr>
          <w:ilvl w:val="0"/>
          <w:numId w:val="3"/>
        </w:numPr>
        <w:spacing w:after="80"/>
      </w:pPr>
      <w:r>
        <w:rPr>
          <w:rFonts w:ascii="Arial" w:cs="Arial" w:eastAsia="Arial" w:hAnsi="Arial"/>
          <w:sz w:val="22"/>
          <w:szCs w:val="22"/>
        </w:rPr>
        <w:t xml:space="preserve">Staff interviews: Direct assessment of evaluator competency through structured interviews and scenario-based questioning.</w:t>
      </w:r>
    </w:p>
    <w:p>
      <w:pPr>
        <w:pStyle w:val="ListParagraph"/>
        <w:numPr>
          <w:ilvl w:val="0"/>
          <w:numId w:val="3"/>
        </w:numPr>
        <w:spacing w:after="80"/>
      </w:pPr>
      <w:r>
        <w:rPr>
          <w:rFonts w:ascii="Arial" w:cs="Arial" w:eastAsia="Arial" w:hAnsi="Arial"/>
          <w:sz w:val="22"/>
          <w:szCs w:val="22"/>
        </w:rPr>
        <w:t xml:space="preserve">QMS verification: Review of quality management implementation, not just documentation.</w:t>
      </w:r>
    </w:p>
    <w:p>
      <w:pPr>
        <w:pStyle w:val="ListParagraph"/>
        <w:numPr>
          <w:ilvl w:val="0"/>
          <w:numId w:val="3"/>
        </w:numPr>
        <w:spacing w:after="80"/>
      </w:pPr>
      <w:r>
        <w:rPr>
          <w:rFonts w:ascii="Arial" w:cs="Arial" w:eastAsia="Arial" w:hAnsi="Arial"/>
          <w:sz w:val="22"/>
          <w:szCs w:val="22"/>
        </w:rPr>
        <w:t xml:space="preserve">Simulation exercise: The applicant team conducts a simulated evaluation of a test system provided by ARAF. The simulation covers all evaluation methods relevant to the requested authorization level.</w:t>
      </w:r>
    </w:p>
    <w:p>
      <w:pPr>
        <w:pStyle w:val="ListParagraph"/>
        <w:numPr>
          <w:ilvl w:val="0"/>
          <w:numId w:val="3"/>
        </w:numPr>
        <w:spacing w:after="80"/>
      </w:pPr>
      <w:r>
        <w:rPr>
          <w:rFonts w:ascii="Arial" w:cs="Arial" w:eastAsia="Arial" w:hAnsi="Arial"/>
          <w:sz w:val="22"/>
          <w:szCs w:val="22"/>
        </w:rPr>
        <w:t xml:space="preserve">Report quality assessment: The applicant team produces a simulated evaluation report assessed against the Evaluation Methodology Guide requirements.</w:t>
      </w:r>
    </w:p>
    <w:p>
      <w:pPr>
        <w:spacing w:after="120"/>
      </w:pPr>
      <w:r>
        <w:rPr>
          <w:rFonts w:ascii="Arial" w:cs="Arial" w:eastAsia="Arial" w:hAnsi="Arial"/>
          <w:sz w:val="22"/>
          <w:szCs w:val="22"/>
        </w:rPr>
        <w:t xml:space="preserve">On-site assessments are conducted by ARAF assessors qualified to evaluate at or above the requested authorization level. Assessments typically require 2–3 days for Level 1, 3–4 days for Level 2, and 4–5 days for Level 3.</w:t>
      </w:r>
    </w:p>
    <w:p>
      <w:pPr>
        <w:pStyle w:val="Heading2"/>
      </w:pPr>
      <w:r>
        <w:t xml:space="preserve">4.5 Authorization Decision</w:t>
      </w:r>
    </w:p>
    <w:p>
      <w:pPr>
        <w:spacing w:after="120"/>
      </w:pPr>
      <w:r>
        <w:rPr>
          <w:rFonts w:ascii="Arial" w:cs="Arial" w:eastAsia="Arial" w:hAnsi="Arial"/>
          <w:sz w:val="22"/>
          <w:szCs w:val="22"/>
        </w:rPr>
        <w:t xml:space="preserve">The ARAF AVB Program Office compiles the application review and on-site assessment findings into an authorization recommendation submitted to the TSB or its designee. Possible decisions:</w:t>
      </w:r>
    </w:p>
    <w:p>
      <w:pPr>
        <w:pStyle w:val="ListParagraph"/>
        <w:numPr>
          <w:ilvl w:val="0"/>
          <w:numId w:val="2"/>
        </w:numPr>
        <w:spacing w:after="80"/>
      </w:pPr>
      <w:r>
        <w:rPr>
          <w:rFonts w:ascii="Arial" w:cs="Arial" w:eastAsia="Arial" w:hAnsi="Arial"/>
          <w:b/>
          <w:bCs/>
          <w:sz w:val="22"/>
          <w:szCs w:val="22"/>
        </w:rPr>
        <w:t xml:space="preserve">Authorized: </w:t>
      </w:r>
      <w:r>
        <w:rPr>
          <w:rFonts w:ascii="Arial" w:cs="Arial" w:eastAsia="Arial" w:hAnsi="Arial"/>
          <w:sz w:val="22"/>
          <w:szCs w:val="22"/>
        </w:rPr>
        <w:t xml:space="preserve">The applicant meets all requirements for the requested level. Authorization is granted for a 12-month initial term.</w:t>
      </w:r>
    </w:p>
    <w:p>
      <w:pPr>
        <w:pStyle w:val="ListParagraph"/>
        <w:numPr>
          <w:ilvl w:val="0"/>
          <w:numId w:val="2"/>
        </w:numPr>
        <w:spacing w:after="80"/>
      </w:pPr>
      <w:r>
        <w:rPr>
          <w:rFonts w:ascii="Arial" w:cs="Arial" w:eastAsia="Arial" w:hAnsi="Arial"/>
          <w:b/>
          <w:bCs/>
          <w:sz w:val="22"/>
          <w:szCs w:val="22"/>
        </w:rPr>
        <w:t xml:space="preserve">Authorized with Conditions: </w:t>
      </w:r>
      <w:r>
        <w:rPr>
          <w:rFonts w:ascii="Arial" w:cs="Arial" w:eastAsia="Arial" w:hAnsi="Arial"/>
          <w:sz w:val="22"/>
          <w:szCs w:val="22"/>
        </w:rPr>
        <w:t xml:space="preserve">The applicant substantially meets requirements but has minor deficiencies. Authorization is granted conditional on remediation of specified items within 90 days. Failure to remediate results in suspension.</w:t>
      </w:r>
    </w:p>
    <w:p>
      <w:pPr>
        <w:pStyle w:val="ListParagraph"/>
        <w:numPr>
          <w:ilvl w:val="0"/>
          <w:numId w:val="2"/>
        </w:numPr>
        <w:spacing w:after="80"/>
      </w:pPr>
      <w:r>
        <w:rPr>
          <w:rFonts w:ascii="Arial" w:cs="Arial" w:eastAsia="Arial" w:hAnsi="Arial"/>
          <w:b/>
          <w:bCs/>
          <w:sz w:val="22"/>
          <w:szCs w:val="22"/>
        </w:rPr>
        <w:t xml:space="preserve">Deferred: </w:t>
      </w:r>
      <w:r>
        <w:rPr>
          <w:rFonts w:ascii="Arial" w:cs="Arial" w:eastAsia="Arial" w:hAnsi="Arial"/>
          <w:sz w:val="22"/>
          <w:szCs w:val="22"/>
        </w:rPr>
        <w:t xml:space="preserve">The applicant has significant gaps that can be addressed. The application is deferred with specific remediation requirements. The applicant may reapply after addressing the identified gaps (minimum 6-month deferral period).</w:t>
      </w:r>
    </w:p>
    <w:p>
      <w:pPr>
        <w:pStyle w:val="ListParagraph"/>
        <w:numPr>
          <w:ilvl w:val="0"/>
          <w:numId w:val="2"/>
        </w:numPr>
        <w:spacing w:after="80"/>
      </w:pPr>
      <w:r>
        <w:rPr>
          <w:rFonts w:ascii="Arial" w:cs="Arial" w:eastAsia="Arial" w:hAnsi="Arial"/>
          <w:b/>
          <w:bCs/>
          <w:sz w:val="22"/>
          <w:szCs w:val="22"/>
        </w:rPr>
        <w:t xml:space="preserve">Denied: </w:t>
      </w:r>
      <w:r>
        <w:rPr>
          <w:rFonts w:ascii="Arial" w:cs="Arial" w:eastAsia="Arial" w:hAnsi="Arial"/>
          <w:sz w:val="22"/>
          <w:szCs w:val="22"/>
        </w:rPr>
        <w:t xml:space="preserve">The applicant does not meet fundamental requirements or has disqualifying conflicts of interest. Denial may be appealed per Article 8.</w:t>
      </w:r>
    </w:p>
    <w:p>
      <w:pPr>
        <w:pStyle w:val="Heading2"/>
      </w:pPr>
      <w:r>
        <w:t xml:space="preserve">4.6 Timeline</w:t>
      </w:r>
    </w:p>
    <w:p>
      <w:pPr>
        <w:spacing w:after="120"/>
      </w:pPr>
      <w:r>
        <w:rPr>
          <w:rFonts w:ascii="Arial" w:cs="Arial" w:eastAsia="Arial" w:hAnsi="Arial"/>
          <w:sz w:val="22"/>
          <w:szCs w:val="22"/>
        </w:rPr>
        <w:t xml:space="preserve">The standard application process follows this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8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68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Cumulative</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Pre-application consultation</w:t>
            </w:r>
          </w:p>
        </w:tc>
        <w:tc>
          <w:tcPr>
            <w:tcW w:type="dxa" w:w="2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Optional; 2–4 weeks</w:t>
            </w:r>
          </w:p>
        </w:tc>
        <w:tc>
          <w:tcPr>
            <w:tcW w:type="dxa" w:w="2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N/A</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Application preparation and submission</w:t>
            </w:r>
          </w:p>
        </w:tc>
        <w:tc>
          <w:tcPr>
            <w:tcW w:type="dxa" w:w="2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Applicant-dependent</w:t>
            </w:r>
          </w:p>
        </w:tc>
        <w:tc>
          <w:tcPr>
            <w:tcW w:type="dxa" w:w="2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N/A</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Administrative review</w:t>
            </w:r>
          </w:p>
        </w:tc>
        <w:tc>
          <w:tcPr>
            <w:tcW w:type="dxa" w:w="2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weeks</w:t>
            </w:r>
          </w:p>
        </w:tc>
        <w:tc>
          <w:tcPr>
            <w:tcW w:type="dxa" w:w="2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 2</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Technical review</w:t>
            </w:r>
          </w:p>
        </w:tc>
        <w:tc>
          <w:tcPr>
            <w:tcW w:type="dxa" w:w="2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 weeks</w:t>
            </w:r>
          </w:p>
        </w:tc>
        <w:tc>
          <w:tcPr>
            <w:tcW w:type="dxa" w:w="2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Week 6</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On-site assessment scheduling</w:t>
            </w:r>
          </w:p>
        </w:tc>
        <w:tc>
          <w:tcPr>
            <w:tcW w:type="dxa" w:w="2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2–4 weeks</w:t>
            </w:r>
          </w:p>
        </w:tc>
        <w:tc>
          <w:tcPr>
            <w:tcW w:type="dxa" w:w="2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 8–10</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On-site assessment</w:t>
            </w:r>
          </w:p>
        </w:tc>
        <w:tc>
          <w:tcPr>
            <w:tcW w:type="dxa" w:w="2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2–5 days</w:t>
            </w:r>
          </w:p>
        </w:tc>
        <w:tc>
          <w:tcPr>
            <w:tcW w:type="dxa" w:w="2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Week 9–11</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Assessment report and recommendation</w:t>
            </w:r>
          </w:p>
        </w:tc>
        <w:tc>
          <w:tcPr>
            <w:tcW w:type="dxa" w:w="2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weeks</w:t>
            </w:r>
          </w:p>
        </w:tc>
        <w:tc>
          <w:tcPr>
            <w:tcW w:type="dxa" w:w="268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 11–13</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Authorization decision</w:t>
            </w:r>
          </w:p>
        </w:tc>
        <w:tc>
          <w:tcPr>
            <w:tcW w:type="dxa" w:w="2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 weeks</w:t>
            </w:r>
          </w:p>
        </w:tc>
        <w:tc>
          <w:tcPr>
            <w:tcW w:type="dxa" w:w="268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Week 13–15</w:t>
            </w:r>
          </w:p>
        </w:tc>
      </w:tr>
    </w:tbl>
    <w:p>
      <w:pPr>
        <w:spacing w:after="200"/>
      </w:pPr>
    </w:p>
    <w:p>
      <w:pPr>
        <w:spacing w:after="120"/>
      </w:pPr>
      <w:r>
        <w:rPr>
          <w:rFonts w:ascii="Arial" w:cs="Arial" w:eastAsia="Arial" w:hAnsi="Arial"/>
          <w:sz w:val="22"/>
          <w:szCs w:val="22"/>
        </w:rPr>
        <w:t xml:space="preserve">Total typical duration from application submission to decision: 13–15 weeks. Complex applications or those requiring remediation may take longer.</w:t>
      </w:r>
    </w:p>
    <w:p>
      <w:r>
        <w:br w:type="page"/>
      </w:r>
    </w:p>
    <w:p>
      <w:pPr>
        <w:pStyle w:val="Heading1"/>
      </w:pPr>
      <w:r>
        <w:t xml:space="preserve">Article 5 — Ongoing Obligations</w:t>
      </w:r>
    </w:p>
    <w:p>
      <w:pPr>
        <w:pStyle w:val="Heading2"/>
      </w:pPr>
      <w:r>
        <w:t xml:space="preserve">5.1 Evaluation Standards Compliance</w:t>
      </w:r>
    </w:p>
    <w:p>
      <w:pPr>
        <w:pStyle w:val="ListParagraph"/>
        <w:numPr>
          <w:ilvl w:val="0"/>
          <w:numId w:val="2"/>
        </w:numPr>
        <w:spacing w:after="80"/>
      </w:pPr>
      <w:r>
        <w:rPr>
          <w:rFonts w:ascii="Arial" w:cs="Arial" w:eastAsia="Arial" w:hAnsi="Arial"/>
          <w:sz w:val="22"/>
          <w:szCs w:val="22"/>
        </w:rPr>
        <w:t xml:space="preserve">AVBs SHALL conduct all evaluations in accordance with the current version of the Evaluation Methodology Guide (ARAF-ARA-EVL-2026-001).</w:t>
      </w:r>
    </w:p>
    <w:p>
      <w:pPr>
        <w:pStyle w:val="ListParagraph"/>
        <w:numPr>
          <w:ilvl w:val="0"/>
          <w:numId w:val="2"/>
        </w:numPr>
        <w:spacing w:after="80"/>
      </w:pPr>
      <w:r>
        <w:rPr>
          <w:rFonts w:ascii="Arial" w:cs="Arial" w:eastAsia="Arial" w:hAnsi="Arial"/>
          <w:sz w:val="22"/>
          <w:szCs w:val="22"/>
        </w:rPr>
        <w:t xml:space="preserve">AVBs SHALL use the current version of the ACR Control Matrix for all evaluations. Evaluations initiated before an ACR update may be completed under the prior version, but new evaluations must use the current version.</w:t>
      </w:r>
    </w:p>
    <w:p>
      <w:pPr>
        <w:pStyle w:val="ListParagraph"/>
        <w:numPr>
          <w:ilvl w:val="0"/>
          <w:numId w:val="2"/>
        </w:numPr>
        <w:spacing w:after="80"/>
      </w:pPr>
      <w:r>
        <w:rPr>
          <w:rFonts w:ascii="Arial" w:cs="Arial" w:eastAsia="Arial" w:hAnsi="Arial"/>
          <w:sz w:val="22"/>
          <w:szCs w:val="22"/>
        </w:rPr>
        <w:t xml:space="preserve">Deviations from prescribed methodology require documented justification and prior approval from the ARAF AVB Program Office.</w:t>
      </w:r>
    </w:p>
    <w:p>
      <w:pPr>
        <w:pStyle w:val="Heading2"/>
      </w:pPr>
      <w:r>
        <w:t xml:space="preserve">5.2 Reporting Requirements</w:t>
      </w:r>
    </w:p>
    <w:p>
      <w:pPr>
        <w:pStyle w:val="ListParagraph"/>
        <w:numPr>
          <w:ilvl w:val="0"/>
          <w:numId w:val="3"/>
        </w:numPr>
        <w:spacing w:after="80"/>
      </w:pPr>
      <w:r>
        <w:rPr>
          <w:rFonts w:ascii="Arial" w:cs="Arial" w:eastAsia="Arial" w:hAnsi="Arial"/>
          <w:sz w:val="22"/>
          <w:szCs w:val="22"/>
        </w:rPr>
        <w:t xml:space="preserve">Evaluation Reports: Submitted to the ARAF Certification Office within 10 business days of evaluation completion, following the structure defined in the Evaluation Methodology Guide.</w:t>
      </w:r>
    </w:p>
    <w:p>
      <w:pPr>
        <w:pStyle w:val="ListParagraph"/>
        <w:numPr>
          <w:ilvl w:val="0"/>
          <w:numId w:val="3"/>
        </w:numPr>
        <w:spacing w:after="80"/>
      </w:pPr>
      <w:r>
        <w:rPr>
          <w:rFonts w:ascii="Arial" w:cs="Arial" w:eastAsia="Arial" w:hAnsi="Arial"/>
          <w:sz w:val="22"/>
          <w:szCs w:val="22"/>
        </w:rPr>
        <w:t xml:space="preserve">Quarterly Activity Reports: Summary of evaluations conducted, systems assessed, certification recommendations issued, and any quality incidents.</w:t>
      </w:r>
    </w:p>
    <w:p>
      <w:pPr>
        <w:pStyle w:val="ListParagraph"/>
        <w:numPr>
          <w:ilvl w:val="0"/>
          <w:numId w:val="3"/>
        </w:numPr>
        <w:spacing w:after="80"/>
      </w:pPr>
      <w:r>
        <w:rPr>
          <w:rFonts w:ascii="Arial" w:cs="Arial" w:eastAsia="Arial" w:hAnsi="Arial"/>
          <w:sz w:val="22"/>
          <w:szCs w:val="22"/>
        </w:rPr>
        <w:t xml:space="preserve">Incident Reports: Immediate notification to ARAF of any material event affecting evaluation integrity, evaluator independence, or evidence security. Written incident report within 5 business days.</w:t>
      </w:r>
    </w:p>
    <w:p>
      <w:pPr>
        <w:pStyle w:val="ListParagraph"/>
        <w:numPr>
          <w:ilvl w:val="0"/>
          <w:numId w:val="3"/>
        </w:numPr>
        <w:spacing w:after="80"/>
      </w:pPr>
      <w:r>
        <w:rPr>
          <w:rFonts w:ascii="Arial" w:cs="Arial" w:eastAsia="Arial" w:hAnsi="Arial"/>
          <w:sz w:val="22"/>
          <w:szCs w:val="22"/>
        </w:rPr>
        <w:t xml:space="preserve">Change Notifications: 30-day advance notice of material changes to the AVB organization including ownership changes, key personnel departures, office closures, or QMS modifications.</w:t>
      </w:r>
    </w:p>
    <w:p>
      <w:pPr>
        <w:pStyle w:val="Heading2"/>
      </w:pPr>
      <w:r>
        <w:t xml:space="preserve">5.3 Calibration and Consistency</w:t>
      </w:r>
    </w:p>
    <w:p>
      <w:pPr>
        <w:pStyle w:val="ListParagraph"/>
        <w:numPr>
          <w:ilvl w:val="0"/>
          <w:numId w:val="2"/>
        </w:numPr>
        <w:spacing w:after="80"/>
      </w:pPr>
      <w:r>
        <w:rPr>
          <w:rFonts w:ascii="Arial" w:cs="Arial" w:eastAsia="Arial" w:hAnsi="Arial"/>
          <w:sz w:val="22"/>
          <w:szCs w:val="22"/>
        </w:rPr>
        <w:t xml:space="preserve">AVBs SHALL participate in calibration exercises conducted by ARAF at least annually.</w:t>
      </w:r>
    </w:p>
    <w:p>
      <w:pPr>
        <w:pStyle w:val="ListParagraph"/>
        <w:numPr>
          <w:ilvl w:val="0"/>
          <w:numId w:val="2"/>
        </w:numPr>
        <w:spacing w:after="80"/>
      </w:pPr>
      <w:r>
        <w:rPr>
          <w:rFonts w:ascii="Arial" w:cs="Arial" w:eastAsia="Arial" w:hAnsi="Arial"/>
          <w:sz w:val="22"/>
          <w:szCs w:val="22"/>
        </w:rPr>
        <w:t xml:space="preserve">Calibration exercises involve multiple AVBs independently evaluating the same test system with results compared for consistency.</w:t>
      </w:r>
    </w:p>
    <w:p>
      <w:pPr>
        <w:pStyle w:val="ListParagraph"/>
        <w:numPr>
          <w:ilvl w:val="0"/>
          <w:numId w:val="2"/>
        </w:numPr>
        <w:spacing w:after="80"/>
      </w:pPr>
      <w:r>
        <w:rPr>
          <w:rFonts w:ascii="Arial" w:cs="Arial" w:eastAsia="Arial" w:hAnsi="Arial"/>
          <w:sz w:val="22"/>
          <w:szCs w:val="22"/>
        </w:rPr>
        <w:t xml:space="preserve">Significant deviations from calibration norms require root cause analysis and corrective action.</w:t>
      </w:r>
    </w:p>
    <w:p>
      <w:pPr>
        <w:pStyle w:val="ListParagraph"/>
        <w:numPr>
          <w:ilvl w:val="0"/>
          <w:numId w:val="2"/>
        </w:numPr>
        <w:spacing w:after="80"/>
      </w:pPr>
      <w:r>
        <w:rPr>
          <w:rFonts w:ascii="Arial" w:cs="Arial" w:eastAsia="Arial" w:hAnsi="Arial"/>
          <w:sz w:val="22"/>
          <w:szCs w:val="22"/>
        </w:rPr>
        <w:t xml:space="preserve">Calibration results are a factor in the annual renewal decision.</w:t>
      </w:r>
    </w:p>
    <w:p>
      <w:pPr>
        <w:pStyle w:val="Heading2"/>
      </w:pPr>
      <w:r>
        <w:t xml:space="preserve">5.4 Continued Professional Development</w:t>
      </w:r>
    </w:p>
    <w:p>
      <w:pPr>
        <w:pStyle w:val="ListParagraph"/>
        <w:numPr>
          <w:ilvl w:val="0"/>
          <w:numId w:val="2"/>
        </w:numPr>
        <w:spacing w:after="80"/>
      </w:pPr>
      <w:r>
        <w:rPr>
          <w:rFonts w:ascii="Arial" w:cs="Arial" w:eastAsia="Arial" w:hAnsi="Arial"/>
          <w:sz w:val="22"/>
          <w:szCs w:val="22"/>
        </w:rPr>
        <w:t xml:space="preserve">Evaluators must complete a minimum of 40 hours of relevant professional development annually.</w:t>
      </w:r>
    </w:p>
    <w:p>
      <w:pPr>
        <w:pStyle w:val="ListParagraph"/>
        <w:numPr>
          <w:ilvl w:val="0"/>
          <w:numId w:val="2"/>
        </w:numPr>
        <w:spacing w:after="80"/>
      </w:pPr>
      <w:r>
        <w:rPr>
          <w:rFonts w:ascii="Arial" w:cs="Arial" w:eastAsia="Arial" w:hAnsi="Arial"/>
          <w:sz w:val="22"/>
          <w:szCs w:val="22"/>
        </w:rPr>
        <w:t xml:space="preserve">ARAF will provide training on standard updates, methodology changes, and emerging threat landscapes.</w:t>
      </w:r>
    </w:p>
    <w:p>
      <w:pPr>
        <w:pStyle w:val="ListParagraph"/>
        <w:numPr>
          <w:ilvl w:val="0"/>
          <w:numId w:val="2"/>
        </w:numPr>
        <w:spacing w:after="80"/>
      </w:pPr>
      <w:r>
        <w:rPr>
          <w:rFonts w:ascii="Arial" w:cs="Arial" w:eastAsia="Arial" w:hAnsi="Arial"/>
          <w:sz w:val="22"/>
          <w:szCs w:val="22"/>
        </w:rPr>
        <w:t xml:space="preserve">AVBs must maintain training records for all evaluation staff.</w:t>
      </w:r>
    </w:p>
    <w:p>
      <w:pPr>
        <w:pStyle w:val="ListParagraph"/>
        <w:numPr>
          <w:ilvl w:val="0"/>
          <w:numId w:val="2"/>
        </w:numPr>
        <w:spacing w:after="80"/>
      </w:pPr>
      <w:r>
        <w:rPr>
          <w:rFonts w:ascii="Arial" w:cs="Arial" w:eastAsia="Arial" w:hAnsi="Arial"/>
          <w:sz w:val="22"/>
          <w:szCs w:val="22"/>
        </w:rPr>
        <w:t xml:space="preserve">New evaluators joining an authorized AVB must complete ARAF's AVB Evaluator Onboarding program within 60 days of assignment to evaluation work.</w:t>
      </w:r>
    </w:p>
    <w:p>
      <w:pPr>
        <w:pStyle w:val="Heading2"/>
      </w:pPr>
      <w:r>
        <w:t xml:space="preserve">5.5 Record Keeping</w:t>
      </w:r>
    </w:p>
    <w:p>
      <w:pPr>
        <w:pStyle w:val="ListParagraph"/>
        <w:numPr>
          <w:ilvl w:val="0"/>
          <w:numId w:val="2"/>
        </w:numPr>
        <w:spacing w:after="80"/>
      </w:pPr>
      <w:r>
        <w:rPr>
          <w:rFonts w:ascii="Arial" w:cs="Arial" w:eastAsia="Arial" w:hAnsi="Arial"/>
          <w:sz w:val="22"/>
          <w:szCs w:val="22"/>
        </w:rPr>
        <w:t xml:space="preserve">AVBs must retain complete evaluation records (evidence artifacts, working papers, communications, internal review notes) for the duration specified in the Evaluation Methodology Guide plus an additional 2 years.</w:t>
      </w:r>
    </w:p>
    <w:p>
      <w:pPr>
        <w:pStyle w:val="ListParagraph"/>
        <w:numPr>
          <w:ilvl w:val="0"/>
          <w:numId w:val="2"/>
        </w:numPr>
        <w:spacing w:after="80"/>
      </w:pPr>
      <w:r>
        <w:rPr>
          <w:rFonts w:ascii="Arial" w:cs="Arial" w:eastAsia="Arial" w:hAnsi="Arial"/>
          <w:sz w:val="22"/>
          <w:szCs w:val="22"/>
        </w:rPr>
        <w:t xml:space="preserve">Records must be available for review by ARAF upon reasonable notice.</w:t>
      </w:r>
    </w:p>
    <w:p>
      <w:pPr>
        <w:pStyle w:val="ListParagraph"/>
        <w:numPr>
          <w:ilvl w:val="0"/>
          <w:numId w:val="2"/>
        </w:numPr>
        <w:spacing w:after="80"/>
      </w:pPr>
      <w:r>
        <w:rPr>
          <w:rFonts w:ascii="Arial" w:cs="Arial" w:eastAsia="Arial" w:hAnsi="Arial"/>
          <w:sz w:val="22"/>
          <w:szCs w:val="22"/>
        </w:rPr>
        <w:t xml:space="preserve">Record destruction must follow documented procedures with destruction logs maintained.</w:t>
      </w:r>
    </w:p>
    <w:p>
      <w:pPr>
        <w:pStyle w:val="Heading2"/>
      </w:pPr>
      <w:r>
        <w:t xml:space="preserve">5.6 Platform Integration</w:t>
      </w:r>
    </w:p>
    <w:p>
      <w:pPr>
        <w:pStyle w:val="ListParagraph"/>
        <w:numPr>
          <w:ilvl w:val="0"/>
          <w:numId w:val="2"/>
        </w:numPr>
        <w:spacing w:after="80"/>
      </w:pPr>
      <w:r>
        <w:rPr>
          <w:rFonts w:ascii="Arial" w:cs="Arial" w:eastAsia="Arial" w:hAnsi="Arial"/>
          <w:sz w:val="22"/>
          <w:szCs w:val="22"/>
        </w:rPr>
        <w:t xml:space="preserve">AVBs must integrate with the ARAF platform for evaluation report submission, evidence upload, and status tracking.</w:t>
      </w:r>
    </w:p>
    <w:p>
      <w:pPr>
        <w:pStyle w:val="ListParagraph"/>
        <w:numPr>
          <w:ilvl w:val="0"/>
          <w:numId w:val="2"/>
        </w:numPr>
        <w:spacing w:after="80"/>
      </w:pPr>
      <w:r>
        <w:rPr>
          <w:rFonts w:ascii="Arial" w:cs="Arial" w:eastAsia="Arial" w:hAnsi="Arial"/>
          <w:sz w:val="22"/>
          <w:szCs w:val="22"/>
        </w:rPr>
        <w:t xml:space="preserve">Integration includes use of standardized templates, evidence format specifications, and platform APIs.</w:t>
      </w:r>
    </w:p>
    <w:p>
      <w:pPr>
        <w:pStyle w:val="ListParagraph"/>
        <w:numPr>
          <w:ilvl w:val="0"/>
          <w:numId w:val="2"/>
        </w:numPr>
        <w:spacing w:after="80"/>
      </w:pPr>
      <w:r>
        <w:rPr>
          <w:rFonts w:ascii="Arial" w:cs="Arial" w:eastAsia="Arial" w:hAnsi="Arial"/>
          <w:sz w:val="22"/>
          <w:szCs w:val="22"/>
        </w:rPr>
        <w:t xml:space="preserve">AVBs must maintain current platform access credentials and designate platform administrators.</w:t>
      </w:r>
    </w:p>
    <w:p>
      <w:r>
        <w:br w:type="page"/>
      </w:r>
    </w:p>
    <w:p>
      <w:pPr>
        <w:pStyle w:val="Heading1"/>
      </w:pPr>
      <w:r>
        <w:t xml:space="preserve">Article 6 — Annual Renewal</w:t>
      </w:r>
    </w:p>
    <w:p>
      <w:pPr>
        <w:pStyle w:val="Heading2"/>
      </w:pPr>
      <w:r>
        <w:t xml:space="preserve">6.1 Renewal Process</w:t>
      </w:r>
    </w:p>
    <w:p>
      <w:pPr>
        <w:spacing w:after="120"/>
      </w:pPr>
      <w:r>
        <w:rPr>
          <w:rFonts w:ascii="Arial" w:cs="Arial" w:eastAsia="Arial" w:hAnsi="Arial"/>
          <w:sz w:val="22"/>
          <w:szCs w:val="22"/>
        </w:rPr>
        <w:t xml:space="preserve">AVB authorization is granted for a 12-month term and must be renewed annually. The renewal process:</w:t>
      </w:r>
    </w:p>
    <w:p>
      <w:pPr>
        <w:pStyle w:val="ListParagraph"/>
        <w:numPr>
          <w:ilvl w:val="0"/>
          <w:numId w:val="3"/>
        </w:numPr>
        <w:spacing w:after="80"/>
      </w:pPr>
      <w:r>
        <w:rPr>
          <w:rFonts w:ascii="Arial" w:cs="Arial" w:eastAsia="Arial" w:hAnsi="Arial"/>
          <w:sz w:val="22"/>
          <w:szCs w:val="22"/>
        </w:rPr>
        <w:t xml:space="preserve">Renewal application submitted 60 days before authorization expiration.</w:t>
      </w:r>
    </w:p>
    <w:p>
      <w:pPr>
        <w:pStyle w:val="ListParagraph"/>
        <w:numPr>
          <w:ilvl w:val="0"/>
          <w:numId w:val="3"/>
        </w:numPr>
        <w:spacing w:after="80"/>
      </w:pPr>
      <w:r>
        <w:rPr>
          <w:rFonts w:ascii="Arial" w:cs="Arial" w:eastAsia="Arial" w:hAnsi="Arial"/>
          <w:sz w:val="22"/>
          <w:szCs w:val="22"/>
        </w:rPr>
        <w:t xml:space="preserve">Updated documentation for any changes since initial authorization or last renewal.</w:t>
      </w:r>
    </w:p>
    <w:p>
      <w:pPr>
        <w:pStyle w:val="ListParagraph"/>
        <w:numPr>
          <w:ilvl w:val="0"/>
          <w:numId w:val="3"/>
        </w:numPr>
        <w:spacing w:after="80"/>
      </w:pPr>
      <w:r>
        <w:rPr>
          <w:rFonts w:ascii="Arial" w:cs="Arial" w:eastAsia="Arial" w:hAnsi="Arial"/>
          <w:sz w:val="22"/>
          <w:szCs w:val="22"/>
        </w:rPr>
        <w:t xml:space="preserve">Updated insurance certificates.</w:t>
      </w:r>
    </w:p>
    <w:p>
      <w:pPr>
        <w:pStyle w:val="ListParagraph"/>
        <w:numPr>
          <w:ilvl w:val="0"/>
          <w:numId w:val="3"/>
        </w:numPr>
        <w:spacing w:after="80"/>
      </w:pPr>
      <w:r>
        <w:rPr>
          <w:rFonts w:ascii="Arial" w:cs="Arial" w:eastAsia="Arial" w:hAnsi="Arial"/>
          <w:sz w:val="22"/>
          <w:szCs w:val="22"/>
        </w:rPr>
        <w:t xml:space="preserve">Payment of renewal fee.</w:t>
      </w:r>
    </w:p>
    <w:p>
      <w:pPr>
        <w:pStyle w:val="ListParagraph"/>
        <w:numPr>
          <w:ilvl w:val="0"/>
          <w:numId w:val="3"/>
        </w:numPr>
        <w:spacing w:after="80"/>
      </w:pPr>
      <w:r>
        <w:rPr>
          <w:rFonts w:ascii="Arial" w:cs="Arial" w:eastAsia="Arial" w:hAnsi="Arial"/>
          <w:sz w:val="22"/>
          <w:szCs w:val="22"/>
        </w:rPr>
        <w:t xml:space="preserve">ARAF performance review (see 6.2).</w:t>
      </w:r>
    </w:p>
    <w:p>
      <w:pPr>
        <w:pStyle w:val="ListParagraph"/>
        <w:numPr>
          <w:ilvl w:val="0"/>
          <w:numId w:val="3"/>
        </w:numPr>
        <w:spacing w:after="80"/>
      </w:pPr>
      <w:r>
        <w:rPr>
          <w:rFonts w:ascii="Arial" w:cs="Arial" w:eastAsia="Arial" w:hAnsi="Arial"/>
          <w:sz w:val="22"/>
          <w:szCs w:val="22"/>
        </w:rPr>
        <w:t xml:space="preserve">Renewal decision communicated at least 15 days before expiration.</w:t>
      </w:r>
    </w:p>
    <w:p>
      <w:pPr>
        <w:pStyle w:val="Heading2"/>
      </w:pPr>
      <w:r>
        <w:t xml:space="preserve">6.2 Performance Review Criteria</w:t>
      </w:r>
    </w:p>
    <w:p>
      <w:pPr>
        <w:spacing w:after="120"/>
      </w:pPr>
      <w:r>
        <w:rPr>
          <w:rFonts w:ascii="Arial" w:cs="Arial" w:eastAsia="Arial" w:hAnsi="Arial"/>
          <w:sz w:val="22"/>
          <w:szCs w:val="22"/>
        </w:rPr>
        <w:t xml:space="preserve">The annual performance review assesses: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c>
          <w:tcPr>
            <w:tcW w:type="dxa" w:w="3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Standard</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Evaluation quality</w:t>
            </w:r>
          </w:p>
        </w:tc>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Office review of submitted reports</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90% of reports accepted without revision requests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Evidence integrity</w:t>
            </w:r>
          </w:p>
        </w:tc>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Evidence artifact audit (sample-based)</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100% compliance with integrity requirements</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Methodology compliance</w:t>
            </w:r>
          </w:p>
        </w:tc>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Evaluation procedure audit (sample-based)</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material methodology deviations without approval</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Calibration consistency</w:t>
            </w:r>
          </w:p>
        </w:tc>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Calibration exercise results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Within acceptable deviation range</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Reporting timeliness</w:t>
            </w:r>
          </w:p>
        </w:tc>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Report submission within 10-day requirement</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95% on-time submission</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Incident response</w:t>
            </w:r>
          </w:p>
        </w:tc>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Incident notification and resolution timeliness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100% compliance with notification requirements</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Professional development</w:t>
            </w:r>
          </w:p>
        </w:tc>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Training hours and currency of qualifications</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evaluators meet minimum CPD requirements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Client feedback</w:t>
            </w:r>
          </w:p>
        </w:tc>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Organization satisfaction survey results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No unresolved material complaints</w:t>
            </w:r>
          </w:p>
        </w:tc>
      </w:tr>
    </w:tbl>
    <w:p>
      <w:pPr>
        <w:pStyle w:val="Heading2"/>
      </w:pPr>
      <w:r>
        <w:t xml:space="preserve">6.3 Renewal Decision</w:t>
      </w:r>
    </w:p>
    <w:p>
      <w:pPr>
        <w:pStyle w:val="ListParagraph"/>
        <w:numPr>
          <w:ilvl w:val="0"/>
          <w:numId w:val="2"/>
        </w:numPr>
        <w:spacing w:after="80"/>
      </w:pPr>
      <w:r>
        <w:rPr>
          <w:rFonts w:ascii="Arial" w:cs="Arial" w:eastAsia="Arial" w:hAnsi="Arial"/>
          <w:b/>
          <w:bCs/>
          <w:sz w:val="22"/>
          <w:szCs w:val="22"/>
        </w:rPr>
        <w:t xml:space="preserve">Renewed: </w:t>
      </w:r>
      <w:r>
        <w:rPr>
          <w:rFonts w:ascii="Arial" w:cs="Arial" w:eastAsia="Arial" w:hAnsi="Arial"/>
          <w:sz w:val="22"/>
          <w:szCs w:val="22"/>
        </w:rPr>
        <w:t xml:space="preserve">Meets all performance standards. Authorization renewed for 12 months.</w:t>
      </w:r>
    </w:p>
    <w:p>
      <w:pPr>
        <w:pStyle w:val="ListParagraph"/>
        <w:numPr>
          <w:ilvl w:val="0"/>
          <w:numId w:val="2"/>
        </w:numPr>
        <w:spacing w:after="80"/>
      </w:pPr>
      <w:r>
        <w:rPr>
          <w:rFonts w:ascii="Arial" w:cs="Arial" w:eastAsia="Arial" w:hAnsi="Arial"/>
          <w:b/>
          <w:bCs/>
          <w:sz w:val="22"/>
          <w:szCs w:val="22"/>
        </w:rPr>
        <w:t xml:space="preserve">Renewed with Improvement Plan: </w:t>
      </w:r>
      <w:r>
        <w:rPr>
          <w:rFonts w:ascii="Arial" w:cs="Arial" w:eastAsia="Arial" w:hAnsi="Arial"/>
          <w:sz w:val="22"/>
          <w:szCs w:val="22"/>
        </w:rPr>
        <w:t xml:space="preserve">Minor performance gaps identified. Renewed with mandatory improvement plan and interim review at 6 months.</w:t>
      </w:r>
    </w:p>
    <w:p>
      <w:pPr>
        <w:pStyle w:val="ListParagraph"/>
        <w:numPr>
          <w:ilvl w:val="0"/>
          <w:numId w:val="2"/>
        </w:numPr>
        <w:spacing w:after="80"/>
      </w:pPr>
      <w:r>
        <w:rPr>
          <w:rFonts w:ascii="Arial" w:cs="Arial" w:eastAsia="Arial" w:hAnsi="Arial"/>
          <w:b/>
          <w:bCs/>
          <w:sz w:val="22"/>
          <w:szCs w:val="22"/>
        </w:rPr>
        <w:t xml:space="preserve">Probationary Renewal: </w:t>
      </w:r>
      <w:r>
        <w:rPr>
          <w:rFonts w:ascii="Arial" w:cs="Arial" w:eastAsia="Arial" w:hAnsi="Arial"/>
          <w:sz w:val="22"/>
          <w:szCs w:val="22"/>
        </w:rPr>
        <w:t xml:space="preserve">Significant performance concerns. Renewed for 6 months only with intensive monitoring and mandatory improvement actions.</w:t>
      </w:r>
    </w:p>
    <w:p>
      <w:pPr>
        <w:pStyle w:val="ListParagraph"/>
        <w:numPr>
          <w:ilvl w:val="0"/>
          <w:numId w:val="2"/>
        </w:numPr>
        <w:spacing w:after="80"/>
      </w:pPr>
      <w:r>
        <w:rPr>
          <w:rFonts w:ascii="Arial" w:cs="Arial" w:eastAsia="Arial" w:hAnsi="Arial"/>
          <w:b/>
          <w:bCs/>
          <w:sz w:val="22"/>
          <w:szCs w:val="22"/>
        </w:rPr>
        <w:t xml:space="preserve">Not Renewed: </w:t>
      </w:r>
      <w:r>
        <w:rPr>
          <w:rFonts w:ascii="Arial" w:cs="Arial" w:eastAsia="Arial" w:hAnsi="Arial"/>
          <w:sz w:val="22"/>
          <w:szCs w:val="22"/>
        </w:rPr>
        <w:t xml:space="preserve">Persistent or severe performance failures. Authorization lapses at expiration. May reapply after 12 months.</w:t>
      </w:r>
    </w:p>
    <w:p>
      <w:r>
        <w:br w:type="page"/>
      </w:r>
    </w:p>
    <w:p>
      <w:pPr>
        <w:pStyle w:val="Heading1"/>
      </w:pPr>
      <w:r>
        <w:t xml:space="preserve">Article 7 — Suspension and Revocation</w:t>
      </w:r>
    </w:p>
    <w:p>
      <w:pPr>
        <w:pStyle w:val="Heading2"/>
      </w:pPr>
      <w:r>
        <w:t xml:space="preserve">7.1 Grounds for Suspension</w:t>
      </w:r>
    </w:p>
    <w:p>
      <w:pPr>
        <w:spacing w:after="120"/>
      </w:pPr>
      <w:r>
        <w:rPr>
          <w:rFonts w:ascii="Arial" w:cs="Arial" w:eastAsia="Arial" w:hAnsi="Arial"/>
          <w:sz w:val="22"/>
          <w:szCs w:val="22"/>
        </w:rPr>
        <w:t xml:space="preserve">ARAF may suspend AVB authorization on any of the following grounds:</w:t>
      </w:r>
    </w:p>
    <w:p>
      <w:pPr>
        <w:pStyle w:val="ListParagraph"/>
        <w:numPr>
          <w:ilvl w:val="0"/>
          <w:numId w:val="3"/>
        </w:numPr>
        <w:spacing w:after="80"/>
      </w:pPr>
      <w:r>
        <w:rPr>
          <w:rFonts w:ascii="Arial" w:cs="Arial" w:eastAsia="Arial" w:hAnsi="Arial"/>
          <w:sz w:val="22"/>
          <w:szCs w:val="22"/>
        </w:rPr>
        <w:t xml:space="preserve">Material non-compliance with the Evaluation Methodology Guide discovered through audit or complaint investigation.</w:t>
      </w:r>
    </w:p>
    <w:p>
      <w:pPr>
        <w:pStyle w:val="ListParagraph"/>
        <w:numPr>
          <w:ilvl w:val="0"/>
          <w:numId w:val="3"/>
        </w:numPr>
        <w:spacing w:after="80"/>
      </w:pPr>
      <w:r>
        <w:rPr>
          <w:rFonts w:ascii="Arial" w:cs="Arial" w:eastAsia="Arial" w:hAnsi="Arial"/>
          <w:sz w:val="22"/>
          <w:szCs w:val="22"/>
        </w:rPr>
        <w:t xml:space="preserve">Failure to remediate conditions attached to authorization or renewal within specified timelines.</w:t>
      </w:r>
    </w:p>
    <w:p>
      <w:pPr>
        <w:pStyle w:val="ListParagraph"/>
        <w:numPr>
          <w:ilvl w:val="0"/>
          <w:numId w:val="3"/>
        </w:numPr>
        <w:spacing w:after="80"/>
      </w:pPr>
      <w:r>
        <w:rPr>
          <w:rFonts w:ascii="Arial" w:cs="Arial" w:eastAsia="Arial" w:hAnsi="Arial"/>
          <w:sz w:val="22"/>
          <w:szCs w:val="22"/>
        </w:rPr>
        <w:t xml:space="preserve">Insurance lapse or reduction below minimum coverage requirements.</w:t>
      </w:r>
    </w:p>
    <w:p>
      <w:pPr>
        <w:pStyle w:val="ListParagraph"/>
        <w:numPr>
          <w:ilvl w:val="0"/>
          <w:numId w:val="3"/>
        </w:numPr>
        <w:spacing w:after="80"/>
      </w:pPr>
      <w:r>
        <w:rPr>
          <w:rFonts w:ascii="Arial" w:cs="Arial" w:eastAsia="Arial" w:hAnsi="Arial"/>
          <w:sz w:val="22"/>
          <w:szCs w:val="22"/>
        </w:rPr>
        <w:t xml:space="preserve">Departure of key personnel reducing qualified evaluator count below minimum requirements, without approved remediation plan.</w:t>
      </w:r>
    </w:p>
    <w:p>
      <w:pPr>
        <w:pStyle w:val="ListParagraph"/>
        <w:numPr>
          <w:ilvl w:val="0"/>
          <w:numId w:val="3"/>
        </w:numPr>
        <w:spacing w:after="80"/>
      </w:pPr>
      <w:r>
        <w:rPr>
          <w:rFonts w:ascii="Arial" w:cs="Arial" w:eastAsia="Arial" w:hAnsi="Arial"/>
          <w:sz w:val="22"/>
          <w:szCs w:val="22"/>
        </w:rPr>
        <w:t xml:space="preserve">Failure to participate in required calibration exercises.</w:t>
      </w:r>
    </w:p>
    <w:p>
      <w:pPr>
        <w:pStyle w:val="ListParagraph"/>
        <w:numPr>
          <w:ilvl w:val="0"/>
          <w:numId w:val="3"/>
        </w:numPr>
        <w:spacing w:after="80"/>
      </w:pPr>
      <w:r>
        <w:rPr>
          <w:rFonts w:ascii="Arial" w:cs="Arial" w:eastAsia="Arial" w:hAnsi="Arial"/>
          <w:sz w:val="22"/>
          <w:szCs w:val="22"/>
        </w:rPr>
        <w:t xml:space="preserve">Failure to submit required reports within specified timelines (after written warning).</w:t>
      </w:r>
    </w:p>
    <w:p>
      <w:pPr>
        <w:pStyle w:val="ListParagraph"/>
        <w:numPr>
          <w:ilvl w:val="0"/>
          <w:numId w:val="3"/>
        </w:numPr>
        <w:spacing w:after="80"/>
      </w:pPr>
      <w:r>
        <w:rPr>
          <w:rFonts w:ascii="Arial" w:cs="Arial" w:eastAsia="Arial" w:hAnsi="Arial"/>
          <w:sz w:val="22"/>
          <w:szCs w:val="22"/>
        </w:rPr>
        <w:t xml:space="preserve">Credible allegation of conflict of interest violation pending investigation.</w:t>
      </w:r>
    </w:p>
    <w:p>
      <w:pPr>
        <w:pStyle w:val="Heading2"/>
      </w:pPr>
      <w:r>
        <w:t xml:space="preserve">7.2 Suspension Procedures</w:t>
      </w:r>
    </w:p>
    <w:p>
      <w:pPr>
        <w:pStyle w:val="ListParagraph"/>
        <w:numPr>
          <w:ilvl w:val="0"/>
          <w:numId w:val="3"/>
        </w:numPr>
        <w:spacing w:after="80"/>
      </w:pPr>
      <w:r>
        <w:rPr>
          <w:rFonts w:ascii="Arial" w:cs="Arial" w:eastAsia="Arial" w:hAnsi="Arial"/>
          <w:sz w:val="22"/>
          <w:szCs w:val="22"/>
        </w:rPr>
        <w:t xml:space="preserve">Written notice of suspension with specific grounds and effective date (minimum 10 business days' notice except in urgent cases).</w:t>
      </w:r>
    </w:p>
    <w:p>
      <w:pPr>
        <w:pStyle w:val="ListParagraph"/>
        <w:numPr>
          <w:ilvl w:val="0"/>
          <w:numId w:val="3"/>
        </w:numPr>
        <w:spacing w:after="80"/>
      </w:pPr>
      <w:r>
        <w:rPr>
          <w:rFonts w:ascii="Arial" w:cs="Arial" w:eastAsia="Arial" w:hAnsi="Arial"/>
          <w:sz w:val="22"/>
          <w:szCs w:val="22"/>
        </w:rPr>
        <w:t xml:space="preserve">Suspension effective date: Immediately for urgent cases (evidence integrity compromise, active COI violation); otherwise 10 business days from notice.</w:t>
      </w:r>
    </w:p>
    <w:p>
      <w:pPr>
        <w:pStyle w:val="ListParagraph"/>
        <w:numPr>
          <w:ilvl w:val="0"/>
          <w:numId w:val="3"/>
        </w:numPr>
        <w:spacing w:after="80"/>
      </w:pPr>
      <w:r>
        <w:rPr>
          <w:rFonts w:ascii="Arial" w:cs="Arial" w:eastAsia="Arial" w:hAnsi="Arial"/>
          <w:sz w:val="22"/>
          <w:szCs w:val="22"/>
        </w:rPr>
        <w:t xml:space="preserve">During suspension: AVB may not accept new evaluation engagements. In-progress evaluations are assessed case-by-case; ARAF may permit completion or require transfer to another AVB.</w:t>
      </w:r>
    </w:p>
    <w:p>
      <w:pPr>
        <w:pStyle w:val="ListParagraph"/>
        <w:numPr>
          <w:ilvl w:val="0"/>
          <w:numId w:val="3"/>
        </w:numPr>
        <w:spacing w:after="80"/>
      </w:pPr>
      <w:r>
        <w:rPr>
          <w:rFonts w:ascii="Arial" w:cs="Arial" w:eastAsia="Arial" w:hAnsi="Arial"/>
          <w:sz w:val="22"/>
          <w:szCs w:val="22"/>
        </w:rPr>
        <w:t xml:space="preserve">Remediation window: AVB has 30 days from suspension to remediate the triggering condition and request reinstatement.</w:t>
      </w:r>
    </w:p>
    <w:p>
      <w:pPr>
        <w:pStyle w:val="ListParagraph"/>
        <w:numPr>
          <w:ilvl w:val="0"/>
          <w:numId w:val="3"/>
        </w:numPr>
        <w:spacing w:after="80"/>
      </w:pPr>
      <w:r>
        <w:rPr>
          <w:rFonts w:ascii="Arial" w:cs="Arial" w:eastAsia="Arial" w:hAnsi="Arial"/>
          <w:sz w:val="22"/>
          <w:szCs w:val="22"/>
        </w:rPr>
        <w:t xml:space="preserve">Reinstatement: Requires demonstration that the triggering condition is resolved and preventive measures are in place. May include supplemental on-site assessment.</w:t>
      </w:r>
    </w:p>
    <w:p>
      <w:pPr>
        <w:pStyle w:val="Heading2"/>
      </w:pPr>
      <w:r>
        <w:t xml:space="preserve">7.3 Grounds for Revocation</w:t>
      </w:r>
    </w:p>
    <w:p>
      <w:pPr>
        <w:spacing w:after="120"/>
      </w:pPr>
      <w:r>
        <w:rPr>
          <w:rFonts w:ascii="Arial" w:cs="Arial" w:eastAsia="Arial" w:hAnsi="Arial"/>
          <w:sz w:val="22"/>
          <w:szCs w:val="22"/>
        </w:rPr>
        <w:t xml:space="preserve">ARAF may revoke AVB authorization on any of the following grounds:</w:t>
      </w:r>
    </w:p>
    <w:p>
      <w:pPr>
        <w:pStyle w:val="ListParagraph"/>
        <w:numPr>
          <w:ilvl w:val="0"/>
          <w:numId w:val="3"/>
        </w:numPr>
        <w:spacing w:after="80"/>
      </w:pPr>
      <w:r>
        <w:rPr>
          <w:rFonts w:ascii="Arial" w:cs="Arial" w:eastAsia="Arial" w:hAnsi="Arial"/>
          <w:sz w:val="22"/>
          <w:szCs w:val="22"/>
        </w:rPr>
        <w:t xml:space="preserve">Fraudulent evaluation findings or fabricated evidence.</w:t>
      </w:r>
    </w:p>
    <w:p>
      <w:pPr>
        <w:pStyle w:val="ListParagraph"/>
        <w:numPr>
          <w:ilvl w:val="0"/>
          <w:numId w:val="3"/>
        </w:numPr>
        <w:spacing w:after="80"/>
      </w:pPr>
      <w:r>
        <w:rPr>
          <w:rFonts w:ascii="Arial" w:cs="Arial" w:eastAsia="Arial" w:hAnsi="Arial"/>
          <w:sz w:val="22"/>
          <w:szCs w:val="22"/>
        </w:rPr>
        <w:t xml:space="preserve">Deliberate concealment of material evaluation findings from the Certification Office.</w:t>
      </w:r>
    </w:p>
    <w:p>
      <w:pPr>
        <w:pStyle w:val="ListParagraph"/>
        <w:numPr>
          <w:ilvl w:val="0"/>
          <w:numId w:val="3"/>
        </w:numPr>
        <w:spacing w:after="80"/>
      </w:pPr>
      <w:r>
        <w:rPr>
          <w:rFonts w:ascii="Arial" w:cs="Arial" w:eastAsia="Arial" w:hAnsi="Arial"/>
          <w:sz w:val="22"/>
          <w:szCs w:val="22"/>
        </w:rPr>
        <w:t xml:space="preserve">Undisclosed conflict of interest that materially affected an evaluation outcome.</w:t>
      </w:r>
    </w:p>
    <w:p>
      <w:pPr>
        <w:pStyle w:val="ListParagraph"/>
        <w:numPr>
          <w:ilvl w:val="0"/>
          <w:numId w:val="3"/>
        </w:numPr>
        <w:spacing w:after="80"/>
      </w:pPr>
      <w:r>
        <w:rPr>
          <w:rFonts w:ascii="Arial" w:cs="Arial" w:eastAsia="Arial" w:hAnsi="Arial"/>
          <w:sz w:val="22"/>
          <w:szCs w:val="22"/>
        </w:rPr>
        <w:t xml:space="preserve">Failure to remediate suspension conditions within the 30-day remediation window.</w:t>
      </w:r>
    </w:p>
    <w:p>
      <w:pPr>
        <w:pStyle w:val="ListParagraph"/>
        <w:numPr>
          <w:ilvl w:val="0"/>
          <w:numId w:val="3"/>
        </w:numPr>
        <w:spacing w:after="80"/>
      </w:pPr>
      <w:r>
        <w:rPr>
          <w:rFonts w:ascii="Arial" w:cs="Arial" w:eastAsia="Arial" w:hAnsi="Arial"/>
          <w:sz w:val="22"/>
          <w:szCs w:val="22"/>
        </w:rPr>
        <w:t xml:space="preserve">Repeated suspension (three or more suspensions within any 24-month period).</w:t>
      </w:r>
    </w:p>
    <w:p>
      <w:pPr>
        <w:pStyle w:val="ListParagraph"/>
        <w:numPr>
          <w:ilvl w:val="0"/>
          <w:numId w:val="3"/>
        </w:numPr>
        <w:spacing w:after="80"/>
      </w:pPr>
      <w:r>
        <w:rPr>
          <w:rFonts w:ascii="Arial" w:cs="Arial" w:eastAsia="Arial" w:hAnsi="Arial"/>
          <w:sz w:val="22"/>
          <w:szCs w:val="22"/>
        </w:rPr>
        <w:t xml:space="preserve">Criminal conviction of the organization or key personnel for fraud, corruption, or related offenses.</w:t>
      </w:r>
    </w:p>
    <w:p>
      <w:pPr>
        <w:pStyle w:val="ListParagraph"/>
        <w:numPr>
          <w:ilvl w:val="0"/>
          <w:numId w:val="3"/>
        </w:numPr>
        <w:spacing w:after="80"/>
      </w:pPr>
      <w:r>
        <w:rPr>
          <w:rFonts w:ascii="Arial" w:cs="Arial" w:eastAsia="Arial" w:hAnsi="Arial"/>
          <w:sz w:val="22"/>
          <w:szCs w:val="22"/>
        </w:rPr>
        <w:t xml:space="preserve">Voluntary misrepresentation of evaluator qualifications or organizational capabilities.</w:t>
      </w:r>
    </w:p>
    <w:p>
      <w:pPr>
        <w:pStyle w:val="Heading2"/>
      </w:pPr>
      <w:r>
        <w:t xml:space="preserve">7.4 Revocation Procedures</w:t>
      </w:r>
    </w:p>
    <w:p>
      <w:pPr>
        <w:pStyle w:val="ListParagraph"/>
        <w:numPr>
          <w:ilvl w:val="0"/>
          <w:numId w:val="3"/>
        </w:numPr>
        <w:spacing w:after="80"/>
      </w:pPr>
      <w:r>
        <w:rPr>
          <w:rFonts w:ascii="Arial" w:cs="Arial" w:eastAsia="Arial" w:hAnsi="Arial"/>
          <w:sz w:val="22"/>
          <w:szCs w:val="22"/>
        </w:rPr>
        <w:t xml:space="preserve">Written notice of intent to revoke with specific grounds and supporting evidence.</w:t>
      </w:r>
    </w:p>
    <w:p>
      <w:pPr>
        <w:pStyle w:val="ListParagraph"/>
        <w:numPr>
          <w:ilvl w:val="0"/>
          <w:numId w:val="3"/>
        </w:numPr>
        <w:spacing w:after="80"/>
      </w:pPr>
      <w:r>
        <w:rPr>
          <w:rFonts w:ascii="Arial" w:cs="Arial" w:eastAsia="Arial" w:hAnsi="Arial"/>
          <w:sz w:val="22"/>
          <w:szCs w:val="22"/>
        </w:rPr>
        <w:t xml:space="preserve">30-day response period for the AVB to submit a written defense.</w:t>
      </w:r>
    </w:p>
    <w:p>
      <w:pPr>
        <w:pStyle w:val="ListParagraph"/>
        <w:numPr>
          <w:ilvl w:val="0"/>
          <w:numId w:val="3"/>
        </w:numPr>
        <w:spacing w:after="80"/>
      </w:pPr>
      <w:r>
        <w:rPr>
          <w:rFonts w:ascii="Arial" w:cs="Arial" w:eastAsia="Arial" w:hAnsi="Arial"/>
          <w:sz w:val="22"/>
          <w:szCs w:val="22"/>
        </w:rPr>
        <w:t xml:space="preserve">Review by an independent panel appointed by the TSB.</w:t>
      </w:r>
    </w:p>
    <w:p>
      <w:pPr>
        <w:pStyle w:val="ListParagraph"/>
        <w:numPr>
          <w:ilvl w:val="0"/>
          <w:numId w:val="3"/>
        </w:numPr>
        <w:spacing w:after="80"/>
      </w:pPr>
      <w:r>
        <w:rPr>
          <w:rFonts w:ascii="Arial" w:cs="Arial" w:eastAsia="Arial" w:hAnsi="Arial"/>
          <w:sz w:val="22"/>
          <w:szCs w:val="22"/>
        </w:rPr>
        <w:t xml:space="preserve">Panel recommendation to the TSB.</w:t>
      </w:r>
    </w:p>
    <w:p>
      <w:pPr>
        <w:pStyle w:val="ListParagraph"/>
        <w:numPr>
          <w:ilvl w:val="0"/>
          <w:numId w:val="3"/>
        </w:numPr>
        <w:spacing w:after="80"/>
      </w:pPr>
      <w:r>
        <w:rPr>
          <w:rFonts w:ascii="Arial" w:cs="Arial" w:eastAsia="Arial" w:hAnsi="Arial"/>
          <w:sz w:val="22"/>
          <w:szCs w:val="22"/>
        </w:rPr>
        <w:t xml:space="preserve">Final decision by the TSB communicated in writing.</w:t>
      </w:r>
    </w:p>
    <w:p>
      <w:pPr>
        <w:pStyle w:val="ListParagraph"/>
        <w:numPr>
          <w:ilvl w:val="0"/>
          <w:numId w:val="3"/>
        </w:numPr>
        <w:spacing w:after="80"/>
      </w:pPr>
      <w:r>
        <w:rPr>
          <w:rFonts w:ascii="Arial" w:cs="Arial" w:eastAsia="Arial" w:hAnsi="Arial"/>
          <w:sz w:val="22"/>
          <w:szCs w:val="22"/>
        </w:rPr>
        <w:t xml:space="preserve">Revocation is permanent for fraud-related grounds. For other grounds, the organization may reapply after 24 months.</w:t>
      </w:r>
    </w:p>
    <w:p>
      <w:pPr>
        <w:spacing w:after="120"/>
      </w:pPr>
      <w:r>
        <w:rPr>
          <w:rFonts w:ascii="Arial" w:cs="Arial" w:eastAsia="Arial" w:hAnsi="Arial"/>
          <w:sz w:val="22"/>
          <w:szCs w:val="22"/>
        </w:rPr>
        <w:t xml:space="preserve">Upon revocation, all in-progress evaluations are transferred to other AVBs. The revoked AVB must cooperate in the orderly transfer of evaluation records and evidence artifacts.</w:t>
      </w:r>
    </w:p>
    <w:p>
      <w:pPr>
        <w:pStyle w:val="Heading2"/>
      </w:pPr>
      <w:r>
        <w:t xml:space="preserve">7.5 Voluntary Withdrawal</w:t>
      </w:r>
    </w:p>
    <w:p>
      <w:pPr>
        <w:spacing w:after="120"/>
      </w:pPr>
      <w:r>
        <w:rPr>
          <w:rFonts w:ascii="Arial" w:cs="Arial" w:eastAsia="Arial" w:hAnsi="Arial"/>
          <w:sz w:val="22"/>
          <w:szCs w:val="22"/>
        </w:rPr>
        <w:t xml:space="preserve">An AVB may voluntarily withdraw from the program at any time by providing 90 days' written notice. Voluntary withdrawal requires:</w:t>
      </w:r>
    </w:p>
    <w:p>
      <w:pPr>
        <w:pStyle w:val="ListParagraph"/>
        <w:numPr>
          <w:ilvl w:val="0"/>
          <w:numId w:val="2"/>
        </w:numPr>
        <w:spacing w:after="80"/>
      </w:pPr>
      <w:r>
        <w:rPr>
          <w:rFonts w:ascii="Arial" w:cs="Arial" w:eastAsia="Arial" w:hAnsi="Arial"/>
          <w:sz w:val="22"/>
          <w:szCs w:val="22"/>
        </w:rPr>
        <w:t xml:space="preserve">Completion or orderly transfer of all in-progress evaluations.</w:t>
      </w:r>
    </w:p>
    <w:p>
      <w:pPr>
        <w:pStyle w:val="ListParagraph"/>
        <w:numPr>
          <w:ilvl w:val="0"/>
          <w:numId w:val="2"/>
        </w:numPr>
        <w:spacing w:after="80"/>
      </w:pPr>
      <w:r>
        <w:rPr>
          <w:rFonts w:ascii="Arial" w:cs="Arial" w:eastAsia="Arial" w:hAnsi="Arial"/>
          <w:sz w:val="22"/>
          <w:szCs w:val="22"/>
        </w:rPr>
        <w:t xml:space="preserve">Transfer of evaluation records to ARAF or a designated successor AVB.</w:t>
      </w:r>
    </w:p>
    <w:p>
      <w:pPr>
        <w:pStyle w:val="ListParagraph"/>
        <w:numPr>
          <w:ilvl w:val="0"/>
          <w:numId w:val="2"/>
        </w:numPr>
        <w:spacing w:after="80"/>
      </w:pPr>
      <w:r>
        <w:rPr>
          <w:rFonts w:ascii="Arial" w:cs="Arial" w:eastAsia="Arial" w:hAnsi="Arial"/>
          <w:sz w:val="22"/>
          <w:szCs w:val="22"/>
        </w:rPr>
        <w:t xml:space="preserve">Fulfillment of all outstanding reporting obligations.</w:t>
      </w:r>
    </w:p>
    <w:p>
      <w:pPr>
        <w:spacing w:after="120"/>
      </w:pPr>
      <w:r>
        <w:rPr>
          <w:rFonts w:ascii="Arial" w:cs="Arial" w:eastAsia="Arial" w:hAnsi="Arial"/>
          <w:sz w:val="22"/>
          <w:szCs w:val="22"/>
        </w:rPr>
        <w:t xml:space="preserve">Voluntary withdrawal does not affect the validity of certifications based on evaluations completed by the withdrawing AVB.</w:t>
      </w:r>
    </w:p>
    <w:p>
      <w:r>
        <w:br w:type="page"/>
      </w:r>
    </w:p>
    <w:p>
      <w:pPr>
        <w:pStyle w:val="Heading1"/>
      </w:pPr>
      <w:r>
        <w:t xml:space="preserve">Article 8 — Appeals</w:t>
      </w:r>
    </w:p>
    <w:p>
      <w:pPr>
        <w:pStyle w:val="Heading2"/>
      </w:pPr>
      <w:r>
        <w:t xml:space="preserve">8.1 Appeal Rights</w:t>
      </w:r>
    </w:p>
    <w:p>
      <w:pPr>
        <w:spacing w:after="120"/>
      </w:pPr>
      <w:r>
        <w:rPr>
          <w:rFonts w:ascii="Arial" w:cs="Arial" w:eastAsia="Arial" w:hAnsi="Arial"/>
          <w:sz w:val="22"/>
          <w:szCs w:val="22"/>
        </w:rPr>
        <w:t xml:space="preserve">AVBs may appeal the following decisions:</w:t>
      </w:r>
    </w:p>
    <w:p>
      <w:pPr>
        <w:pStyle w:val="ListParagraph"/>
        <w:numPr>
          <w:ilvl w:val="0"/>
          <w:numId w:val="2"/>
        </w:numPr>
        <w:spacing w:after="80"/>
      </w:pPr>
      <w:r>
        <w:rPr>
          <w:rFonts w:ascii="Arial" w:cs="Arial" w:eastAsia="Arial" w:hAnsi="Arial"/>
          <w:sz w:val="22"/>
          <w:szCs w:val="22"/>
        </w:rPr>
        <w:t xml:space="preserve">Denial of initial authorization.</w:t>
      </w:r>
    </w:p>
    <w:p>
      <w:pPr>
        <w:pStyle w:val="ListParagraph"/>
        <w:numPr>
          <w:ilvl w:val="0"/>
          <w:numId w:val="2"/>
        </w:numPr>
        <w:spacing w:after="80"/>
      </w:pPr>
      <w:r>
        <w:rPr>
          <w:rFonts w:ascii="Arial" w:cs="Arial" w:eastAsia="Arial" w:hAnsi="Arial"/>
          <w:sz w:val="22"/>
          <w:szCs w:val="22"/>
        </w:rPr>
        <w:t xml:space="preserve">Authorization with conditions (appealing the conditions).</w:t>
      </w:r>
    </w:p>
    <w:p>
      <w:pPr>
        <w:pStyle w:val="ListParagraph"/>
        <w:numPr>
          <w:ilvl w:val="0"/>
          <w:numId w:val="2"/>
        </w:numPr>
        <w:spacing w:after="80"/>
      </w:pPr>
      <w:r>
        <w:rPr>
          <w:rFonts w:ascii="Arial" w:cs="Arial" w:eastAsia="Arial" w:hAnsi="Arial"/>
          <w:sz w:val="22"/>
          <w:szCs w:val="22"/>
        </w:rPr>
        <w:t xml:space="preserve">Non-renewal of authorization.</w:t>
      </w:r>
    </w:p>
    <w:p>
      <w:pPr>
        <w:pStyle w:val="ListParagraph"/>
        <w:numPr>
          <w:ilvl w:val="0"/>
          <w:numId w:val="2"/>
        </w:numPr>
        <w:spacing w:after="80"/>
      </w:pPr>
      <w:r>
        <w:rPr>
          <w:rFonts w:ascii="Arial" w:cs="Arial" w:eastAsia="Arial" w:hAnsi="Arial"/>
          <w:sz w:val="22"/>
          <w:szCs w:val="22"/>
        </w:rPr>
        <w:t xml:space="preserve">Suspension of authorization.</w:t>
      </w:r>
    </w:p>
    <w:p>
      <w:pPr>
        <w:pStyle w:val="ListParagraph"/>
        <w:numPr>
          <w:ilvl w:val="0"/>
          <w:numId w:val="2"/>
        </w:numPr>
        <w:spacing w:after="80"/>
      </w:pPr>
      <w:r>
        <w:rPr>
          <w:rFonts w:ascii="Arial" w:cs="Arial" w:eastAsia="Arial" w:hAnsi="Arial"/>
          <w:sz w:val="22"/>
          <w:szCs w:val="22"/>
        </w:rPr>
        <w:t xml:space="preserve">Revocation of authorization.</w:t>
      </w:r>
    </w:p>
    <w:p>
      <w:pPr>
        <w:pStyle w:val="Heading2"/>
      </w:pPr>
      <w:r>
        <w:t xml:space="preserve">8.2 Appeal Process</w:t>
      </w:r>
    </w:p>
    <w:p>
      <w:pPr>
        <w:pStyle w:val="ListParagraph"/>
        <w:numPr>
          <w:ilvl w:val="0"/>
          <w:numId w:val="3"/>
        </w:numPr>
        <w:spacing w:after="80"/>
      </w:pPr>
      <w:r>
        <w:rPr>
          <w:rFonts w:ascii="Arial" w:cs="Arial" w:eastAsia="Arial" w:hAnsi="Arial"/>
          <w:sz w:val="22"/>
          <w:szCs w:val="22"/>
        </w:rPr>
        <w:t xml:space="preserve">Written appeal filed with the ARAF AVB Program Office within 30 days of the contested decision.</w:t>
      </w:r>
    </w:p>
    <w:p>
      <w:pPr>
        <w:pStyle w:val="ListParagraph"/>
        <w:numPr>
          <w:ilvl w:val="0"/>
          <w:numId w:val="3"/>
        </w:numPr>
        <w:spacing w:after="80"/>
      </w:pPr>
      <w:r>
        <w:rPr>
          <w:rFonts w:ascii="Arial" w:cs="Arial" w:eastAsia="Arial" w:hAnsi="Arial"/>
          <w:sz w:val="22"/>
          <w:szCs w:val="22"/>
        </w:rPr>
        <w:t xml:space="preserve">Appeal must specify the decision being contested, the grounds for appeal, and any new evidence or arguments.</w:t>
      </w:r>
    </w:p>
    <w:p>
      <w:pPr>
        <w:pStyle w:val="ListParagraph"/>
        <w:numPr>
          <w:ilvl w:val="0"/>
          <w:numId w:val="3"/>
        </w:numPr>
        <w:spacing w:after="80"/>
      </w:pPr>
      <w:r>
        <w:rPr>
          <w:rFonts w:ascii="Arial" w:cs="Arial" w:eastAsia="Arial" w:hAnsi="Arial"/>
          <w:sz w:val="22"/>
          <w:szCs w:val="22"/>
        </w:rPr>
        <w:t xml:space="preserve">Appeal review by an independent panel of three members, none of whom were involved in the original decision.</w:t>
      </w:r>
    </w:p>
    <w:p>
      <w:pPr>
        <w:pStyle w:val="ListParagraph"/>
        <w:numPr>
          <w:ilvl w:val="0"/>
          <w:numId w:val="3"/>
        </w:numPr>
        <w:spacing w:after="80"/>
      </w:pPr>
      <w:r>
        <w:rPr>
          <w:rFonts w:ascii="Arial" w:cs="Arial" w:eastAsia="Arial" w:hAnsi="Arial"/>
          <w:sz w:val="22"/>
          <w:szCs w:val="22"/>
        </w:rPr>
        <w:t xml:space="preserve">Panel may request additional information from the AVB and from ARAF staff.</w:t>
      </w:r>
    </w:p>
    <w:p>
      <w:pPr>
        <w:pStyle w:val="ListParagraph"/>
        <w:numPr>
          <w:ilvl w:val="0"/>
          <w:numId w:val="3"/>
        </w:numPr>
        <w:spacing w:after="80"/>
      </w:pPr>
      <w:r>
        <w:rPr>
          <w:rFonts w:ascii="Arial" w:cs="Arial" w:eastAsia="Arial" w:hAnsi="Arial"/>
          <w:sz w:val="22"/>
          <w:szCs w:val="22"/>
        </w:rPr>
        <w:t xml:space="preserve">Panel hearing (in-person or video, at the AVB's option) within 45 days of appeal filing.</w:t>
      </w:r>
    </w:p>
    <w:p>
      <w:pPr>
        <w:pStyle w:val="ListParagraph"/>
        <w:numPr>
          <w:ilvl w:val="0"/>
          <w:numId w:val="3"/>
        </w:numPr>
        <w:spacing w:after="80"/>
      </w:pPr>
      <w:r>
        <w:rPr>
          <w:rFonts w:ascii="Arial" w:cs="Arial" w:eastAsia="Arial" w:hAnsi="Arial"/>
          <w:sz w:val="22"/>
          <w:szCs w:val="22"/>
        </w:rPr>
        <w:t xml:space="preserve">Panel decision within 15 days of hearing.</w:t>
      </w:r>
    </w:p>
    <w:p>
      <w:pPr>
        <w:pStyle w:val="ListParagraph"/>
        <w:numPr>
          <w:ilvl w:val="0"/>
          <w:numId w:val="3"/>
        </w:numPr>
        <w:spacing w:after="80"/>
      </w:pPr>
      <w:r>
        <w:rPr>
          <w:rFonts w:ascii="Arial" w:cs="Arial" w:eastAsia="Arial" w:hAnsi="Arial"/>
          <w:sz w:val="22"/>
          <w:szCs w:val="22"/>
        </w:rPr>
        <w:t xml:space="preserve">Panel decision is final for procedural matters. Further appeal on substantive grounds is available only to the full TSB, whose decision is binding.</w:t>
      </w:r>
    </w:p>
    <w:p>
      <w:r>
        <w:br w:type="page"/>
      </w:r>
    </w:p>
    <w:p>
      <w:pPr>
        <w:pStyle w:val="Heading1"/>
      </w:pPr>
      <w:r>
        <w:t xml:space="preserve">Article 9 — AVB Code of Conduct</w:t>
      </w:r>
    </w:p>
    <w:p>
      <w:pPr>
        <w:spacing w:after="120"/>
      </w:pPr>
      <w:r>
        <w:rPr>
          <w:rFonts w:ascii="Arial" w:cs="Arial" w:eastAsia="Arial" w:hAnsi="Arial"/>
          <w:sz w:val="22"/>
          <w:szCs w:val="22"/>
        </w:rPr>
        <w:t xml:space="preserve">All Authorized Validation Bodies and their personnel commit to the following principles:</w:t>
      </w:r>
    </w:p>
    <w:p>
      <w:pPr>
        <w:spacing w:after="40"/>
      </w:pPr>
    </w:p>
    <w:p>
      <w:pPr>
        <w:pStyle w:val="ListParagraph"/>
        <w:numPr>
          <w:ilvl w:val="0"/>
          <w:numId w:val="3"/>
        </w:numPr>
        <w:spacing w:after="80"/>
      </w:pPr>
      <w:r>
        <w:rPr>
          <w:rFonts w:ascii="Arial" w:cs="Arial" w:eastAsia="Arial" w:hAnsi="Arial"/>
          <w:b/>
          <w:bCs/>
          <w:sz w:val="22"/>
          <w:szCs w:val="22"/>
        </w:rPr>
        <w:t xml:space="preserve">Integrity: </w:t>
      </w:r>
      <w:r>
        <w:rPr>
          <w:rFonts w:ascii="Arial" w:cs="Arial" w:eastAsia="Arial" w:hAnsi="Arial"/>
          <w:sz w:val="22"/>
          <w:szCs w:val="22"/>
        </w:rPr>
        <w:t xml:space="preserve">Conduct all evaluation activities honestly and without misrepresentation. Report findings accurately, including findings unfavorable to the organization under evaluation.</w:t>
      </w:r>
    </w:p>
    <w:p>
      <w:pPr>
        <w:pStyle w:val="ListParagraph"/>
        <w:numPr>
          <w:ilvl w:val="0"/>
          <w:numId w:val="3"/>
        </w:numPr>
        <w:spacing w:after="80"/>
      </w:pPr>
      <w:r>
        <w:rPr>
          <w:rFonts w:ascii="Arial" w:cs="Arial" w:eastAsia="Arial" w:hAnsi="Arial"/>
          <w:b/>
          <w:bCs/>
          <w:sz w:val="22"/>
          <w:szCs w:val="22"/>
        </w:rPr>
        <w:t xml:space="preserve">Independence: </w:t>
      </w:r>
      <w:r>
        <w:rPr>
          <w:rFonts w:ascii="Arial" w:cs="Arial" w:eastAsia="Arial" w:hAnsi="Arial"/>
          <w:sz w:val="22"/>
          <w:szCs w:val="22"/>
        </w:rPr>
        <w:t xml:space="preserve">Maintain professional independence throughout every engagement. Disclose all potential conflicts of interest promptly and completely.</w:t>
      </w:r>
    </w:p>
    <w:p>
      <w:pPr>
        <w:pStyle w:val="ListParagraph"/>
        <w:numPr>
          <w:ilvl w:val="0"/>
          <w:numId w:val="3"/>
        </w:numPr>
        <w:spacing w:after="80"/>
      </w:pPr>
      <w:r>
        <w:rPr>
          <w:rFonts w:ascii="Arial" w:cs="Arial" w:eastAsia="Arial" w:hAnsi="Arial"/>
          <w:b/>
          <w:bCs/>
          <w:sz w:val="22"/>
          <w:szCs w:val="22"/>
        </w:rPr>
        <w:t xml:space="preserve">Competence: </w:t>
      </w:r>
      <w:r>
        <w:rPr>
          <w:rFonts w:ascii="Arial" w:cs="Arial" w:eastAsia="Arial" w:hAnsi="Arial"/>
          <w:sz w:val="22"/>
          <w:szCs w:val="22"/>
        </w:rPr>
        <w:t xml:space="preserve">Accept only engagements within the AVB's demonstrated competency. Maintain and continuously develop technical expertise.</w:t>
      </w:r>
    </w:p>
    <w:p>
      <w:pPr>
        <w:pStyle w:val="ListParagraph"/>
        <w:numPr>
          <w:ilvl w:val="0"/>
          <w:numId w:val="3"/>
        </w:numPr>
        <w:spacing w:after="80"/>
      </w:pPr>
      <w:r>
        <w:rPr>
          <w:rFonts w:ascii="Arial" w:cs="Arial" w:eastAsia="Arial" w:hAnsi="Arial"/>
          <w:b/>
          <w:bCs/>
          <w:sz w:val="22"/>
          <w:szCs w:val="22"/>
        </w:rPr>
        <w:t xml:space="preserve">Objectivity: </w:t>
      </w:r>
      <w:r>
        <w:rPr>
          <w:rFonts w:ascii="Arial" w:cs="Arial" w:eastAsia="Arial" w:hAnsi="Arial"/>
          <w:sz w:val="22"/>
          <w:szCs w:val="22"/>
        </w:rPr>
        <w:t xml:space="preserve">Base all evaluation findings on evidence and methodology, not on relationships, reputation, or commercial pressure.</w:t>
      </w:r>
    </w:p>
    <w:p>
      <w:pPr>
        <w:pStyle w:val="ListParagraph"/>
        <w:numPr>
          <w:ilvl w:val="0"/>
          <w:numId w:val="3"/>
        </w:numPr>
        <w:spacing w:after="80"/>
      </w:pPr>
      <w:r>
        <w:rPr>
          <w:rFonts w:ascii="Arial" w:cs="Arial" w:eastAsia="Arial" w:hAnsi="Arial"/>
          <w:b/>
          <w:bCs/>
          <w:sz w:val="22"/>
          <w:szCs w:val="22"/>
        </w:rPr>
        <w:t xml:space="preserve">Confidentiality: </w:t>
      </w:r>
      <w:r>
        <w:rPr>
          <w:rFonts w:ascii="Arial" w:cs="Arial" w:eastAsia="Arial" w:hAnsi="Arial"/>
          <w:sz w:val="22"/>
          <w:szCs w:val="22"/>
        </w:rPr>
        <w:t xml:space="preserve">Protect all information received from organizations under evaluation. Never use evaluation-derived information for competitive advantage.</w:t>
      </w:r>
    </w:p>
    <w:p>
      <w:pPr>
        <w:pStyle w:val="ListParagraph"/>
        <w:numPr>
          <w:ilvl w:val="0"/>
          <w:numId w:val="3"/>
        </w:numPr>
        <w:spacing w:after="80"/>
      </w:pPr>
      <w:r>
        <w:rPr>
          <w:rFonts w:ascii="Arial" w:cs="Arial" w:eastAsia="Arial" w:hAnsi="Arial"/>
          <w:b/>
          <w:bCs/>
          <w:sz w:val="22"/>
          <w:szCs w:val="22"/>
        </w:rPr>
        <w:t xml:space="preserve">Professionalism: </w:t>
      </w:r>
      <w:r>
        <w:rPr>
          <w:rFonts w:ascii="Arial" w:cs="Arial" w:eastAsia="Arial" w:hAnsi="Arial"/>
          <w:sz w:val="22"/>
          <w:szCs w:val="22"/>
        </w:rPr>
        <w:t xml:space="preserve">Represent the ARA certification ecosystem with professionalism and respect toward all stakeholders.</w:t>
      </w:r>
    </w:p>
    <w:p>
      <w:pPr>
        <w:pStyle w:val="ListParagraph"/>
        <w:numPr>
          <w:ilvl w:val="0"/>
          <w:numId w:val="3"/>
        </w:numPr>
        <w:spacing w:after="80"/>
      </w:pPr>
      <w:r>
        <w:rPr>
          <w:rFonts w:ascii="Arial" w:cs="Arial" w:eastAsia="Arial" w:hAnsi="Arial"/>
          <w:b/>
          <w:bCs/>
          <w:sz w:val="22"/>
          <w:szCs w:val="22"/>
        </w:rPr>
        <w:t xml:space="preserve">Accountability: </w:t>
      </w:r>
      <w:r>
        <w:rPr>
          <w:rFonts w:ascii="Arial" w:cs="Arial" w:eastAsia="Arial" w:hAnsi="Arial"/>
          <w:sz w:val="22"/>
          <w:szCs w:val="22"/>
        </w:rPr>
        <w:t xml:space="preserve">Accept responsibility for evaluation quality. Cooperate fully with ARAF quality reviews, calibration exercises, and investigations.</w:t>
      </w:r>
    </w:p>
    <w:p>
      <w:pPr>
        <w:pStyle w:val="ListParagraph"/>
        <w:numPr>
          <w:ilvl w:val="0"/>
          <w:numId w:val="3"/>
        </w:numPr>
        <w:spacing w:after="80"/>
      </w:pPr>
      <w:r>
        <w:rPr>
          <w:rFonts w:ascii="Arial" w:cs="Arial" w:eastAsia="Arial" w:hAnsi="Arial"/>
          <w:b/>
          <w:bCs/>
          <w:sz w:val="22"/>
          <w:szCs w:val="22"/>
        </w:rPr>
        <w:t xml:space="preserve">Continuous Improvement: </w:t>
      </w:r>
      <w:r>
        <w:rPr>
          <w:rFonts w:ascii="Arial" w:cs="Arial" w:eastAsia="Arial" w:hAnsi="Arial"/>
          <w:sz w:val="22"/>
          <w:szCs w:val="22"/>
        </w:rPr>
        <w:t xml:space="preserve">Actively seek to improve evaluation quality, methodology implementation, and organizational processes.</w:t>
      </w:r>
    </w:p>
    <w:p>
      <w:pPr>
        <w:spacing w:after="120"/>
      </w:pPr>
      <w:r>
        <w:rPr>
          <w:rFonts w:ascii="Arial" w:cs="Arial" w:eastAsia="Arial" w:hAnsi="Arial"/>
          <w:sz w:val="22"/>
          <w:szCs w:val="22"/>
        </w:rPr>
        <w:t xml:space="preserve">Violation of the Code of Conduct may result in suspension or revocation of AVB authorization as defined in Article 7.</w:t>
      </w:r>
    </w:p>
    <w:p>
      <w:r>
        <w:br w:type="page"/>
      </w:r>
    </w:p>
    <w:p>
      <w:pPr>
        <w:pStyle w:val="Heading1"/>
      </w:pPr>
      <w:r>
        <w:t xml:space="preserve">Article 10 — Transition Provisions</w:t>
      </w:r>
    </w:p>
    <w:p>
      <w:pPr>
        <w:spacing w:after="120"/>
      </w:pPr>
      <w:r>
        <w:rPr>
          <w:rFonts w:ascii="Arial" w:cs="Arial" w:eastAsia="Arial" w:hAnsi="Arial"/>
          <w:sz w:val="22"/>
          <w:szCs w:val="22"/>
        </w:rPr>
        <w:t xml:space="preserve">During the initial establishment of the AVB program (the first 24 months following publication of ARA Standard v1.0), the following transition provisions apply:</w:t>
      </w:r>
    </w:p>
    <w:p>
      <w:pPr>
        <w:spacing w:after="40"/>
      </w:pPr>
    </w:p>
    <w:p>
      <w:pPr>
        <w:pStyle w:val="ListParagraph"/>
        <w:numPr>
          <w:ilvl w:val="0"/>
          <w:numId w:val="2"/>
        </w:numPr>
        <w:spacing w:after="80"/>
      </w:pPr>
      <w:r>
        <w:rPr>
          <w:rFonts w:ascii="Arial" w:cs="Arial" w:eastAsia="Arial" w:hAnsi="Arial"/>
          <w:b/>
          <w:bCs/>
          <w:sz w:val="22"/>
          <w:szCs w:val="22"/>
        </w:rPr>
        <w:t xml:space="preserve">Reduced operational history: </w:t>
      </w:r>
      <w:r>
        <w:rPr>
          <w:rFonts w:ascii="Arial" w:cs="Arial" w:eastAsia="Arial" w:hAnsi="Arial"/>
          <w:sz w:val="22"/>
          <w:szCs w:val="22"/>
        </w:rPr>
        <w:t xml:space="preserve">The 2-year operational history requirement may be partially satisfied by demonstrated prior experience in related evaluation or audit disciplines, subject to TSB approval.</w:t>
      </w:r>
    </w:p>
    <w:p>
      <w:pPr>
        <w:pStyle w:val="ListParagraph"/>
        <w:numPr>
          <w:ilvl w:val="0"/>
          <w:numId w:val="2"/>
        </w:numPr>
        <w:spacing w:after="80"/>
      </w:pPr>
      <w:r>
        <w:rPr>
          <w:rFonts w:ascii="Arial" w:cs="Arial" w:eastAsia="Arial" w:hAnsi="Arial"/>
          <w:b/>
          <w:bCs/>
          <w:sz w:val="22"/>
          <w:szCs w:val="22"/>
        </w:rPr>
        <w:t xml:space="preserve">Provisional authorization: </w:t>
      </w:r>
      <w:r>
        <w:rPr>
          <w:rFonts w:ascii="Arial" w:cs="Arial" w:eastAsia="Arial" w:hAnsi="Arial"/>
          <w:sz w:val="22"/>
          <w:szCs w:val="22"/>
        </w:rPr>
        <w:t xml:space="preserve">Early applicants may receive provisional authorization valid for 6 months, allowing them to conduct evaluations under enhanced ARAF supervision. Provisional authorization converts to standard authorization upon successful completion of the first supervised evaluation cycle.</w:t>
      </w:r>
    </w:p>
    <w:p>
      <w:pPr>
        <w:pStyle w:val="ListParagraph"/>
        <w:numPr>
          <w:ilvl w:val="0"/>
          <w:numId w:val="2"/>
        </w:numPr>
        <w:spacing w:after="80"/>
      </w:pPr>
      <w:r>
        <w:rPr>
          <w:rFonts w:ascii="Arial" w:cs="Arial" w:eastAsia="Arial" w:hAnsi="Arial"/>
          <w:b/>
          <w:bCs/>
          <w:sz w:val="22"/>
          <w:szCs w:val="22"/>
        </w:rPr>
        <w:t xml:space="preserve">Calibration exercises: </w:t>
      </w:r>
      <w:r>
        <w:rPr>
          <w:rFonts w:ascii="Arial" w:cs="Arial" w:eastAsia="Arial" w:hAnsi="Arial"/>
          <w:sz w:val="22"/>
          <w:szCs w:val="22"/>
        </w:rPr>
        <w:t xml:space="preserve">Initial calibration exercises will be conducted within 6 months of the first AVB authorizations to establish consistency baselines.</w:t>
      </w:r>
    </w:p>
    <w:p>
      <w:pPr>
        <w:pStyle w:val="ListParagraph"/>
        <w:numPr>
          <w:ilvl w:val="0"/>
          <w:numId w:val="2"/>
        </w:numPr>
        <w:spacing w:after="80"/>
      </w:pPr>
      <w:r>
        <w:rPr>
          <w:rFonts w:ascii="Arial" w:cs="Arial" w:eastAsia="Arial" w:hAnsi="Arial"/>
          <w:b/>
          <w:bCs/>
          <w:sz w:val="22"/>
          <w:szCs w:val="22"/>
        </w:rPr>
        <w:t xml:space="preserve">Evaluator onboarding: </w:t>
      </w:r>
      <w:r>
        <w:rPr>
          <w:rFonts w:ascii="Arial" w:cs="Arial" w:eastAsia="Arial" w:hAnsi="Arial"/>
          <w:sz w:val="22"/>
          <w:szCs w:val="22"/>
        </w:rPr>
        <w:t xml:space="preserve">ARAF will provide intensive evaluator training programs during the transition period. Completion of the ARAF transition training program satisfies the initial CPD requirement.</w:t>
      </w:r>
    </w:p>
    <w:p>
      <w:pPr>
        <w:pStyle w:val="ListParagraph"/>
        <w:numPr>
          <w:ilvl w:val="0"/>
          <w:numId w:val="2"/>
        </w:numPr>
        <w:spacing w:after="80"/>
      </w:pPr>
      <w:r>
        <w:rPr>
          <w:rFonts w:ascii="Arial" w:cs="Arial" w:eastAsia="Arial" w:hAnsi="Arial"/>
          <w:b/>
          <w:bCs/>
          <w:sz w:val="22"/>
          <w:szCs w:val="22"/>
        </w:rPr>
        <w:t xml:space="preserve">Application fee waiver: </w:t>
      </w:r>
      <w:r>
        <w:rPr>
          <w:rFonts w:ascii="Arial" w:cs="Arial" w:eastAsia="Arial" w:hAnsi="Arial"/>
          <w:sz w:val="22"/>
          <w:szCs w:val="22"/>
        </w:rPr>
        <w:t xml:space="preserve">Application fees may be reduced or waived for early applicants during the first 12 months of the program, at ARAF's discretion.</w:t>
      </w:r>
    </w:p>
    <w:p>
      <w:pPr>
        <w:spacing w:after="120"/>
      </w:pPr>
      <w:r>
        <w:rPr>
          <w:rFonts w:ascii="Arial" w:cs="Arial" w:eastAsia="Arial" w:hAnsi="Arial"/>
          <w:sz w:val="22"/>
          <w:szCs w:val="22"/>
        </w:rPr>
        <w:t xml:space="preserve">Transition provisions expire 24 months after the publication date of ARA Standard v1.0. All AVBs authorized under transition provisions must meet full requirements by the transition expiration date.</w:t>
      </w:r>
    </w:p>
    <w:p>
      <w:r>
        <w:br w:type="page"/>
      </w:r>
    </w:p>
    <w:p>
      <w:pPr>
        <w:pStyle w:val="Heading1"/>
      </w:pPr>
      <w:r>
        <w:t xml:space="preserve">Appendix A — Application Checklist</w:t>
      </w:r>
    </w:p>
    <w:p>
      <w:pPr>
        <w:spacing w:after="120"/>
      </w:pPr>
      <w:r>
        <w:rPr>
          <w:rFonts w:ascii="Arial" w:cs="Arial" w:eastAsia="Arial" w:hAnsi="Arial"/>
          <w:sz w:val="22"/>
          <w:szCs w:val="22"/>
        </w:rPr>
        <w:t xml:space="preserve">Use this checklist to ensure your AVB application is complete before submission.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000"/>
        <w:gridCol w:w="2400"/>
      </w:tblGrid>
      <w:tr>
        <w:tc>
          <w:tcPr>
            <w:tcW w:type="dxa" w:w="6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c>
          <w:tcPr>
            <w:tcW w:type="dxa" w:w="24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Included?</w:t>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Completed AVB Application Form</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4.2</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Legal entity registration documents</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3.1</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Governance structure documentation</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3.1</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Ownership disclosure</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3.1</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Audited financial statements (2 years)</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3.1</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Evaluator CVs with qualifications</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3.3</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Professional certifications (copies)</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3.3</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QMS manual or equivalent</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3.5</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Test environment description</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3.3.2</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Evidence storage security documentation</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3.3.2</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Communication security documentation</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3.3.2</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12</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Professional indemnity insurance certificate</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3.6</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13</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E&amp;O insurance certificate</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3.6</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14</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Conflict of interest policy</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3.2</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15</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Confidentiality policy</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3.7</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16</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Data protection policy</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3.7</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17</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Management commitment statement (signed)</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3.1</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18</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AVB Manager designation letter</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3.1</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19</w:t>
            </w:r>
          </w:p>
        </w:tc>
        <w:tc>
          <w:tcPr>
            <w:tcW w:type="dxa" w:w="4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Requested authorization level justification</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Art. 4.2</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20</w:t>
            </w:r>
          </w:p>
        </w:tc>
        <w:tc>
          <w:tcPr>
            <w:tcW w:type="dxa" w:w="4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Application fee payment confirmation</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 4.2</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bl>
    <w:p>
      <w:r>
        <w:br w:type="page"/>
      </w:r>
    </w:p>
    <w:p>
      <w:pPr>
        <w:pStyle w:val="Heading1"/>
      </w:pPr>
      <w:r>
        <w:t xml:space="preserve">Appendix B — AVB Performance Scorecard</w:t>
      </w:r>
    </w:p>
    <w:p>
      <w:pPr>
        <w:spacing w:after="120"/>
      </w:pPr>
      <w:r>
        <w:rPr>
          <w:rFonts w:ascii="Arial" w:cs="Arial" w:eastAsia="Arial" w:hAnsi="Arial"/>
          <w:sz w:val="22"/>
          <w:szCs w:val="22"/>
        </w:rPr>
        <w:t xml:space="preserve">The following scorecard is used during annual performance review. Scores are weighted to produce an overall performance rating.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760"/>
        <w:gridCol w:w="1800"/>
        <w:gridCol w:w="1600"/>
      </w:tblGrid>
      <w:tr>
        <w:tc>
          <w:tcPr>
            <w:tcW w:type="dxa" w:w="22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7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16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r>
      <w:tr>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Evaluation quality</w:t>
            </w:r>
          </w:p>
        </w:tc>
        <w:tc>
          <w:tcPr>
            <w:tcW w:type="dxa" w:w="1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25%</w:t>
            </w:r>
          </w:p>
        </w:tc>
        <w:tc>
          <w:tcPr>
            <w:tcW w:type="dxa" w:w="27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Reports accepted without revision</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1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Evidence integrity</w:t>
            </w:r>
          </w:p>
        </w:tc>
        <w:tc>
          <w:tcPr>
            <w:tcW w:type="dxa" w:w="1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20%</w:t>
            </w:r>
          </w:p>
        </w:tc>
        <w:tc>
          <w:tcPr>
            <w:tcW w:type="dxa" w:w="27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Artifact audit compliance rate</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100%</w:t>
            </w:r>
          </w:p>
        </w:tc>
        <w:tc>
          <w:tcPr>
            <w:tcW w:type="dxa" w:w="1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Methodology compliance</w:t>
            </w:r>
          </w:p>
        </w:tc>
        <w:tc>
          <w:tcPr>
            <w:tcW w:type="dxa" w:w="1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15%</w:t>
            </w:r>
          </w:p>
        </w:tc>
        <w:tc>
          <w:tcPr>
            <w:tcW w:type="dxa" w:w="27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Audit finding rate (lower = better)</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 material findings</w:t>
            </w:r>
          </w:p>
        </w:tc>
        <w:tc>
          <w:tcPr>
            <w:tcW w:type="dxa" w:w="1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Calibration consistency</w:t>
            </w:r>
          </w:p>
        </w:tc>
        <w:tc>
          <w:tcPr>
            <w:tcW w:type="dxa" w:w="1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15%</w:t>
            </w:r>
          </w:p>
        </w:tc>
        <w:tc>
          <w:tcPr>
            <w:tcW w:type="dxa" w:w="27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Deviation from calibration norm</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1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Timeliness</w:t>
            </w:r>
          </w:p>
        </w:tc>
        <w:tc>
          <w:tcPr>
            <w:tcW w:type="dxa" w:w="1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27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On-time report submission</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95%+</w:t>
            </w:r>
          </w:p>
        </w:tc>
        <w:tc>
          <w:tcPr>
            <w:tcW w:type="dxa" w:w="1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CPD compliance</w:t>
            </w:r>
          </w:p>
        </w:tc>
        <w:tc>
          <w:tcPr>
            <w:tcW w:type="dxa" w:w="1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27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Evaluators meeting CPD minimum</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100%</w:t>
            </w:r>
          </w:p>
        </w:tc>
        <w:tc>
          <w:tcPr>
            <w:tcW w:type="dxa" w:w="1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 satisfaction</w:t>
            </w:r>
          </w:p>
        </w:tc>
        <w:tc>
          <w:tcPr>
            <w:tcW w:type="dxa" w:w="1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27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Complaint-free engagements</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95%+</w:t>
            </w:r>
          </w:p>
        </w:tc>
        <w:tc>
          <w:tcPr>
            <w:tcW w:type="dxa" w:w="16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Incident management</w:t>
            </w:r>
          </w:p>
        </w:tc>
        <w:tc>
          <w:tcPr>
            <w:tcW w:type="dxa" w:w="1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27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Notification compliance</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100%</w:t>
            </w:r>
          </w:p>
        </w:tc>
        <w:tc>
          <w:tcPr>
            <w:tcW w:type="dxa" w:w="16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bl>
    <w:p>
      <w:pPr>
        <w:spacing w:after="200"/>
      </w:pPr>
    </w:p>
    <w:p>
      <w:pPr>
        <w:spacing w:after="120"/>
      </w:pPr>
      <w:r>
        <w:rPr>
          <w:rFonts w:ascii="Arial" w:cs="Arial" w:eastAsia="Arial" w:hAnsi="Arial"/>
          <w:b/>
          <w:bCs/>
          <w:sz w:val="22"/>
          <w:szCs w:val="22"/>
        </w:rPr>
        <w:t xml:space="preserve">Overall Rating Scale:</w:t>
      </w:r>
    </w:p>
    <w:p>
      <w:pPr>
        <w:pStyle w:val="ListParagraph"/>
        <w:numPr>
          <w:ilvl w:val="0"/>
          <w:numId w:val="2"/>
        </w:numPr>
        <w:spacing w:after="80"/>
      </w:pPr>
      <w:r>
        <w:rPr>
          <w:rFonts w:ascii="Arial" w:cs="Arial" w:eastAsia="Arial" w:hAnsi="Arial"/>
          <w:sz w:val="22"/>
          <w:szCs w:val="22"/>
        </w:rPr>
        <w:t xml:space="preserve">90–100: Excellent. Renewed without conditions.</w:t>
      </w:r>
    </w:p>
    <w:p>
      <w:pPr>
        <w:pStyle w:val="ListParagraph"/>
        <w:numPr>
          <w:ilvl w:val="0"/>
          <w:numId w:val="2"/>
        </w:numPr>
        <w:spacing w:after="80"/>
      </w:pPr>
      <w:r>
        <w:rPr>
          <w:rFonts w:ascii="Arial" w:cs="Arial" w:eastAsia="Arial" w:hAnsi="Arial"/>
          <w:sz w:val="22"/>
          <w:szCs w:val="22"/>
        </w:rPr>
        <w:t xml:space="preserve">75–89: Satisfactory. Renewed; improvement plan if below 80 in any category.</w:t>
      </w:r>
    </w:p>
    <w:p>
      <w:pPr>
        <w:pStyle w:val="ListParagraph"/>
        <w:numPr>
          <w:ilvl w:val="0"/>
          <w:numId w:val="2"/>
        </w:numPr>
        <w:spacing w:after="80"/>
      </w:pPr>
      <w:r>
        <w:rPr>
          <w:rFonts w:ascii="Arial" w:cs="Arial" w:eastAsia="Arial" w:hAnsi="Arial"/>
          <w:sz w:val="22"/>
          <w:szCs w:val="22"/>
        </w:rPr>
        <w:t xml:space="preserve">60–74: Below Standard. Probationary renewal with mandatory improvement actions.</w:t>
      </w:r>
    </w:p>
    <w:p>
      <w:pPr>
        <w:pStyle w:val="ListParagraph"/>
        <w:numPr>
          <w:ilvl w:val="0"/>
          <w:numId w:val="2"/>
        </w:numPr>
        <w:spacing w:after="80"/>
      </w:pPr>
      <w:r>
        <w:rPr>
          <w:rFonts w:ascii="Arial" w:cs="Arial" w:eastAsia="Arial" w:hAnsi="Arial"/>
          <w:sz w:val="22"/>
          <w:szCs w:val="22"/>
        </w:rPr>
        <w:t xml:space="preserve">Below 60: Unsatisfactory. Non-renewal recommended.</w:t>
      </w:r>
    </w:p>
    <w:p>
      <w:r>
        <w:br w:type="page"/>
      </w:r>
    </w:p>
    <w:p>
      <w:pPr>
        <w:pStyle w:val="Heading1"/>
      </w:pPr>
      <w: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ACR</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Autonomous Control Requirement. A discrete, measurable, testable requirement within a reliability domain.</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ARA</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Autonomous Reliability Assurance. The certification standard published by ARAF.</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ARAF</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Autonomous Reliability Assurance Foundation. The independent standards body.</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AVB</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Authorized Validation Body. An organization authorized by ARAF to conduct ARA evaluations.</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AVB Manager</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designated senior individual responsible for the AVB's compliance with ARAF requirements.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AVB Program Office</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The ARAF function responsible for AVB authorization, monitoring, and performance review.</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Calibration Exercise</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 consistency assessment where multiple AVBs independently evaluate the same test system.</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CAP</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Continuous Assurance Platform. ARAF's always-on monitoring service.</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Office</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ARAF function with sole authority to issue, deny, or condition ARA certifications.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COI</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Conflict of Interest. Any relationship that could impair evaluation objectivity.</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CPD</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Continued Professional Development. Ongoing training and learning for evaluators.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QMS</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Quality Management System. Organizational framework for evaluation quality assurance.</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TSB</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Technical Standards Board. ARAF's ultimate technical authority.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 2026 ARAF</w:t>
    </w:r>
    <w:r>
      <w:rPr>
        <w:rFonts w:ascii="Arial" w:cs="Arial" w:eastAsia="Arial" w:hAnsi="Arial"/>
        <w:color w:val="99999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ARAF-ARA-AVB-2026-001</w:t>
    </w:r>
    <w:r>
      <w:rPr>
        <w:rFonts w:ascii="Arial" w:cs="Arial" w:eastAsia="Arial" w:hAnsi="Arial"/>
        <w:color w:val="999999"/>
        <w:sz w:val="16"/>
        <w:szCs w:val="16"/>
      </w:rPr>
      <w:t xml:space="preserve">	ARA Standard v1.0 — AVB Authorization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2026-02-28T07:23:21.575Z</dcterms:created>
  <dcterms:modified xsi:type="dcterms:W3CDTF">2026-02-28T07:23:21.576Z</dcterms:modified>
</cp:coreProperties>
</file>

<file path=docProps/custom.xml><?xml version="1.0" encoding="utf-8"?>
<Properties xmlns="http://schemas.openxmlformats.org/officeDocument/2006/custom-properties" xmlns:vt="http://schemas.openxmlformats.org/officeDocument/2006/docPropsVTypes"/>
</file>