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Evaluation Methodology Guide</w:t>
      </w:r>
    </w:p>
    <w:p>
      <w:pPr>
        <w:spacing w:after="60"/>
      </w:pPr>
    </w:p>
    <w:p>
      <w:pPr>
        <w:spacing w:after="120"/>
        <w:jc w:val="center"/>
      </w:pPr>
      <w:r>
        <w:rPr>
          <w:rFonts w:ascii="Arial" w:cs="Arial" w:eastAsia="Arial" w:hAnsi="Arial"/>
          <w:b/>
          <w:bCs/>
          <w:color w:val="2C4A7C"/>
          <w:sz w:val="22"/>
          <w:szCs w:val="22"/>
        </w:rPr>
        <w:t xml:space="preserve">ARAF-ARA-EVL-2026-002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 (ACR Control Matrix), ARAF-ARA-AVB-2026-002, ARAF-ARA-SDK-2026-002,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Founding Committee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evaluation framework outline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methods defined; scoring methodology drafted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 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Review Draft aligned with ARA Standard v1.0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ARAF TSB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Major update: 15 domains, system profiles, evidence categories, Express pathway, per-ACR evaluation frequency, D5/D13 procedures</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and ACR references updated for 15-domain structure. Former Domains 5-12 renumbered to Domains 6-12 and 14; former Domain 13 becomes Domain 15.</w:t>
      </w:r>
    </w:p>
    <w:p>
      <w:pPr>
        <w:pStyle w:val="ListParagraph"/>
        <w:numPr>
          <w:ilvl w:val="0"/>
          <w:numId w:val="2"/>
        </w:numPr>
        <w:spacing w:after="80"/>
      </w:pPr>
      <w:r>
        <w:rPr>
          <w:rFonts w:ascii="Arial" w:cs="Arial" w:eastAsia="Arial" w:hAnsi="Arial"/>
          <w:b/>
          <w:bCs/>
          <w:sz w:val="22"/>
          <w:szCs w:val="22"/>
        </w:rPr>
        <w:t xml:space="preserve">Domain 5 evaluation procedures:</w:t>
      </w:r>
      <w:r>
        <w:rPr>
          <w:rFonts w:ascii="Arial" w:cs="Arial" w:eastAsia="Arial" w:hAnsi="Arial"/>
          <w:sz w:val="22"/>
          <w:szCs w:val="22"/>
        </w:rPr>
        <w:t xml:space="preserve"> Data Privacy ACRs require policy review (LP evidence), technical verification (TI evidence), and adversarial testing for IP protection and PII detection controls.</w:t>
      </w:r>
    </w:p>
    <w:p>
      <w:pPr>
        <w:pStyle w:val="ListParagraph"/>
        <w:numPr>
          <w:ilvl w:val="0"/>
          <w:numId w:val="2"/>
        </w:numPr>
        <w:spacing w:after="80"/>
      </w:pPr>
      <w:r>
        <w:rPr>
          <w:rFonts w:ascii="Arial" w:cs="Arial" w:eastAsia="Arial" w:hAnsi="Arial"/>
          <w:b/>
          <w:bCs/>
          <w:sz w:val="22"/>
          <w:szCs w:val="22"/>
        </w:rPr>
        <w:t xml:space="preserve">Domain 13 evaluation procedures:</w:t>
      </w:r>
      <w:r>
        <w:rPr>
          <w:rFonts w:ascii="Arial" w:cs="Arial" w:eastAsia="Arial" w:hAnsi="Arial"/>
          <w:sz w:val="22"/>
          <w:szCs w:val="22"/>
        </w:rPr>
        <w:t xml:space="preserve"> Societal Impact ACRs require adversarial red-team testing for CBRN and cyber controls, bias evaluation testing, and policy documentation review.</w:t>
      </w:r>
    </w:p>
    <w:p>
      <w:pPr>
        <w:pStyle w:val="ListParagraph"/>
        <w:numPr>
          <w:ilvl w:val="0"/>
          <w:numId w:val="2"/>
        </w:numPr>
        <w:spacing w:after="80"/>
      </w:pPr>
      <w:r>
        <w:rPr>
          <w:rFonts w:ascii="Arial" w:cs="Arial" w:eastAsia="Arial" w:hAnsi="Arial"/>
          <w:b/>
          <w:bCs/>
          <w:sz w:val="22"/>
          <w:szCs w:val="22"/>
        </w:rPr>
        <w:t xml:space="preserve">Four evidence categories formalized:</w:t>
      </w:r>
      <w:r>
        <w:rPr>
          <w:rFonts w:ascii="Arial" w:cs="Arial" w:eastAsia="Arial" w:hAnsi="Arial"/>
          <w:sz w:val="22"/>
          <w:szCs w:val="22"/>
        </w:rPr>
        <w:t xml:space="preserve"> Legal Policy (LP), Technical Implementation (TI), Operational Process (OP), and Third-Party Testing (TP) with evidence sufficiency matrix.</w:t>
      </w:r>
    </w:p>
    <w:p>
      <w:pPr>
        <w:pStyle w:val="ListParagraph"/>
        <w:numPr>
          <w:ilvl w:val="0"/>
          <w:numId w:val="2"/>
        </w:numPr>
        <w:spacing w:after="80"/>
      </w:pPr>
      <w:r>
        <w:rPr>
          <w:rFonts w:ascii="Arial" w:cs="Arial" w:eastAsia="Arial" w:hAnsi="Arial"/>
          <w:b/>
          <w:bCs/>
          <w:sz w:val="22"/>
          <w:szCs w:val="22"/>
        </w:rPr>
        <w:t xml:space="preserve">Express Evaluation Track:</w:t>
      </w:r>
      <w:r>
        <w:rPr>
          <w:rFonts w:ascii="Arial" w:cs="Arial" w:eastAsia="Arial" w:hAnsi="Arial"/>
          <w:sz w:val="22"/>
          <w:szCs w:val="22"/>
        </w:rPr>
        <w:t xml:space="preserve"> Accelerated pathway for Level 1 Foundational profile systems targeting 3-4 week completion with parallelized steps and async evidence collection.</w:t>
      </w:r>
    </w:p>
    <w:p>
      <w:pPr>
        <w:pStyle w:val="ListParagraph"/>
        <w:numPr>
          <w:ilvl w:val="0"/>
          <w:numId w:val="2"/>
        </w:numPr>
        <w:spacing w:after="80"/>
      </w:pPr>
      <w:r>
        <w:rPr>
          <w:rFonts w:ascii="Arial" w:cs="Arial" w:eastAsia="Arial" w:hAnsi="Arial"/>
          <w:b/>
          <w:bCs/>
          <w:sz w:val="22"/>
          <w:szCs w:val="22"/>
        </w:rPr>
        <w:t xml:space="preserve">System Profile integration:</w:t>
      </w:r>
      <w:r>
        <w:rPr>
          <w:rFonts w:ascii="Arial" w:cs="Arial" w:eastAsia="Arial" w:hAnsi="Arial"/>
          <w:sz w:val="22"/>
          <w:szCs w:val="22"/>
        </w:rPr>
        <w:t xml:space="preserve"> Evaluation scoping now determined by System Profile (F/S/A/C) and Statement of Applicability rather than binary risk classification.</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Each ACR specifies its monitoring cadence (Continuous, Quarterly, Annual, At-Certification), replacing blanket reassessment.</w:t>
      </w:r>
    </w:p>
    <w:p>
      <w:pPr>
        <w:pStyle w:val="ListParagraph"/>
        <w:numPr>
          <w:ilvl w:val="0"/>
          <w:numId w:val="2"/>
        </w:numPr>
        <w:spacing w:after="80"/>
      </w:pPr>
      <w:r>
        <w:rPr>
          <w:rFonts w:ascii="Arial" w:cs="Arial" w:eastAsia="Arial" w:hAnsi="Arial"/>
          <w:b/>
          <w:bCs/>
          <w:sz w:val="22"/>
          <w:szCs w:val="22"/>
        </w:rPr>
        <w:t xml:space="preserve">Special evaluation guidance:</w:t>
      </w:r>
      <w:r>
        <w:rPr>
          <w:rFonts w:ascii="Arial" w:cs="Arial" w:eastAsia="Arial" w:hAnsi="Arial"/>
          <w:sz w:val="22"/>
          <w:szCs w:val="22"/>
        </w:rPr>
        <w:t xml:space="preserve"> Added Voice AI Agents and Multimodal AI Systems evaluation procedures.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This Evaluation Methodology Guide is a companion document to the ARA Standard (ARAF-ARA-STD-2026-002). It provides detailed, actionable procedures for conducting evaluations of autonomous systems against the 398 Autonomous Control Requirements (ACRs) defined across 15 reliability domains in the standard.</w:t>
      </w:r>
    </w:p>
    <w:p>
      <w:pPr>
        <w:spacing w:after="120"/>
        <w:jc w:val="left"/>
      </w:pPr>
      <w:r>
        <w:rPr>
          <w:rFonts w:ascii="Arial" w:cs="Arial" w:eastAsia="Arial" w:hAnsi="Arial"/>
          <w:sz w:val="22"/>
          <w:szCs w:val="22"/>
        </w:rPr>
        <w:t xml:space="preserve">The guide is intended for three primary audiences: Authorized Validation Bodies (AVBs) authorized by ARAF to conduct certification evaluations; organizations seeking certification through the self-serve platform or AVB engagement; and the ARAF Certification Office responsible for reviewing evaluation reports and issuing certification decisions.</w:t>
      </w:r>
    </w:p>
    <w:p>
      <w:pPr>
        <w:spacing w:after="120"/>
        <w:jc w:val="left"/>
      </w:pPr>
      <w:r>
        <w:rPr>
          <w:rFonts w:ascii="Arial" w:cs="Arial" w:eastAsia="Arial" w:hAnsi="Arial"/>
          <w:sz w:val="22"/>
          <w:szCs w:val="22"/>
        </w:rPr>
        <w:t xml:space="preserve">This guide does not replace the ARA Standard. It operationalizes it. The standard defines what must be evaluated; this guide defines how. Where this guide and the ARA Standard conflict, the ARA Standard prevails.</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mandatory evaluation procedures for assessing autonomous system compliance with the ARA Standard v1.1. It defines evaluation methods and their application criteria; evidence collection, validation, and documentation standards organized into four evidence categories; scoring methodology including domain scoring, risk weighting, and blocking ACR enforcement; adversarial simulation and red team validation procedures; the Express Evaluation Track for Level 1 Foundational profile systems; integration with the ARAF self-serve certification platform; and domain-specific evaluation procedures for all 15 reliability domains including new Domains 5 and 13.</w:t>
      </w:r>
    </w:p>
    <w:p>
      <w:pPr>
        <w:pStyle w:val="Heading2"/>
        <w:spacing w:before="280" w:after="160"/>
      </w:pPr>
      <w:r>
        <w:rPr>
          <w:rFonts w:ascii="Arial" w:cs="Arial" w:eastAsia="Arial" w:hAnsi="Arial"/>
          <w:b/>
          <w:bCs/>
          <w:color w:val="2C4A7C"/>
          <w:sz w:val="28"/>
          <w:szCs w:val="28"/>
        </w:rPr>
        <w:t xml:space="preserve">1.2 Applicability</w:t>
      </w:r>
    </w:p>
    <w:p>
      <w:pPr>
        <w:spacing w:after="120"/>
        <w:jc w:val="left"/>
      </w:pPr>
      <w:r>
        <w:rPr>
          <w:rFonts w:ascii="Arial" w:cs="Arial" w:eastAsia="Arial" w:hAnsi="Arial"/>
          <w:sz w:val="22"/>
          <w:szCs w:val="22"/>
        </w:rPr>
        <w:t xml:space="preserve">This guide applies to all ARA evaluations regardless of pathway (Self-Serve or AVB Engagement), certification level (Level 1 through Level 3), system profile (Foundational through Comprehensive), and evaluation track (Standard or Express). The evaluation methodology applies the three-axis certification model: System Profile determines which ACRs are in scope; Certification Level determines evaluation rigor; Evaluation Frequency determines per-ACR monitoring cadence.</w:t>
      </w:r>
    </w:p>
    <w:p>
      <w:pPr>
        <w:pStyle w:val="Heading2"/>
        <w:spacing w:before="280" w:after="160"/>
      </w:pPr>
      <w:r>
        <w:rPr>
          <w:rFonts w:ascii="Arial" w:cs="Arial" w:eastAsia="Arial" w:hAnsi="Arial"/>
          <w:b/>
          <w:bCs/>
          <w:color w:val="2C4A7C"/>
          <w:sz w:val="28"/>
          <w:szCs w:val="28"/>
        </w:rPr>
        <w:t xml:space="preserve">1.3 Normative References</w:t>
      </w:r>
    </w:p>
    <w:p>
      <w:pPr>
        <w:pStyle w:val="ListParagraph"/>
        <w:numPr>
          <w:ilvl w:val="0"/>
          <w:numId w:val="3"/>
        </w:numPr>
        <w:spacing w:after="80"/>
      </w:pPr>
      <w:r>
        <w:rPr>
          <w:rFonts w:ascii="Arial" w:cs="Arial" w:eastAsia="Arial" w:hAnsi="Arial"/>
          <w:sz w:val="22"/>
          <w:szCs w:val="22"/>
        </w:rPr>
        <w:t xml:space="preserve">ARAF-ARA-STD-2026-002: ARA Standard v1.1 (parent standard)</w:t>
      </w:r>
    </w:p>
    <w:p>
      <w:pPr>
        <w:pStyle w:val="ListParagraph"/>
        <w:numPr>
          <w:ilvl w:val="0"/>
          <w:numId w:val="3"/>
        </w:numPr>
        <w:spacing w:after="80"/>
      </w:pPr>
      <w:r>
        <w:rPr>
          <w:rFonts w:ascii="Arial" w:cs="Arial" w:eastAsia="Arial" w:hAnsi="Arial"/>
          <w:sz w:val="22"/>
          <w:szCs w:val="22"/>
        </w:rPr>
        <w:t xml:space="preserve">ARAF-ARA-ACR-2026-002: Complete ACR Control Matrix (398 ACRs, 15 domains, 16-column structure)</w:t>
      </w:r>
    </w:p>
    <w:p>
      <w:pPr>
        <w:pStyle w:val="ListParagraph"/>
        <w:numPr>
          <w:ilvl w:val="0"/>
          <w:numId w:val="3"/>
        </w:numPr>
        <w:spacing w:after="80"/>
      </w:pPr>
      <w:r>
        <w:rPr>
          <w:rFonts w:ascii="Arial" w:cs="Arial" w:eastAsia="Arial" w:hAnsi="Arial"/>
          <w:sz w:val="22"/>
          <w:szCs w:val="22"/>
        </w:rPr>
        <w:t xml:space="preserve">ARAF-ARA-AVB-2026-002: AVB Authorization Guide</w:t>
      </w:r>
    </w:p>
    <w:p>
      <w:pPr>
        <w:pStyle w:val="ListParagraph"/>
        <w:numPr>
          <w:ilvl w:val="0"/>
          <w:numId w:val="3"/>
        </w:numPr>
        <w:spacing w:after="80"/>
      </w:pPr>
      <w:r>
        <w:rPr>
          <w:rFonts w:ascii="Arial" w:cs="Arial" w:eastAsia="Arial" w:hAnsi="Arial"/>
          <w:sz w:val="22"/>
          <w:szCs w:val="22"/>
        </w:rPr>
        <w:t xml:space="preserve">ARAF-ARA-SDK-2026-002: Behavioral Telemetry SDK Reference</w:t>
      </w:r>
    </w:p>
    <w:p>
      <w:pPr>
        <w:pStyle w:val="ListParagraph"/>
        <w:numPr>
          <w:ilvl w:val="0"/>
          <w:numId w:val="4"/>
        </w:numPr>
        <w:spacing w:after="80"/>
      </w:pPr>
      <w:r>
        <w:rPr>
          <w:rFonts w:ascii="Arial" w:cs="Arial" w:eastAsia="Arial" w:hAnsi="Arial"/>
          <w:sz w:val="22"/>
          <w:szCs w:val="22"/>
        </w:rPr>
        <w:t xml:space="preserve">ARAF-ARA-GOV-2026-001: ARAF Ecosystem and Governance Guide (defines CAPO accreditation, AVB governance, and ecosystem participant relationships)</w:t>
      </w:r>
    </w:p>
    <w:p>
      <w:pPr>
        <w:pStyle w:val="ListParagraph"/>
        <w:numPr>
          <w:ilvl w:val="0"/>
          <w:numId w:val="3"/>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3"/>
        </w:numPr>
        <w:spacing w:after="80"/>
      </w:pPr>
      <w:r>
        <w:rPr>
          <w:rFonts w:ascii="Arial" w:cs="Arial" w:eastAsia="Arial" w:hAnsi="Arial"/>
          <w:sz w:val="22"/>
          <w:szCs w:val="22"/>
        </w:rPr>
        <w:t xml:space="preserve">ISO/IEC 17025:2017: General requirements for testing laboratories</w:t>
      </w:r>
    </w:p>
    <w:p>
      <w:pPr>
        <w:pStyle w:val="ListParagraph"/>
        <w:numPr>
          <w:ilvl w:val="0"/>
          <w:numId w:val="3"/>
        </w:numPr>
        <w:spacing w:after="80"/>
      </w:pPr>
      <w:r>
        <w:rPr>
          <w:rFonts w:ascii="Arial" w:cs="Arial" w:eastAsia="Arial" w:hAnsi="Arial"/>
          <w:sz w:val="22"/>
          <w:szCs w:val="22"/>
        </w:rPr>
        <w:t xml:space="preserve">ISO/IEC 27001:2022: Information security management systems</w:t>
      </w:r>
    </w:p>
    <w:p>
      <w:pPr>
        <w:pStyle w:val="ListParagraph"/>
        <w:numPr>
          <w:ilvl w:val="0"/>
          <w:numId w:val="3"/>
        </w:numPr>
        <w:spacing w:after="80"/>
      </w:pPr>
      <w:r>
        <w:rPr>
          <w:rFonts w:ascii="Arial" w:cs="Arial" w:eastAsia="Arial" w:hAnsi="Arial"/>
          <w:sz w:val="22"/>
          <w:szCs w:val="22"/>
        </w:rPr>
        <w:t xml:space="preserve">MITRE ATLAS: Adversarial Threat Landscape for AI Systems</w:t>
      </w:r>
    </w:p>
    <w:p>
      <w:r>
        <w:br w:type="page"/>
      </w:r>
    </w:p>
    <w:p>
      <w:pPr>
        <w:pStyle w:val="Heading1"/>
        <w:spacing w:before="360" w:after="200"/>
      </w:pPr>
      <w:r>
        <w:rPr>
          <w:rFonts w:ascii="Arial" w:cs="Arial" w:eastAsia="Arial" w:hAnsi="Arial"/>
          <w:b/>
          <w:bCs/>
          <w:color w:val="1B2A4A"/>
          <w:sz w:val="32"/>
          <w:szCs w:val="32"/>
        </w:rPr>
        <w:t xml:space="preserve">Article 2 — Evaluation Methods</w:t>
      </w:r>
    </w:p>
    <w:p>
      <w:pPr>
        <w:spacing w:after="120"/>
        <w:jc w:val="left"/>
      </w:pPr>
      <w:r>
        <w:rPr>
          <w:rFonts w:ascii="Arial" w:cs="Arial" w:eastAsia="Arial" w:hAnsi="Arial"/>
          <w:sz w:val="22"/>
          <w:szCs w:val="22"/>
        </w:rPr>
        <w:t xml:space="preserve">The ARA Standard defines four evaluation methods. Each ACR specifies one or more methods by which it is assessed. Where multiple methods are specified, all specified methods must be applied and all must produce passing results.</w:t>
      </w:r>
    </w:p>
    <w:p>
      <w:pPr>
        <w:pStyle w:val="Heading2"/>
        <w:spacing w:before="280" w:after="160"/>
      </w:pPr>
      <w:r>
        <w:rPr>
          <w:rFonts w:ascii="Arial" w:cs="Arial" w:eastAsia="Arial" w:hAnsi="Arial"/>
          <w:b/>
          <w:bCs/>
          <w:color w:val="2C4A7C"/>
          <w:sz w:val="28"/>
          <w:szCs w:val="28"/>
        </w:rP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Primary Use Cases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Deterministic test execution by automated systems against defined pass/fail criteria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Boundary enforcement, injection resistance, stress testing, API governance, PII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interaction by trained operators simulating realistic and adversarial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resistance, escalation testing, context manipulation, red team, bias evaluation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Qualified expert review of documentation, configuration, architecture, and process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Policy review, architecture assessment, governance verification, data flow mapping, SoA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Ongoing automated observation of production behavior against baselines and thresholds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anomaly alerting, behavioral regression, telemetry integrity, SLA compliance</w:t>
            </w:r>
          </w:p>
        </w:tc>
      </w:tr>
    </w:tbl>
    <w:p>
      <w:pPr>
        <w:pStyle w:val="Heading2"/>
        <w:spacing w:before="280" w:after="160"/>
      </w:pPr>
      <w:r>
        <w:rPr>
          <w:rFonts w:ascii="Arial" w:cs="Arial" w:eastAsia="Arial" w:hAnsi="Arial"/>
          <w:b/>
          <w:bCs/>
          <w:color w:val="2C4A7C"/>
          <w:sz w:val="28"/>
          <w:szCs w:val="28"/>
        </w:rPr>
        <w:t xml:space="preserve">2.2 Automated Testing (AT)</w:t>
      </w:r>
    </w:p>
    <w:p>
      <w:pPr>
        <w:pStyle w:val="Heading3"/>
        <w:spacing w:before="200" w:after="120"/>
      </w:pPr>
      <w:r>
        <w:rPr>
          <w:rFonts w:ascii="Arial" w:cs="Arial" w:eastAsia="Arial" w:hAnsi="Arial"/>
          <w:b/>
          <w:bCs/>
          <w:color w:val="1B2A4A"/>
          <w:sz w:val="24"/>
          <w:szCs w:val="24"/>
        </w:rPr>
        <w:t xml:space="preserve">2.2.1 Purpose</w:t>
      </w:r>
    </w:p>
    <w:p>
      <w:pPr>
        <w:spacing w:after="120"/>
        <w:jc w:val="left"/>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spacing w:before="200" w:after="120"/>
      </w:pPr>
      <w:r>
        <w:rPr>
          <w:rFonts w:ascii="Arial" w:cs="Arial" w:eastAsia="Arial" w:hAnsi="Arial"/>
          <w:b/>
          <w:bCs/>
          <w:color w:val="1B2A4A"/>
          <w:sz w:val="24"/>
          <w:szCs w:val="24"/>
        </w:rPr>
        <w:t xml:space="preserve">2.2.2 Test Environment Requirements</w:t>
      </w:r>
    </w:p>
    <w:p>
      <w:pPr>
        <w:pStyle w:val="ListParagraph"/>
        <w:numPr>
          <w:ilvl w:val="0"/>
          <w:numId w:val="4"/>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4"/>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4"/>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4"/>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4"/>
        </w:numPr>
        <w:spacing w:after="80"/>
      </w:pPr>
      <w:r>
        <w:rPr>
          <w:rFonts w:ascii="Arial" w:cs="Arial" w:eastAsia="Arial" w:hAnsi="Arial"/>
          <w:sz w:val="22"/>
          <w:szCs w:val="22"/>
        </w:rPr>
        <w:t xml:space="preserve">Test environment setup and teardown SHALL be automated and reproducible.</w:t>
      </w:r>
    </w:p>
    <w:p>
      <w:pPr>
        <w:pStyle w:val="Heading3"/>
        <w:spacing w:before="200" w:after="120"/>
      </w:pPr>
      <w:r>
        <w:rPr>
          <w:rFonts w:ascii="Arial" w:cs="Arial" w:eastAsia="Arial" w:hAnsi="Arial"/>
          <w:b/>
          <w:bCs/>
          <w:color w:val="1B2A4A"/>
          <w:sz w:val="24"/>
          <w:szCs w:val="24"/>
        </w:rPr>
        <w:t xml:space="preserve">2.2.3 Test Execution Procedures</w:t>
      </w:r>
    </w:p>
    <w:p>
      <w:pPr>
        <w:pStyle w:val="ListParagraph"/>
        <w:numPr>
          <w:ilvl w:val="0"/>
          <w:numId w:val="5"/>
        </w:numPr>
        <w:spacing w:after="80"/>
      </w:pPr>
      <w:r>
        <w:rPr>
          <w:rFonts w:ascii="Arial" w:cs="Arial" w:eastAsia="Arial" w:hAnsi="Arial"/>
          <w:sz w:val="22"/>
          <w:szCs w:val="22"/>
        </w:rPr>
        <w:t xml:space="preserve">Test Selection: Identify all ACRs designated for AT evaluation at the target certification level and system profile. Cross-reference with the ACR Control Matrix (ARAF-ARA-ACR-2026-002).</w:t>
      </w:r>
    </w:p>
    <w:p>
      <w:pPr>
        <w:pStyle w:val="ListParagraph"/>
        <w:numPr>
          <w:ilvl w:val="0"/>
          <w:numId w:val="5"/>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5"/>
        </w:numPr>
        <w:spacing w:after="80"/>
      </w:pPr>
      <w:r>
        <w:rPr>
          <w:rFonts w:ascii="Arial" w:cs="Arial" w:eastAsia="Arial" w:hAnsi="Arial"/>
          <w:sz w:val="22"/>
          <w:szCs w:val="22"/>
        </w:rPr>
        <w:t xml:space="preserve">Baseline Establishment: For ACRs requiring comparison against a baseline, establish and document the baseline before test execution.</w:t>
      </w:r>
    </w:p>
    <w:p>
      <w:pPr>
        <w:pStyle w:val="ListParagraph"/>
        <w:numPr>
          <w:ilvl w:val="0"/>
          <w:numId w:val="5"/>
        </w:numPr>
        <w:spacing w:after="80"/>
      </w:pPr>
      <w:r>
        <w:rPr>
          <w:rFonts w:ascii="Arial" w:cs="Arial" w:eastAsia="Arial" w:hAnsi="Arial"/>
          <w:sz w:val="22"/>
          <w:szCs w:val="22"/>
        </w:rPr>
        <w:t xml:space="preserve">Test Execution: Execute all tests in the designated sequence. For ACRs requiring sequential evaluation, maintain test ordering.</w:t>
      </w:r>
    </w:p>
    <w:p>
      <w:pPr>
        <w:pStyle w:val="ListParagraph"/>
        <w:numPr>
          <w:ilvl w:val="0"/>
          <w:numId w:val="5"/>
        </w:numPr>
        <w:spacing w:after="80"/>
      </w:pPr>
      <w:r>
        <w:rPr>
          <w:rFonts w:ascii="Arial" w:cs="Arial" w:eastAsia="Arial" w:hAnsi="Arial"/>
          <w:sz w:val="22"/>
          <w:szCs w:val="22"/>
        </w:rPr>
        <w:t xml:space="preserve">Result Recording: Capture pass/fail determinations, quantitative measurements, execution timestamps, test duration, and any anomalies.</w:t>
      </w:r>
    </w:p>
    <w:p>
      <w:pPr>
        <w:pStyle w:val="ListParagraph"/>
        <w:numPr>
          <w:ilvl w:val="0"/>
          <w:numId w:val="5"/>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5"/>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spacing w:before="200" w:after="120"/>
      </w:pPr>
      <w:r>
        <w:rPr>
          <w:rFonts w:ascii="Arial" w:cs="Arial" w:eastAsia="Arial" w:hAnsi="Arial"/>
          <w:b/>
          <w:bCs/>
          <w:color w:val="1B2A4A"/>
          <w:sz w:val="24"/>
          <w:szCs w:val="24"/>
        </w:rPr>
        <w:t xml:space="preserve">2.2.4 Pass/Fail Criteria</w:t>
      </w:r>
    </w:p>
    <w:p>
      <w:pPr>
        <w:spacing w:after="120"/>
        <w:jc w:val="left"/>
      </w:pPr>
      <w:r>
        <w:rPr>
          <w:rFonts w:ascii="Arial" w:cs="Arial" w:eastAsia="Arial" w:hAnsi="Arial"/>
          <w:sz w:val="22"/>
          <w:szCs w:val="22"/>
        </w:rPr>
        <w:t xml:space="preserve">Each ACR defines its pass/fail criteria in the Control Matrix. For AT evaluations: binary ACRs require full pass with no partial credit; threshold ACRs require the measured rate to meet or exceed the specified threshold; timing ACRs require measured time within the specified maximum; stress ACRs require metrics within defined tolerance bands throughout the sustained test period.</w:t>
      </w:r>
    </w:p>
    <w:p>
      <w:pPr>
        <w:pStyle w:val="Heading2"/>
        <w:spacing w:before="280" w:after="160"/>
      </w:pPr>
      <w:r>
        <w:rPr>
          <w:rFonts w:ascii="Arial" w:cs="Arial" w:eastAsia="Arial" w:hAnsi="Arial"/>
          <w:b/>
          <w:bCs/>
          <w:color w:val="2C4A7C"/>
          <w:sz w:val="28"/>
          <w:szCs w:val="28"/>
        </w:rPr>
        <w:t xml:space="preserve">2.3 Human Simulation (HS)</w:t>
      </w:r>
    </w:p>
    <w:p>
      <w:pPr>
        <w:pStyle w:val="Heading3"/>
        <w:spacing w:before="200" w:after="120"/>
      </w:pPr>
      <w:r>
        <w:rPr>
          <w:rFonts w:ascii="Arial" w:cs="Arial" w:eastAsia="Arial" w:hAnsi="Arial"/>
          <w:b/>
          <w:bCs/>
          <w:color w:val="1B2A4A"/>
          <w:sz w:val="24"/>
          <w:szCs w:val="24"/>
        </w:rPr>
        <w:t xml:space="preserve">2.3.1 Purpose</w:t>
      </w:r>
    </w:p>
    <w:p>
      <w:pPr>
        <w:spacing w:after="120"/>
        <w:jc w:val="left"/>
      </w:pPr>
      <w:r>
        <w:rPr>
          <w:rFonts w:ascii="Arial" w:cs="Arial" w:eastAsia="Arial" w:hAnsi="Arial"/>
          <w:sz w:val="22"/>
          <w:szCs w:val="22"/>
        </w:rPr>
        <w:t xml:space="preserve">Human Simulation assesses ACRs requiring interactive, adaptive testing by trained human operators. This method evaluates the system’s response to realistic human behavior including social engineering, conversational manipulation, bias probing, and complex multi-turn patterns that automated tests cannot fully capture.</w:t>
      </w:r>
    </w:p>
    <w:p>
      <w:pPr>
        <w:pStyle w:val="Heading3"/>
        <w:spacing w:before="200" w:after="120"/>
      </w:pPr>
      <w:r>
        <w:rPr>
          <w:rFonts w:ascii="Arial" w:cs="Arial" w:eastAsia="Arial" w:hAnsi="Arial"/>
          <w:b/>
          <w:bCs/>
          <w:color w:val="1B2A4A"/>
          <w:sz w:val="24"/>
          <w:szCs w:val="24"/>
        </w:rPr>
        <w:t xml:space="preserve">2.3.2 Operator Qualifications</w:t>
      </w:r>
    </w:p>
    <w:p>
      <w:pPr>
        <w:pStyle w:val="ListParagraph"/>
        <w:numPr>
          <w:ilvl w:val="0"/>
          <w:numId w:val="6"/>
        </w:numPr>
        <w:spacing w:after="80"/>
      </w:pPr>
      <w:r>
        <w:rPr>
          <w:rFonts w:ascii="Arial" w:cs="Arial" w:eastAsia="Arial" w:hAnsi="Arial"/>
          <w:sz w:val="22"/>
          <w:szCs w:val="22"/>
        </w:rPr>
        <w:t xml:space="preserve">Operators SHALL hold documented qualifications in adversarial testing or equivalent domain expertise.</w:t>
      </w:r>
    </w:p>
    <w:p>
      <w:pPr>
        <w:pStyle w:val="ListParagraph"/>
        <w:numPr>
          <w:ilvl w:val="0"/>
          <w:numId w:val="6"/>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6"/>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6"/>
        </w:numPr>
        <w:spacing w:after="80"/>
      </w:pPr>
      <w:r>
        <w:rPr>
          <w:rFonts w:ascii="Arial" w:cs="Arial" w:eastAsia="Arial" w:hAnsi="Arial"/>
          <w:sz w:val="22"/>
          <w:szCs w:val="22"/>
        </w:rPr>
        <w:t xml:space="preserve">For Domain 13 (Societal Impact) bias evaluation, operators SHALL include individuals with demonstrated expertise in fairness testing and demographic impact assessment.</w:t>
      </w:r>
    </w:p>
    <w:p>
      <w:pPr>
        <w:pStyle w:val="Heading3"/>
        <w:spacing w:before="200" w:after="120"/>
      </w:pPr>
      <w:r>
        <w:rPr>
          <w:rFonts w:ascii="Arial" w:cs="Arial" w:eastAsia="Arial" w:hAnsi="Arial"/>
          <w:b/>
          <w:bCs/>
          <w:color w:val="1B2A4A"/>
          <w:sz w:val="24"/>
          <w:szCs w:val="24"/>
        </w:rPr>
        <w:t xml:space="preserve">2.3.3 Simulation Procedures</w:t>
      </w:r>
    </w:p>
    <w:p>
      <w:pPr>
        <w:pStyle w:val="ListParagraph"/>
        <w:numPr>
          <w:ilvl w:val="0"/>
          <w:numId w:val="7"/>
        </w:numPr>
        <w:spacing w:after="80"/>
      </w:pPr>
      <w:r>
        <w:rPr>
          <w:rFonts w:ascii="Arial" w:cs="Arial" w:eastAsia="Arial" w:hAnsi="Arial"/>
          <w:sz w:val="22"/>
          <w:szCs w:val="22"/>
        </w:rPr>
        <w:t xml:space="preserve">Scenario Definition: Define the simulation scenario based on ACR requirements including both expected-behavior and adversarial paths.</w:t>
      </w:r>
    </w:p>
    <w:p>
      <w:pPr>
        <w:pStyle w:val="ListParagraph"/>
        <w:numPr>
          <w:ilvl w:val="0"/>
          <w:numId w:val="7"/>
        </w:numPr>
        <w:spacing w:after="80"/>
      </w:pPr>
      <w:r>
        <w:rPr>
          <w:rFonts w:ascii="Arial" w:cs="Arial" w:eastAsia="Arial" w:hAnsi="Arial"/>
          <w:sz w:val="22"/>
          <w:szCs w:val="22"/>
        </w:rPr>
        <w:t xml:space="preserve">Scenario Scripting: All scenarios SHALL have a written script with interaction flow, escalation points, and success/failure criteria.</w:t>
      </w:r>
    </w:p>
    <w:p>
      <w:pPr>
        <w:pStyle w:val="ListParagraph"/>
        <w:numPr>
          <w:ilvl w:val="0"/>
          <w:numId w:val="7"/>
        </w:numPr>
        <w:spacing w:after="80"/>
      </w:pPr>
      <w:r>
        <w:rPr>
          <w:rFonts w:ascii="Arial" w:cs="Arial" w:eastAsia="Arial" w:hAnsi="Arial"/>
          <w:sz w:val="22"/>
          <w:szCs w:val="22"/>
        </w:rPr>
        <w:t xml:space="preserve">Session Recording: All HS sessions SHALL be recorded with full interaction transcripts, timestamps, and operator annotations.</w:t>
      </w:r>
    </w:p>
    <w:p>
      <w:pPr>
        <w:pStyle w:val="ListParagraph"/>
        <w:numPr>
          <w:ilvl w:val="0"/>
          <w:numId w:val="7"/>
        </w:numPr>
        <w:spacing w:after="80"/>
      </w:pPr>
      <w:r>
        <w:rPr>
          <w:rFonts w:ascii="Arial" w:cs="Arial" w:eastAsia="Arial" w:hAnsi="Arial"/>
          <w:sz w:val="22"/>
          <w:szCs w:val="22"/>
        </w:rPr>
        <w:t xml:space="preserve">Multi-Attempt Protocol: Each scenario SHALL be executed minimum three times by at least two independent operators.</w:t>
      </w:r>
    </w:p>
    <w:p>
      <w:pPr>
        <w:pStyle w:val="ListParagraph"/>
        <w:numPr>
          <w:ilvl w:val="0"/>
          <w:numId w:val="7"/>
        </w:numPr>
        <w:spacing w:after="80"/>
      </w:pPr>
      <w:r>
        <w:rPr>
          <w:rFonts w:ascii="Arial" w:cs="Arial" w:eastAsia="Arial" w:hAnsi="Arial"/>
          <w:sz w:val="22"/>
          <w:szCs w:val="22"/>
        </w:rPr>
        <w:t xml:space="preserve">Escalation Testing: Scenarios SHALL include deliberate escalation from benign to aggressive to test graduated response.</w:t>
      </w:r>
    </w:p>
    <w:p>
      <w:pPr>
        <w:pStyle w:val="ListParagraph"/>
        <w:numPr>
          <w:ilvl w:val="0"/>
          <w:numId w:val="7"/>
        </w:numPr>
        <w:spacing w:after="80"/>
      </w:pPr>
      <w:r>
        <w:rPr>
          <w:rFonts w:ascii="Arial" w:cs="Arial" w:eastAsia="Arial" w:hAnsi="Arial"/>
          <w:sz w:val="22"/>
          <w:szCs w:val="22"/>
        </w:rPr>
        <w:t xml:space="preserve">Result Assessment: Operator assessment is documented using a structured evaluation form with specific evidence references.</w:t>
      </w:r>
    </w:p>
    <w:p>
      <w:pPr>
        <w:pStyle w:val="Heading2"/>
        <w:spacing w:before="280" w:after="160"/>
      </w:pPr>
      <w:r>
        <w:rPr>
          <w:rFonts w:ascii="Arial" w:cs="Arial" w:eastAsia="Arial" w:hAnsi="Arial"/>
          <w:b/>
          <w:bCs/>
          <w:color w:val="2C4A7C"/>
          <w:sz w:val="28"/>
          <w:szCs w:val="28"/>
        </w:rPr>
        <w:t xml:space="preserve">2.4 Expert Inspection (EI)</w:t>
      </w:r>
    </w:p>
    <w:p>
      <w:pPr>
        <w:spacing w:after="120"/>
        <w:jc w:val="left"/>
      </w:pPr>
      <w:r>
        <w:rPr>
          <w:rFonts w:ascii="Arial" w:cs="Arial" w:eastAsia="Arial" w:hAnsi="Arial"/>
          <w:sz w:val="22"/>
          <w:szCs w:val="22"/>
        </w:rPr>
        <w:t xml:space="preserve">Expert Inspection provides qualified expert assessment of documentation, architecture, configuration, and organizational processes. Inspectors SHALL hold documented expertise in the domain being inspected and be independent of the organization under evaluation. For Level 3, inspectors SHALL hold relevant professional certifications (CISSP, CISA, relevant ISO lead auditor) or equivalent experience.</w:t>
      </w:r>
    </w:p>
    <w:p>
      <w:pPr>
        <w:spacing w:after="120"/>
        <w:jc w:val="left"/>
      </w:pPr>
      <w:r>
        <w:rPr>
          <w:rFonts w:ascii="Arial" w:cs="Arial" w:eastAsia="Arial" w:hAnsi="Arial"/>
          <w:sz w:val="22"/>
          <w:szCs w:val="22"/>
        </w:rPr>
        <w:t xml:space="preserve">Inspection procedures: document collection with receipt confirmation, completeness review, per-ACR content assessment, architecture review with targeted verification, process verification through execution record sampling, and finding documentation with severity classification.</w:t>
      </w:r>
    </w:p>
    <w:p>
      <w:pPr>
        <w:pStyle w:val="Heading2"/>
        <w:spacing w:before="280" w:after="160"/>
      </w:pPr>
      <w:r>
        <w:rPr>
          <w:rFonts w:ascii="Arial" w:cs="Arial" w:eastAsia="Arial" w:hAnsi="Arial"/>
          <w:b/>
          <w:bCs/>
          <w:color w:val="2C4A7C"/>
          <w:sz w:val="28"/>
          <w:szCs w:val="28"/>
        </w:rPr>
        <w:t xml:space="preserve">2.5 Continuous Monitoring Verification (CM)</w:t>
      </w:r>
    </w:p>
    <w:p>
      <w:pPr>
        <w:spacing w:after="120"/>
        <w:jc w:val="left"/>
      </w:pPr>
      <w:r>
        <w:rPr>
          <w:rFonts w:ascii="Arial" w:cs="Arial" w:eastAsia="Arial" w:hAnsi="Arial"/>
          <w:sz w:val="22"/>
          <w:szCs w:val="22"/>
        </w:rPr>
        <w:t xml:space="preserve">CM assesses ACRs requiring ongoing production-environment observation. Integration through the ARAF Behavioral Telemetry SDK (preferred), API-based telemetry export, or log aggregation. Procedures include baseline establishment (minimum 30 days for Level 1, 60 days for Level 2, 90 days for Level 3), monitoring configuration with drift thresholds, minimum 90-day observation period for initial certification, alert validation and classification, and end-of-period compliance determination.</w:t>
      </w:r>
    </w:p>
    <w:p>
      <w:pPr>
        <w:spacing w:after="120"/>
        <w:jc w:val="left"/>
      </w:pPr>
      <w:r>
        <w:rPr>
          <w:rFonts w:ascii="Arial" w:cs="Arial" w:eastAsia="Arial" w:hAnsi="Arial"/>
          <w:sz w:val="22"/>
          <w:szCs w:val="22"/>
        </w:rPr>
        <w:t xml:space="preserve">For systems enrolled with an accredited Continuous Assurance Platform Operator (CAPO), CM verification is automated with continuous telemetry collection, automated drift detection, alert generation and escalation, compliance dashboards, and triggered revalidation. CAPOs are independently accredited technology companies authorized by ARAF to operate the Continuous Assurance Platform (CAP) infrastructure. For Level 2 and Level 3 evaluations, the evaluating AVB SHALL verify that the certified organization’s telemetry is being ingested by an accredited CAPO and that the CAPO is generating compliance signals against the applicable ACRs. See ARAF-ARA-GOV-2026-001, Article 4 for CAPO platform requirements.</w:t>
      </w:r>
    </w:p>
    <w:p>
      <w:r>
        <w:br w:type="page"/>
      </w:r>
    </w:p>
    <w:p>
      <w:pPr>
        <w:pStyle w:val="Heading1"/>
        <w:spacing w:before="360" w:after="200"/>
      </w:pPr>
      <w:r>
        <w:rPr>
          <w:rFonts w:ascii="Arial" w:cs="Arial" w:eastAsia="Arial" w:hAnsi="Arial"/>
          <w:b/>
          <w:bCs/>
          <w:color w:val="1B2A4A"/>
          <w:sz w:val="32"/>
          <w:szCs w:val="32"/>
        </w:rPr>
        <w:t xml:space="preserve">Article 3 — Evaluation Lifecycle</w:t>
      </w:r>
    </w:p>
    <w:p>
      <w:pPr>
        <w:spacing w:after="120"/>
        <w:jc w:val="left"/>
      </w:pPr>
      <w:r>
        <w:rPr>
          <w:rFonts w:ascii="Arial" w:cs="Arial" w:eastAsia="Arial" w:hAnsi="Arial"/>
          <w:sz w:val="22"/>
          <w:szCs w:val="22"/>
        </w:rPr>
        <w:t xml:space="preserve">The ARA certification lifecycle consists of ten phases. This section details the evaluation-specific procedures for each phase, updated for the v1.1 three-axis certification model.</w:t>
      </w:r>
    </w:p>
    <w:p>
      <w:pPr>
        <w:pStyle w:val="Heading2"/>
        <w:spacing w:before="280" w:after="160"/>
      </w:pPr>
      <w:r>
        <w:rPr>
          <w:rFonts w:ascii="Arial" w:cs="Arial" w:eastAsia="Arial" w:hAnsi="Arial"/>
          <w:b/>
          <w:bCs/>
          <w:color w:val="2C4A7C"/>
          <w:sz w:val="28"/>
          <w:szCs w:val="28"/>
        </w:rPr>
        <w:t xml:space="preserve">3.1 Phase 1: System Registration</w:t>
      </w:r>
    </w:p>
    <w:p>
      <w:pPr>
        <w:spacing w:after="120"/>
        <w:jc w:val="left"/>
      </w:pPr>
      <w:r>
        <w:rPr>
          <w:rFonts w:ascii="Arial" w:cs="Arial" w:eastAsia="Arial" w:hAnsi="Arial"/>
          <w:sz w:val="22"/>
          <w:szCs w:val="22"/>
        </w:rPr>
        <w:t xml:space="preserve">Registration requires: system identification (name, version, deployment context), architecture overview, requested certification level (1/2/3), deployment context, physical actuation declaration, and contact information.</w:t>
      </w:r>
    </w:p>
    <w:p>
      <w:pPr>
        <w:pStyle w:val="Heading2"/>
        <w:spacing w:before="280" w:after="160"/>
      </w:pPr>
      <w:r>
        <w:rPr>
          <w:rFonts w:ascii="Arial" w:cs="Arial" w:eastAsia="Arial" w:hAnsi="Arial"/>
          <w:b/>
          <w:bCs/>
          <w:color w:val="2C4A7C"/>
          <w:sz w:val="28"/>
          <w:szCs w:val="28"/>
        </w:rPr>
        <w:t xml:space="preserve">3.2 Phase 2: System Profile Classification</w:t>
      </w:r>
    </w:p>
    <w:p>
      <w:pPr>
        <w:spacing w:after="120"/>
        <w:jc w:val="left"/>
      </w:pPr>
      <w:r>
        <w:rPr>
          <w:rFonts w:ascii="Arial" w:cs="Arial" w:eastAsia="Arial" w:hAnsi="Arial"/>
          <w:sz w:val="22"/>
          <w:szCs w:val="22"/>
        </w:rPr>
        <w:t xml:space="preserve">New in v1.1. The system profile is determined by a capability-based scoping questionnaire evaluating eight dimensions: deployment context, modality, tool access, data sensitivity, autonomy level, agent architecture, regulatory exposure, and impact scope. The highest applicable level across all dimensions determines the profile (Foundational, Standard, Advanced, or Comprehensive). Profile assignment determines which of the 398 ACRs are in scope for evaluation.</w:t>
      </w:r>
    </w:p>
    <w:p>
      <w:pPr>
        <w:pStyle w:val="Heading2"/>
        <w:spacing w:before="280" w:after="160"/>
      </w:pPr>
      <w:r>
        <w:rPr>
          <w:rFonts w:ascii="Arial" w:cs="Arial" w:eastAsia="Arial" w:hAnsi="Arial"/>
          <w:b/>
          <w:bCs/>
          <w:color w:val="2C4A7C"/>
          <w:sz w:val="28"/>
          <w:szCs w:val="28"/>
        </w:rPr>
        <w:t xml:space="preserve">3.3 Phase 3: Statement of Applicability</w:t>
      </w:r>
    </w:p>
    <w:p>
      <w:pPr>
        <w:spacing w:after="120"/>
        <w:jc w:val="left"/>
      </w:pPr>
      <w:r>
        <w:rPr>
          <w:rFonts w:ascii="Arial" w:cs="Arial" w:eastAsia="Arial" w:hAnsi="Arial"/>
          <w:sz w:val="22"/>
          <w:szCs w:val="22"/>
        </w:rPr>
        <w:t xml:space="preserve">New in v1.1. The applicant produces a Statement of Applicability (SoA) addressing all 398 ACRs. For each ACR, the SoA documents: applicability (yes/no), justification tied to system profile and risk assessment, implementation status, and evidence reference. The evaluator (AVB or platform) reviews the SoA for completeness and validity before proceeding to ACR evaluation.</w:t>
      </w:r>
    </w:p>
    <w:p>
      <w:pPr>
        <w:spacing w:after="120"/>
        <w:jc w:val="left"/>
      </w:pPr>
      <w:r>
        <w:rPr>
          <w:rFonts w:ascii="Arial" w:cs="Arial" w:eastAsia="Arial" w:hAnsi="Arial"/>
          <w:sz w:val="22"/>
          <w:szCs w:val="22"/>
        </w:rPr>
        <w:t xml:space="preserve">SoA validation criteria: every non-applicable ACR must have a documented justification that is logically consistent with the system profile determination; all ACRs flagged as applicable in the ACR Control Matrix for the assigned profile must be marked applicable in the SoA; the evaluator may challenge exclusion justifications and require re-inclusion.</w:t>
      </w:r>
    </w:p>
    <w:p>
      <w:pPr>
        <w:pStyle w:val="Heading2"/>
        <w:spacing w:before="280" w:after="160"/>
      </w:pPr>
      <w:r>
        <w:rPr>
          <w:rFonts w:ascii="Arial" w:cs="Arial" w:eastAsia="Arial" w:hAnsi="Arial"/>
          <w:b/>
          <w:bCs/>
          <w:color w:val="2C4A7C"/>
          <w:sz w:val="28"/>
          <w:szCs w:val="28"/>
        </w:rPr>
        <w:t xml:space="preserve">3.4 Phase 4: ACR Evaluation</w:t>
      </w:r>
    </w:p>
    <w:p>
      <w:pPr>
        <w:spacing w:after="120"/>
        <w:jc w:val="left"/>
      </w:pPr>
      <w:r>
        <w:rPr>
          <w:rFonts w:ascii="Arial" w:cs="Arial" w:eastAsia="Arial" w:hAnsi="Arial"/>
          <w:sz w:val="22"/>
          <w:szCs w:val="22"/>
        </w:rPr>
        <w:t xml:space="preserve">The core evaluation phase. Each applicable ACR is assessed using its designated evaluation method(s) as specified in the ACR Control Matrix. For ACRs with multiple methods (e.g., AT+HS), all methods must produce passing results. Evidence artifacts are collected per the four evidence categories defined in Article 4.</w:t>
      </w:r>
    </w:p>
    <w:p>
      <w:pPr>
        <w:spacing w:after="120"/>
        <w:jc w:val="left"/>
      </w:pPr>
      <w:r>
        <w:rPr>
          <w:rFonts w:ascii="Arial" w:cs="Arial" w:eastAsia="Arial" w:hAnsi="Arial"/>
          <w:sz w:val="22"/>
          <w:szCs w:val="22"/>
        </w:rPr>
        <w:t xml:space="preserve">Recommended evaluation ordering optimizes efficiency: Expert Inspection (EI) first to identify documentation gaps early; Automated Testing (AT) second for highest-volume deterministic evaluations; Human Simulation (HS) third, informed by AT results; Continuous Monitoring (CM) throughout, beginning at evaluation start.</w:t>
      </w:r>
    </w:p>
    <w:p>
      <w:pPr>
        <w:pStyle w:val="Heading3"/>
        <w:spacing w:before="200" w:after="120"/>
      </w:pPr>
      <w:r>
        <w:rPr>
          <w:rFonts w:ascii="Arial" w:cs="Arial" w:eastAsia="Arial" w:hAnsi="Arial"/>
          <w:b/>
          <w:bCs/>
          <w:color w:val="1B2A4A"/>
          <w:sz w:val="24"/>
          <w:szCs w:val="24"/>
        </w:rPr>
        <w:t xml:space="preserve">3.4.1 Domain 5 Evaluation Procedures (New in v1.1)</w:t>
      </w:r>
    </w:p>
    <w:p>
      <w:pPr>
        <w:spacing w:after="120"/>
        <w:jc w:val="left"/>
      </w:pPr>
      <w:r>
        <w:rPr>
          <w:rFonts w:ascii="Arial" w:cs="Arial" w:eastAsia="Arial" w:hAnsi="Arial"/>
          <w:sz w:val="22"/>
          <w:szCs w:val="22"/>
        </w:rPr>
        <w:t xml:space="preserve">Data Privacy and Information Protection ACRs require domain-specific evaluation procedures across three evidence categories:</w:t>
      </w:r>
    </w:p>
    <w:p>
      <w:pPr>
        <w:pStyle w:val="ListParagraph"/>
        <w:numPr>
          <w:ilvl w:val="0"/>
          <w:numId w:val="8"/>
        </w:numPr>
        <w:spacing w:after="80"/>
      </w:pPr>
      <w:r>
        <w:rPr>
          <w:rFonts w:ascii="Arial" w:cs="Arial" w:eastAsia="Arial" w:hAnsi="Arial"/>
          <w:b/>
          <w:bCs/>
          <w:sz w:val="22"/>
          <w:szCs w:val="22"/>
        </w:rPr>
        <w:t xml:space="preserve">Legal Policy (LP):</w:t>
      </w:r>
      <w:r>
        <w:rPr>
          <w:rFonts w:ascii="Arial" w:cs="Arial" w:eastAsia="Arial" w:hAnsi="Arial"/>
          <w:sz w:val="22"/>
          <w:szCs w:val="22"/>
        </w:rPr>
        <w:t xml:space="preserve"> Review of AI input/output data policies, data classification taxonomies, retention schedules, cross-border transfer mechanisms, and privacy impact assessment documentation. Evaluators SHALL verify policies are current, comprehensive, and enforceable.</w:t>
      </w:r>
    </w:p>
    <w:p>
      <w:pPr>
        <w:pStyle w:val="ListParagraph"/>
        <w:numPr>
          <w:ilvl w:val="0"/>
          <w:numId w:val="8"/>
        </w:numPr>
        <w:spacing w:after="80"/>
      </w:pPr>
      <w:r>
        <w:rPr>
          <w:rFonts w:ascii="Arial" w:cs="Arial" w:eastAsia="Arial" w:hAnsi="Arial"/>
          <w:b/>
          <w:bCs/>
          <w:sz w:val="22"/>
          <w:szCs w:val="22"/>
        </w:rPr>
        <w:t xml:space="preserve">Technical Implementation (TI):</w:t>
      </w:r>
      <w:r>
        <w:rPr>
          <w:rFonts w:ascii="Arial" w:cs="Arial" w:eastAsia="Arial" w:hAnsi="Arial"/>
          <w:sz w:val="22"/>
          <w:szCs w:val="22"/>
        </w:rPr>
        <w:t xml:space="preserve"> Automated testing of PII detection and prevention mechanisms, data isolation controls in multi-tenant environments, log sanitization effectiveness, cache security, and data flow enforcement. Test suites SHALL include PII injection tests across all output channels.</w:t>
      </w:r>
    </w:p>
    <w:p>
      <w:pPr>
        <w:pStyle w:val="ListParagraph"/>
        <w:numPr>
          <w:ilvl w:val="0"/>
          <w:numId w:val="8"/>
        </w:numPr>
        <w:spacing w:after="80"/>
      </w:pPr>
      <w:r>
        <w:rPr>
          <w:rFonts w:ascii="Arial" w:cs="Arial" w:eastAsia="Arial" w:hAnsi="Arial"/>
          <w:b/>
          <w:bCs/>
          <w:sz w:val="22"/>
          <w:szCs w:val="22"/>
        </w:rPr>
        <w:t xml:space="preserve">Third-Party Testing (TP):</w:t>
      </w:r>
      <w:r>
        <w:rPr>
          <w:rFonts w:ascii="Arial" w:cs="Arial" w:eastAsia="Arial" w:hAnsi="Arial"/>
          <w:sz w:val="22"/>
          <w:szCs w:val="22"/>
        </w:rPr>
        <w:t xml:space="preserve"> Adversarial testing of IP protection controls, training data extraction resistance, and cross-customer data contamination prevention. TP evaluation SHALL include structured attempts to extract confidential information, system prompts, and cross-tenant data through adversarial interaction.</w:t>
      </w:r>
    </w:p>
    <w:p>
      <w:pPr>
        <w:spacing w:after="120"/>
        <w:jc w:val="left"/>
      </w:pPr>
      <w:r>
        <w:rPr>
          <w:rFonts w:ascii="Arial" w:cs="Arial" w:eastAsia="Arial" w:hAnsi="Arial"/>
          <w:sz w:val="22"/>
          <w:szCs w:val="22"/>
        </w:rPr>
        <w:t xml:space="preserve">For Level 2 and Level 3, Domain 5 evaluation SHALL additionally include data subject rights exercise testing (portability, deletion verification) and cross-border data flow compliance validation.</w:t>
      </w:r>
    </w:p>
    <w:p>
      <w:pPr>
        <w:pStyle w:val="Heading3"/>
        <w:spacing w:before="200" w:after="120"/>
      </w:pPr>
      <w:r>
        <w:rPr>
          <w:rFonts w:ascii="Arial" w:cs="Arial" w:eastAsia="Arial" w:hAnsi="Arial"/>
          <w:b/>
          <w:bCs/>
          <w:color w:val="1B2A4A"/>
          <w:sz w:val="24"/>
          <w:szCs w:val="24"/>
        </w:rPr>
        <w:t xml:space="preserve">3.4.2 Domain 13 Evaluation Procedures (New in v1.1)</w:t>
      </w:r>
    </w:p>
    <w:p>
      <w:pPr>
        <w:spacing w:after="120"/>
        <w:jc w:val="left"/>
      </w:pPr>
      <w:r>
        <w:rPr>
          <w:rFonts w:ascii="Arial" w:cs="Arial" w:eastAsia="Arial" w:hAnsi="Arial"/>
          <w:sz w:val="22"/>
          <w:szCs w:val="22"/>
        </w:rPr>
        <w:t xml:space="preserve">Societal Impact and Responsible Deployment ACRs require domain-specific evaluation procedures:</w:t>
      </w:r>
    </w:p>
    <w:p>
      <w:pPr>
        <w:pStyle w:val="ListParagraph"/>
        <w:numPr>
          <w:ilvl w:val="0"/>
          <w:numId w:val="9"/>
        </w:numPr>
        <w:spacing w:after="80"/>
      </w:pPr>
      <w:r>
        <w:rPr>
          <w:rFonts w:ascii="Arial" w:cs="Arial" w:eastAsia="Arial" w:hAnsi="Arial"/>
          <w:b/>
          <w:bCs/>
          <w:sz w:val="22"/>
          <w:szCs w:val="22"/>
        </w:rPr>
        <w:t xml:space="preserve">CBRN and Cyber Misuse Controls:</w:t>
      </w:r>
      <w:r>
        <w:rPr>
          <w:rFonts w:ascii="Arial" w:cs="Arial" w:eastAsia="Arial" w:hAnsi="Arial"/>
          <w:sz w:val="22"/>
          <w:szCs w:val="22"/>
        </w:rPr>
        <w:t xml:space="preserve"> Adversarial red-team testing of guardrails preventing CBRN-enabling content, malware generation, exploitation code, and phishing content. Test suites SHALL include both direct and indirect elicitation attempts, encoding-based bypasses, and multi-step escalation sequences. Pass rate threshold: 99% for CBRN, 97% for cyber misuse.</w:t>
      </w:r>
    </w:p>
    <w:p>
      <w:pPr>
        <w:pStyle w:val="ListParagraph"/>
        <w:numPr>
          <w:ilvl w:val="0"/>
          <w:numId w:val="9"/>
        </w:numPr>
        <w:spacing w:after="80"/>
      </w:pPr>
      <w:r>
        <w:rPr>
          <w:rFonts w:ascii="Arial" w:cs="Arial" w:eastAsia="Arial" w:hAnsi="Arial"/>
          <w:b/>
          <w:bCs/>
          <w:sz w:val="22"/>
          <w:szCs w:val="22"/>
        </w:rPr>
        <w:t xml:space="preserve">Content Safety Controls:</w:t>
      </w:r>
      <w:r>
        <w:rPr>
          <w:rFonts w:ascii="Arial" w:cs="Arial" w:eastAsia="Arial" w:hAnsi="Arial"/>
          <w:sz w:val="22"/>
          <w:szCs w:val="22"/>
        </w:rPr>
        <w:t xml:space="preserve"> Automated and human simulation testing of harmful content safeguards, hate speech controls, deception prevention, and scope boundary enforcement. Evaluation SHALL use adversarial content generation prompts calibrated to current threat intelligence.</w:t>
      </w:r>
    </w:p>
    <w:p>
      <w:pPr>
        <w:pStyle w:val="ListParagraph"/>
        <w:numPr>
          <w:ilvl w:val="0"/>
          <w:numId w:val="9"/>
        </w:numPr>
        <w:spacing w:after="80"/>
      </w:pPr>
      <w:r>
        <w:rPr>
          <w:rFonts w:ascii="Arial" w:cs="Arial" w:eastAsia="Arial" w:hAnsi="Arial"/>
          <w:b/>
          <w:bCs/>
          <w:sz w:val="22"/>
          <w:szCs w:val="22"/>
        </w:rPr>
        <w:t xml:space="preserve">Fairness and Bias Evaluation:</w:t>
      </w:r>
      <w:r>
        <w:rPr>
          <w:rFonts w:ascii="Arial" w:cs="Arial" w:eastAsia="Arial" w:hAnsi="Arial"/>
          <w:sz w:val="22"/>
          <w:szCs w:val="22"/>
        </w:rPr>
        <w:t xml:space="preserve"> Human simulation testing with demographic-stratified test cases evaluating differential outcomes across protected characteristics. Evaluation SHALL use standardized fairness metrics (demographic parity, equalized odds, or equivalent) with documented threshold justification. Evaluators SHALL include individuals with demonstrated expertise in AI fairness evaluation.</w:t>
      </w:r>
    </w:p>
    <w:p>
      <w:pPr>
        <w:pStyle w:val="ListParagraph"/>
        <w:numPr>
          <w:ilvl w:val="0"/>
          <w:numId w:val="9"/>
        </w:numPr>
        <w:spacing w:after="80"/>
      </w:pPr>
      <w:r>
        <w:rPr>
          <w:rFonts w:ascii="Arial" w:cs="Arial" w:eastAsia="Arial" w:hAnsi="Arial"/>
          <w:b/>
          <w:bCs/>
          <w:sz w:val="22"/>
          <w:szCs w:val="22"/>
        </w:rPr>
        <w:t xml:space="preserve">Transparency Documentation:</w:t>
      </w:r>
      <w:r>
        <w:rPr>
          <w:rFonts w:ascii="Arial" w:cs="Arial" w:eastAsia="Arial" w:hAnsi="Arial"/>
          <w:sz w:val="22"/>
          <w:szCs w:val="22"/>
        </w:rPr>
        <w:t xml:space="preserve"> Expert inspection of limitations disclosure, deployment context assessment, downstream use controls, and AI risk taxonomy documentation. Evaluators SHALL verify documentation is accessible, current, and materially complete.</w:t>
      </w:r>
    </w:p>
    <w:p>
      <w:pPr>
        <w:spacing w:after="120"/>
        <w:jc w:val="left"/>
      </w:pPr>
      <w:r>
        <w:rPr>
          <w:rFonts w:ascii="Arial" w:cs="Arial" w:eastAsia="Arial" w:hAnsi="Arial"/>
          <w:sz w:val="22"/>
          <w:szCs w:val="22"/>
        </w:rPr>
        <w:t xml:space="preserve">For Level 3, Domain 13 evaluation SHALL additionally include independent third-party societal safety evaluation and structured adversarial red-team testing by ARAF-approved operators with specific societal harm expertise.</w:t>
      </w:r>
    </w:p>
    <w:p>
      <w:pPr>
        <w:pStyle w:val="Heading2"/>
        <w:spacing w:before="280" w:after="160"/>
      </w:pPr>
      <w:r>
        <w:rPr>
          <w:rFonts w:ascii="Arial" w:cs="Arial" w:eastAsia="Arial" w:hAnsi="Arial"/>
          <w:b/>
          <w:bCs/>
          <w:color w:val="2C4A7C"/>
          <w:sz w:val="28"/>
          <w:szCs w:val="28"/>
        </w:rPr>
        <w:t xml:space="preserve">3.5 Phase 5: Adversarial Simulation</w:t>
      </w:r>
    </w:p>
    <w:p>
      <w:pPr>
        <w:pStyle w:val="Heading3"/>
        <w:spacing w:before="200" w:after="120"/>
      </w:pPr>
      <w:r>
        <w:rPr>
          <w:rFonts w:ascii="Arial" w:cs="Arial" w:eastAsia="Arial" w:hAnsi="Arial"/>
          <w:b/>
          <w:bCs/>
          <w:color w:val="1B2A4A"/>
          <w:sz w:val="24"/>
          <w:szCs w:val="24"/>
        </w:rPr>
        <w:t xml:space="preserve">3.5.1 Level 1: Automated Adversarial Suite</w:t>
      </w:r>
    </w:p>
    <w:p>
      <w:pPr>
        <w:spacing w:after="120"/>
        <w:jc w:val="left"/>
      </w:pPr>
      <w:r>
        <w:rPr>
          <w:rFonts w:ascii="Arial" w:cs="Arial" w:eastAsia="Arial" w:hAnsi="Arial"/>
          <w:sz w:val="22"/>
          <w:szCs w:val="22"/>
        </w:rPr>
        <w:t xml:space="preserve">Execution of standardized automated adversarial test batteries covering direct prompt injection, indirect prompt injection, role confusion, and encoding attacks. Pass threshold per ACR specification (typically 95%). No mandatory human adversarial testing at Level 1.</w:t>
      </w:r>
    </w:p>
    <w:p>
      <w:pPr>
        <w:pStyle w:val="Heading3"/>
        <w:spacing w:before="200" w:after="120"/>
      </w:pPr>
      <w:r>
        <w:rPr>
          <w:rFonts w:ascii="Arial" w:cs="Arial" w:eastAsia="Arial" w:hAnsi="Arial"/>
          <w:b/>
          <w:bCs/>
          <w:color w:val="1B2A4A"/>
          <w:sz w:val="24"/>
          <w:szCs w:val="24"/>
        </w:rPr>
        <w:t xml:space="preserve">3.5.2 Level 2: Automated + Human Simulation</w:t>
      </w:r>
    </w:p>
    <w:p>
      <w:pPr>
        <w:spacing w:after="120"/>
        <w:jc w:val="left"/>
      </w:pPr>
      <w:r>
        <w:rPr>
          <w:rFonts w:ascii="Arial" w:cs="Arial" w:eastAsia="Arial" w:hAnsi="Arial"/>
          <w:sz w:val="22"/>
          <w:szCs w:val="22"/>
        </w:rPr>
        <w:t xml:space="preserve">All Level 1 tests plus human simulation adversarial testing by qualified operators. Minimum 8 hours of dedicated human adversarial interaction covering social engineering, multi-turn manipulation, context poisoning, tool-based attacks, and Domain 13 societal harm probing. Red team validation recommended but not required.</w:t>
      </w:r>
    </w:p>
    <w:p>
      <w:pPr>
        <w:pStyle w:val="Heading3"/>
        <w:spacing w:before="200" w:after="120"/>
      </w:pPr>
      <w:r>
        <w:rPr>
          <w:rFonts w:ascii="Arial" w:cs="Arial" w:eastAsia="Arial" w:hAnsi="Arial"/>
          <w:b/>
          <w:bCs/>
          <w:color w:val="1B2A4A"/>
          <w:sz w:val="24"/>
          <w:szCs w:val="24"/>
        </w:rPr>
        <w:t xml:space="preserve">3.5.3 Level 3: Multi-Layer + Mandatory Red Team</w:t>
      </w:r>
    </w:p>
    <w:p>
      <w:pPr>
        <w:spacing w:after="120"/>
        <w:jc w:val="left"/>
      </w:pPr>
      <w:r>
        <w:rPr>
          <w:rFonts w:ascii="Arial" w:cs="Arial" w:eastAsia="Arial" w:hAnsi="Arial"/>
          <w:sz w:val="22"/>
          <w:szCs w:val="22"/>
        </w:rPr>
        <w:t xml:space="preserve">All Level 2 tests plus mandatory red team validation by ARAF-approved independent assessors. Minimum 24 hours of dedicated red team engagement covering full-scope adversarial assessment, novel attack development, combined stress + adversarial testing, and Domain 5/13 focused attacks. Red team findings classified as Critical or High must be remediated before certification.</w:t>
      </w:r>
    </w:p>
    <w:p>
      <w:pPr>
        <w:pStyle w:val="Heading2"/>
        <w:spacing w:before="280" w:after="160"/>
      </w:pPr>
      <w:r>
        <w:rPr>
          <w:rFonts w:ascii="Arial" w:cs="Arial" w:eastAsia="Arial" w:hAnsi="Arial"/>
          <w:b/>
          <w:bCs/>
          <w:color w:val="2C4A7C"/>
          <w:sz w:val="28"/>
          <w:szCs w:val="28"/>
        </w:rPr>
        <w:t xml:space="preserve">3.6 Phase 6: Human Expert Review</w:t>
      </w:r>
    </w:p>
    <w:p>
      <w:pPr>
        <w:spacing w:after="120"/>
        <w:jc w:val="left"/>
      </w:pPr>
      <w:r>
        <w:rPr>
          <w:rFonts w:ascii="Arial" w:cs="Arial" w:eastAsia="Arial" w:hAnsi="Arial"/>
          <w:sz w:val="22"/>
          <w:szCs w:val="22"/>
        </w:rPr>
        <w:t xml:space="preserve">A qualified human expert reviews the complete evaluation results. The reviewer SHALL NOT have been involved in evaluation execution. Review covers evaluation completeness, evidence sufficiency across all four evidence categories, methodology compliance, scoring accuracy, SoA validation, and any anomalies. The reviewer may request additional testing, evidence, or clarification.</w:t>
      </w:r>
    </w:p>
    <w:p>
      <w:pPr>
        <w:pStyle w:val="Heading2"/>
        <w:spacing w:before="280" w:after="160"/>
      </w:pPr>
      <w:r>
        <w:rPr>
          <w:rFonts w:ascii="Arial" w:cs="Arial" w:eastAsia="Arial" w:hAnsi="Arial"/>
          <w:b/>
          <w:bCs/>
          <w:color w:val="2C4A7C"/>
          <w:sz w:val="28"/>
          <w:szCs w:val="28"/>
        </w:rPr>
        <w:t xml:space="preserve">3.7 Phases 7–10: Certification Decision Through Reassessment</w:t>
      </w:r>
    </w:p>
    <w:p>
      <w:pPr>
        <w:spacing w:after="120"/>
        <w:jc w:val="left"/>
      </w:pPr>
      <w:r>
        <w:rPr>
          <w:rFonts w:ascii="Arial" w:cs="Arial" w:eastAsia="Arial" w:hAnsi="Arial"/>
          <w:sz w:val="22"/>
          <w:szCs w:val="22"/>
        </w:rPr>
        <w:t xml:space="preserve">Phases 7 through 10 (Certification Decision, Registry Publication, Continuous Monitoring Enrollment, and Reassessment) are governed by the ARA Standard. The evaluation methodology interfaces through delivery of the evaluation report to the Certification Office, provision of monitoring configuration and baseline data for CAPO enrollment, and execution of reassessment evaluations per the per-ACR evaluation frequency schedule. Revalidation triggers generated by the accredited CAPO per ARAF-ARA-GOV-2026-001, Article 4.2 SHALL be incorporated into the reassessment process.</w:t>
      </w:r>
    </w:p>
    <w:p>
      <w:r>
        <w:br w:type="page"/>
      </w:r>
    </w:p>
    <w:p>
      <w:pPr>
        <w:pStyle w:val="Heading1"/>
        <w:spacing w:before="360" w:after="200"/>
      </w:pPr>
      <w:r>
        <w:rPr>
          <w:rFonts w:ascii="Arial" w:cs="Arial" w:eastAsia="Arial" w:hAnsi="Arial"/>
          <w:b/>
          <w:bCs/>
          <w:color w:val="1B2A4A"/>
          <w:sz w:val="32"/>
          <w:szCs w:val="32"/>
        </w:rPr>
        <w:t xml:space="preserve">Article 4 — Evidence Management</w:t>
      </w:r>
    </w:p>
    <w:p>
      <w:pPr>
        <w:pStyle w:val="Heading2"/>
        <w:spacing w:before="280" w:after="160"/>
      </w:pPr>
      <w:r>
        <w:rPr>
          <w:rFonts w:ascii="Arial" w:cs="Arial" w:eastAsia="Arial" w:hAnsi="Arial"/>
          <w:b/>
          <w:bCs/>
          <w:color w:val="2C4A7C"/>
          <w:sz w:val="28"/>
          <w:szCs w:val="28"/>
        </w:rPr>
        <w:t xml:space="preserve">4.1 Evidence Categories (New in v1.1)</w:t>
      </w:r>
    </w:p>
    <w:p>
      <w:pPr>
        <w:spacing w:after="120"/>
        <w:jc w:val="left"/>
      </w:pPr>
      <w:r>
        <w:rPr>
          <w:rFonts w:ascii="Arial" w:cs="Arial" w:eastAsia="Arial" w:hAnsi="Arial"/>
          <w:sz w:val="22"/>
          <w:szCs w:val="22"/>
        </w:rPr>
        <w:t xml:space="preserve">Version 1.1 formalizes four evidence categories. Each ACR in the Control Matrix specifies which category or categories of evidence are required. All evidence artifacts must fall into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policies, procedures, and legal instruments governing system operation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data policies, retention schedules, DPIAs, consent frameworks, incident response plans, change control policies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Verified technical controls demonstrating architectural and engineering compliance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PII detection test results, isolation test reports, encryption configurations, boundary enforcement logs, SDK integration evidence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Records demonstrating that documented processes are actually executed in practice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Change approval logs, incident response records, governance review minutes, training completion records, risk register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evaluation by qualified parties external to the system operator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 adversarial test results, independent audit findings, fairness evaluation reports, penetration test results</w:t>
            </w:r>
          </w:p>
        </w:tc>
      </w:tr>
    </w:tbl>
    <w:p>
      <w:pPr>
        <w:pStyle w:val="Heading2"/>
        <w:spacing w:before="280" w:after="160"/>
      </w:pPr>
      <w:r>
        <w:rPr>
          <w:rFonts w:ascii="Arial" w:cs="Arial" w:eastAsia="Arial" w:hAnsi="Arial"/>
          <w:b/>
          <w:bCs/>
          <w:color w:val="2C4A7C"/>
          <w:sz w:val="28"/>
          <w:szCs w:val="28"/>
        </w:rPr>
        <w:t xml:space="preserve">4.2 Evidence Sufficiency Matrix</w:t>
      </w:r>
    </w:p>
    <w:p>
      <w:pPr>
        <w:spacing w:after="120"/>
        <w:jc w:val="left"/>
      </w:pPr>
      <w:r>
        <w:rPr>
          <w:rFonts w:ascii="Arial" w:cs="Arial" w:eastAsia="Arial" w:hAnsi="Arial"/>
          <w:sz w:val="22"/>
          <w:szCs w:val="22"/>
        </w:rPr>
        <w:t xml:space="preserve">The following matrix defines minimum evidence requirements by certification level and evidence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 Assurance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 (Legal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Current policy documents with version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implementation evidence + annual review records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third-party policy adequacy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 (Technical Implementation)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 + basic test results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 suite results + operational evidence over 6-month window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SDK monitoring data + independent technical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 (Operational Process)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procedures + sample execution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+ 6-month execution record + process maturity assessment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process compliance monitoring + independent process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 (Third-Party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 acceptable for Foundational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AVB evaluation required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ARAF-approved red team + independent third-party evaluation</w:t>
            </w:r>
          </w:p>
        </w:tc>
      </w:tr>
    </w:tbl>
    <w:p>
      <w:pPr>
        <w:pStyle w:val="Heading2"/>
        <w:spacing w:before="280" w:after="160"/>
      </w:pPr>
      <w:r>
        <w:rPr>
          <w:rFonts w:ascii="Arial" w:cs="Arial" w:eastAsia="Arial" w:hAnsi="Arial"/>
          <w:b/>
          <w:bCs/>
          <w:color w:val="2C4A7C"/>
          <w:sz w:val="28"/>
          <w:szCs w:val="28"/>
        </w:rPr>
        <w:t xml:space="preserve">4.3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Artifact 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Execution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results with pass/fail, metrics, timestamps, and configuration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Interaction Transcripts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transcripts of Human Simulation sessions with annotations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Inspection Checklists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EI assessment forms with per-ACR findings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Data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telemetry, drift measurements, and alert records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Rolling 12 months; 24 months for Level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findings from adversarial red team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+ 5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Document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addressing all 398 ACRs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Remediation Records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of deficiency remediation with re-test results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bl>
    <w:p>
      <w:pPr>
        <w:pStyle w:val="Heading2"/>
        <w:spacing w:before="280" w:after="160"/>
      </w:pPr>
      <w:r>
        <w:rPr>
          <w:rFonts w:ascii="Arial" w:cs="Arial" w:eastAsia="Arial" w:hAnsi="Arial"/>
          <w:b/>
          <w:bCs/>
          <w:color w:val="2C4A7C"/>
          <w:sz w:val="28"/>
          <w:szCs w:val="28"/>
        </w:rPr>
        <w:t xml:space="preserve">4.4 Evidence Integrity</w:t>
      </w:r>
    </w:p>
    <w:p>
      <w:pPr>
        <w:spacing w:after="120"/>
        <w:jc w:val="left"/>
      </w:pPr>
      <w:r>
        <w:rPr>
          <w:rFonts w:ascii="Arial" w:cs="Arial" w:eastAsia="Arial" w:hAnsi="Arial"/>
          <w:sz w:val="22"/>
          <w:szCs w:val="22"/>
        </w:rPr>
        <w:t xml:space="preserve">All evidence artifacts SHALL be timestamped with cryptographic integrity verification (SHA-256 hash). Evidence SHALL be stored in tamper-evident storage with access controls. Chain of custody SHALL be maintained from generation through certification decision. Evidence modification after generation is prohibited; corrections require generation of a new artifact with documented rationale.</w:t>
      </w:r>
    </w:p>
    <w:p>
      <w:pPr>
        <w:pStyle w:val="Heading2"/>
        <w:spacing w:before="280" w:after="160"/>
      </w:pPr>
      <w:r>
        <w:rPr>
          <w:rFonts w:ascii="Arial" w:cs="Arial" w:eastAsia="Arial" w:hAnsi="Arial"/>
          <w:b/>
          <w:bCs/>
          <w:color w:val="2C4A7C"/>
          <w:sz w:val="28"/>
          <w:szCs w:val="28"/>
        </w:rPr>
        <w:t xml:space="preserve">4.5 Evidence Sufficiency Criteria</w:t>
      </w:r>
    </w:p>
    <w:p>
      <w:pPr>
        <w:spacing w:after="120"/>
        <w:jc w:val="left"/>
      </w:pPr>
      <w:r>
        <w:rPr>
          <w:rFonts w:ascii="Arial" w:cs="Arial" w:eastAsia="Arial" w:hAnsi="Arial"/>
          <w:sz w:val="22"/>
          <w:szCs w:val="22"/>
        </w:rPr>
        <w:t xml:space="preserve">Evidence is sufficient when it directly addresses the ACR requirement statement, contains enough detail to support independent reviewer assessment without additional context, is current (generated within the evaluation period), is attributable to a specific system version and configuration, and is reproducible by another evaluator following the same procedure.</w:t>
      </w:r>
    </w:p>
    <w:p>
      <w:r>
        <w:br w:type="page"/>
      </w:r>
    </w:p>
    <w:p>
      <w:pPr>
        <w:pStyle w:val="Heading1"/>
        <w:spacing w:before="360" w:after="200"/>
      </w:pPr>
      <w:r>
        <w:rPr>
          <w:rFonts w:ascii="Arial" w:cs="Arial" w:eastAsia="Arial" w:hAnsi="Arial"/>
          <w:b/>
          <w:bCs/>
          <w:color w:val="1B2A4A"/>
          <w:sz w:val="32"/>
          <w:szCs w:val="32"/>
        </w:rPr>
        <w:t xml:space="preserve">Article 5 — Scoring Methodology</w:t>
      </w:r>
    </w:p>
    <w:p>
      <w:pPr>
        <w:pStyle w:val="Heading2"/>
        <w:spacing w:before="280" w:after="160"/>
      </w:pPr>
      <w:r>
        <w:rPr>
          <w:rFonts w:ascii="Arial" w:cs="Arial" w:eastAsia="Arial" w:hAnsi="Arial"/>
          <w:b/>
          <w:bCs/>
          <w:color w:val="2C4A7C"/>
          <w:sz w:val="28"/>
          <w:szCs w:val="28"/>
        </w:rPr>
        <w:t xml:space="preserve">5.1 ACR-Level Scoring</w:t>
      </w:r>
    </w:p>
    <w:p>
      <w:pPr>
        <w:spacing w:after="120"/>
        <w:jc w:val="left"/>
      </w:pPr>
      <w:r>
        <w:rPr>
          <w:rFonts w:ascii="Arial" w:cs="Arial" w:eastAsia="Arial" w:hAnsi="Arial"/>
          <w:sz w:val="22"/>
          <w:szCs w:val="22"/>
        </w:rPr>
        <w:t xml:space="preserve">Each ACR produces one of three results: Pass (1.0), Fail (0.0), or Not Applicable (excluded from scoring). There is no partial credit. This is a deliberate design decision: partial compliance creates ambiguity that undermines certification integrity. Not Applicable status is determined by the Statement of Applicability and validated by the evaluator.</w:t>
      </w:r>
    </w:p>
    <w:p>
      <w:pPr>
        <w:pStyle w:val="Heading2"/>
        <w:spacing w:before="280" w:after="160"/>
      </w:pPr>
      <w:r>
        <w:rPr>
          <w:rFonts w:ascii="Arial" w:cs="Arial" w:eastAsia="Arial" w:hAnsi="Arial"/>
          <w:b/>
          <w:bCs/>
          <w:color w:val="2C4A7C"/>
          <w:sz w:val="28"/>
          <w:szCs w:val="28"/>
        </w:rPr>
        <w:t xml:space="preserve">5.2 Domain Scoring</w:t>
      </w:r>
    </w:p>
    <w:p>
      <w:pPr>
        <w:spacing w:after="120"/>
        <w:jc w:val="left"/>
      </w:pPr>
      <w:r>
        <w:rPr>
          <w:rFonts w:ascii="Arial" w:cs="Arial" w:eastAsia="Arial" w:hAnsi="Arial"/>
          <w:sz w:val="22"/>
          <w:szCs w:val="22"/>
        </w:rPr>
        <w:t xml:space="preserve">Domain Score = Σ(ACR Result × Risk Weight) / Σ(Max Possible × Risk Weight) × 100, where ACR Result = 1.0 (pass) or 0.0 (fail), Risk Weight = the ACR’s assigned weight (1-5 scale), and N/A ACRs are excluded from both numerator and denominator. Domain scores range from 0 to 100.</w:t>
      </w:r>
    </w:p>
    <w:p>
      <w:pPr>
        <w:pStyle w:val="Heading2"/>
        <w:spacing w:before="280" w:after="160"/>
      </w:pPr>
      <w:r>
        <w:rPr>
          <w:rFonts w:ascii="Arial" w:cs="Arial" w:eastAsia="Arial" w:hAnsi="Arial"/>
          <w:b/>
          <w:bCs/>
          <w:color w:val="2C4A7C"/>
          <w:sz w:val="28"/>
          <w:szCs w:val="28"/>
        </w:rPr>
        <w:t xml:space="preserve">5.3 Minimum Domain Score Thresholds</w:t>
      </w:r>
    </w:p>
    <w:p>
      <w:pPr>
        <w:spacing w:after="120"/>
        <w:jc w:val="left"/>
      </w:pPr>
      <w:r>
        <w:rPr>
          <w:rFonts w:ascii="Arial" w:cs="Arial" w:eastAsia="Arial" w:hAnsi="Arial"/>
          <w:sz w:val="22"/>
          <w:szCs w:val="22"/>
        </w:rPr>
        <w:t xml:space="preserve">The following thresholds are updated for the 15-domain structure. The ARA Standard is authoritative where discrepancies exist.</w:t>
      </w:r>
    </w:p>
    <w:p>
      <w:pPr>
        <w:pStyle w:val="Heading3"/>
        <w:spacing w:before="200" w:after="120"/>
      </w:pPr>
      <w:r>
        <w:rPr>
          <w:rFonts w:ascii="Arial" w:cs="Arial" w:eastAsia="Arial" w:hAnsi="Arial"/>
          <w:b/>
          <w:bCs/>
          <w:color w:val="1B2A4A"/>
          <w:sz w:val="24"/>
          <w:szCs w:val="24"/>
        </w:rP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bl>
    <w:p>
      <w:pPr>
        <w:spacing w:after="120"/>
        <w:jc w:val="left"/>
      </w:pPr>
      <w:r>
        <w:rPr>
          <w:rFonts w:ascii="Arial" w:cs="Arial" w:eastAsia="Arial" w:hAnsi="Arial"/>
          <w:i/>
          <w:iCs/>
          <w:color w:val="666666"/>
          <w:sz w:val="22"/>
          <w:szCs w:val="22"/>
        </w:rPr>
        <w:t xml:space="preserve">* New domains in v1.1</w:t>
      </w:r>
    </w:p>
    <w:p>
      <w:pPr>
        <w:pStyle w:val="Heading3"/>
        <w:spacing w:before="200" w:after="120"/>
      </w:pPr>
      <w:r>
        <w:rPr>
          <w:rFonts w:ascii="Arial" w:cs="Arial" w:eastAsia="Arial" w:hAnsi="Arial"/>
          <w:b/>
          <w:bCs/>
          <w:color w:val="1B2A4A"/>
          <w:sz w:val="24"/>
          <w:szCs w:val="24"/>
        </w:rP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bl>
    <w:p>
      <w:pPr>
        <w:pStyle w:val="Heading3"/>
        <w:spacing w:before="200" w:after="120"/>
      </w:pPr>
      <w:r>
        <w:rPr>
          <w:rFonts w:ascii="Arial" w:cs="Arial" w:eastAsia="Arial" w:hAnsi="Arial"/>
          <w:b/>
          <w:bCs/>
          <w:color w:val="1B2A4A"/>
          <w:sz w:val="24"/>
          <w:szCs w:val="24"/>
        </w:rP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 Physical Integrity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bl>
    <w:p>
      <w:pPr>
        <w:spacing w:after="120"/>
        <w:jc w:val="left"/>
      </w:pPr>
      <w:r>
        <w:rPr>
          <w:rFonts w:ascii="Arial" w:cs="Arial" w:eastAsia="Arial" w:hAnsi="Arial"/>
          <w:i/>
          <w:iCs/>
          <w:color w:val="666666"/>
          <w:sz w:val="22"/>
          <w:szCs w:val="22"/>
        </w:rPr>
        <w:t xml:space="preserve">** Domain 15 applies only to systems with physical actuation capabilities.</w:t>
      </w:r>
    </w:p>
    <w:p>
      <w:pPr>
        <w:pStyle w:val="Heading2"/>
        <w:spacing w:before="280" w:after="160"/>
      </w:pPr>
      <w:r>
        <w:rPr>
          <w:rFonts w:ascii="Arial" w:cs="Arial" w:eastAsia="Arial" w:hAnsi="Arial"/>
          <w:b/>
          <w:bCs/>
          <w:color w:val="2C4A7C"/>
          <w:sz w:val="28"/>
          <w:szCs w:val="28"/>
        </w:rPr>
        <w:t xml:space="preserve">5.4 Blocking ACR Enforcement</w:t>
      </w:r>
    </w:p>
    <w:p>
      <w:pPr>
        <w:spacing w:after="120"/>
        <w:jc w:val="left"/>
      </w:pPr>
      <w:r>
        <w:rPr>
          <w:rFonts w:ascii="Arial" w:cs="Arial" w:eastAsia="Arial" w:hAnsi="Arial"/>
          <w:sz w:val="22"/>
          <w:szCs w:val="22"/>
        </w:rPr>
        <w:t xml:space="preserve">A system that fails any Blocking ACR at its target certification level cannot be certified at that level regardless of overall domain scores. Remediation of Blocking ACR failures requires re-evaluation with new evidence artifacts. The specific blocking ACRs are identified by Failure Consequence = A in the ACR Control Matrix.</w:t>
      </w:r>
    </w:p>
    <w:p>
      <w:pPr>
        <w:pStyle w:val="Heading2"/>
        <w:spacing w:before="280" w:after="160"/>
      </w:pPr>
      <w:r>
        <w:rPr>
          <w:rFonts w:ascii="Arial" w:cs="Arial" w:eastAsia="Arial" w:hAnsi="Arial"/>
          <w:b/>
          <w:bCs/>
          <w:color w:val="2C4A7C"/>
          <w:sz w:val="28"/>
          <w:szCs w:val="28"/>
        </w:rPr>
        <w:t xml:space="preserve">5.5 Conditional Pass</w:t>
      </w:r>
    </w:p>
    <w:p>
      <w:pPr>
        <w:spacing w:after="120"/>
        <w:jc w:val="left"/>
      </w:pPr>
      <w:r>
        <w:rPr>
          <w:rFonts w:ascii="Arial" w:cs="Arial" w:eastAsia="Arial" w:hAnsi="Arial"/>
          <w:sz w:val="22"/>
          <w:szCs w:val="22"/>
        </w:rPr>
        <w:t xml:space="preserve">Systems meeting minimum domain scores and passing all Blocking ACRs but failing non-blocking ACRs may receive conditional certification valid for maximum 90 days. Remediation plan must be approved within 15 days, failed ACRs remediated within the conditional period, and conditional status is recorded in the public registry.</w:t>
      </w:r>
    </w:p>
    <w:p>
      <w:pPr>
        <w:pStyle w:val="Heading2"/>
        <w:spacing w:before="280" w:after="160"/>
      </w:pPr>
      <w:r>
        <w:rPr>
          <w:rFonts w:ascii="Arial" w:cs="Arial" w:eastAsia="Arial" w:hAnsi="Arial"/>
          <w:b/>
          <w:bCs/>
          <w:color w:val="2C4A7C"/>
          <w:sz w:val="28"/>
          <w:szCs w:val="28"/>
        </w:rPr>
        <w:t xml:space="preserve">5.6 Overall Certification Decision</w:t>
      </w:r>
    </w:p>
    <w:p>
      <w:pPr>
        <w:spacing w:after="120"/>
        <w:jc w:val="left"/>
      </w:pPr>
      <w:r>
        <w:rPr>
          <w:rFonts w:ascii="Arial" w:cs="Arial" w:eastAsia="Arial" w:hAnsi="Arial"/>
          <w:sz w:val="22"/>
          <w:szCs w:val="22"/>
        </w:rPr>
        <w:t xml:space="preserve">The certification decision integrates: domain scores vs. minimum thresholds (all must meet or exceed); Blocking ACR status (all must pass); total applicable ACR pass rate; expert review findings (no unresolved critical findings); adversarial simulation results; and SoA completeness and validity. The ARAF Certification Office has sole authority to issue, deny, or condition certification.</w:t>
      </w:r>
    </w:p>
    <w:p>
      <w:r>
        <w:br w:type="page"/>
      </w:r>
    </w:p>
    <w:p>
      <w:pPr>
        <w:pStyle w:val="Heading1"/>
        <w:spacing w:before="360" w:after="200"/>
      </w:pPr>
      <w:r>
        <w:rPr>
          <w:rFonts w:ascii="Arial" w:cs="Arial" w:eastAsia="Arial" w:hAnsi="Arial"/>
          <w:b/>
          <w:bCs/>
          <w:color w:val="1B2A4A"/>
          <w:sz w:val="32"/>
          <w:szCs w:val="32"/>
        </w:rPr>
        <w:t xml:space="preserve">Article 6 — Evaluation Report Structure</w:t>
      </w:r>
    </w:p>
    <w:p>
      <w:pPr>
        <w:spacing w:after="120"/>
        <w:jc w:val="left"/>
      </w:pPr>
      <w:r>
        <w:rPr>
          <w:rFonts w:ascii="Arial" w:cs="Arial" w:eastAsia="Arial" w:hAnsi="Arial"/>
          <w:sz w:val="22"/>
          <w:szCs w:val="22"/>
        </w:rPr>
        <w:t xml:space="preserve">Every ARA evaluation produces a structured report delivered to the ARAF Certification Office. The mandatory report structure includes:</w:t>
      </w:r>
    </w:p>
    <w:p>
      <w:pPr>
        <w:spacing w:after="120"/>
      </w:pPr>
      <w:r>
        <w:rPr>
          <w:rFonts w:ascii="Arial" w:cs="Arial" w:eastAsia="Arial" w:hAnsi="Arial"/>
          <w:b/>
          <w:bCs/>
          <w:sz w:val="22"/>
          <w:szCs w:val="22"/>
        </w:rPr>
        <w:t xml:space="preserve">6.1.1 Executive Summary: </w:t>
      </w:r>
      <w:r>
        <w:rPr>
          <w:rFonts w:ascii="Arial" w:cs="Arial" w:eastAsia="Arial" w:hAnsi="Arial"/>
          <w:sz w:val="22"/>
          <w:szCs w:val="22"/>
        </w:rPr>
        <w:t xml:space="preserve">System identification, evaluation scope, system profile and certification level, certification recommendation, domain score summary, ACR pass/fail/N/A counts, and critical findings.</w:t>
      </w:r>
    </w:p>
    <w:p>
      <w:pPr>
        <w:spacing w:after="120"/>
      </w:pPr>
      <w:r>
        <w:rPr>
          <w:rFonts w:ascii="Arial" w:cs="Arial" w:eastAsia="Arial" w:hAnsi="Arial"/>
          <w:b/>
          <w:bCs/>
          <w:sz w:val="22"/>
          <w:szCs w:val="22"/>
        </w:rPr>
        <w:t xml:space="preserve">6.1.2 System Description: </w:t>
      </w:r>
      <w:r>
        <w:rPr>
          <w:rFonts w:ascii="Arial" w:cs="Arial" w:eastAsia="Arial" w:hAnsi="Arial"/>
          <w:sz w:val="22"/>
          <w:szCs w:val="22"/>
        </w:rPr>
        <w:t xml:space="preserve">System name, version, deployment context, architecture overview, technology stack, physical capabilities.</w:t>
      </w:r>
    </w:p>
    <w:p>
      <w:pPr>
        <w:spacing w:after="120"/>
      </w:pPr>
      <w:r>
        <w:rPr>
          <w:rFonts w:ascii="Arial" w:cs="Arial" w:eastAsia="Arial" w:hAnsi="Arial"/>
          <w:b/>
          <w:bCs/>
          <w:sz w:val="22"/>
          <w:szCs w:val="22"/>
        </w:rPr>
        <w:t xml:space="preserve">6.1.3 System Profile and SoA: </w:t>
      </w:r>
      <w:r>
        <w:rPr>
          <w:rFonts w:ascii="Arial" w:cs="Arial" w:eastAsia="Arial" w:hAnsi="Arial"/>
          <w:sz w:val="22"/>
          <w:szCs w:val="22"/>
        </w:rPr>
        <w:t xml:space="preserve">Profile determination rationale, scoping questionnaire results, and Statement of Applicability review findings.</w:t>
      </w:r>
    </w:p>
    <w:p>
      <w:pPr>
        <w:spacing w:after="120"/>
      </w:pPr>
      <w:r>
        <w:rPr>
          <w:rFonts w:ascii="Arial" w:cs="Arial" w:eastAsia="Arial" w:hAnsi="Arial"/>
          <w:b/>
          <w:bCs/>
          <w:sz w:val="22"/>
          <w:szCs w:val="22"/>
        </w:rPr>
        <w:t xml:space="preserve">6.1.4 Evaluation Methodology: </w:t>
      </w:r>
      <w:r>
        <w:rPr>
          <w:rFonts w:ascii="Arial" w:cs="Arial" w:eastAsia="Arial" w:hAnsi="Arial"/>
          <w:sz w:val="22"/>
          <w:szCs w:val="22"/>
        </w:rPr>
        <w:t xml:space="preserve">Dates, AVB identification, evaluator qualifications, methods applied, test environment configuration, and any methodology deviations with justification.</w:t>
      </w:r>
    </w:p>
    <w:p>
      <w:pPr>
        <w:spacing w:after="120"/>
      </w:pPr>
      <w:r>
        <w:rPr>
          <w:rFonts w:ascii="Arial" w:cs="Arial" w:eastAsia="Arial" w:hAnsi="Arial"/>
          <w:b/>
          <w:bCs/>
          <w:sz w:val="22"/>
          <w:szCs w:val="22"/>
        </w:rPr>
        <w:t xml:space="preserve">6.1.5 Domain Results: </w:t>
      </w:r>
      <w:r>
        <w:rPr>
          <w:rFonts w:ascii="Arial" w:cs="Arial" w:eastAsia="Arial" w:hAnsi="Arial"/>
          <w:sz w:val="22"/>
          <w:szCs w:val="22"/>
        </w:rPr>
        <w:t xml:space="preserve">For each applicable domain: domain score, threshold comparison, per-ACR results with evidence artifact references by evidence category (LP/TI/OP/TP), blocking ACR status, and notable findings.</w:t>
      </w:r>
    </w:p>
    <w:p>
      <w:pPr>
        <w:spacing w:after="120"/>
      </w:pPr>
      <w:r>
        <w:rPr>
          <w:rFonts w:ascii="Arial" w:cs="Arial" w:eastAsia="Arial" w:hAnsi="Arial"/>
          <w:b/>
          <w:bCs/>
          <w:sz w:val="22"/>
          <w:szCs w:val="22"/>
        </w:rPr>
        <w:t xml:space="preserve">6.1.6 Adversarial Simulation Results: </w:t>
      </w:r>
      <w:r>
        <w:rPr>
          <w:rFonts w:ascii="Arial" w:cs="Arial" w:eastAsia="Arial" w:hAnsi="Arial"/>
          <w:sz w:val="22"/>
          <w:szCs w:val="22"/>
        </w:rPr>
        <w:t xml:space="preserve">Methodology, attack categories, pass rates, red team report summary (Level 3), unresolved vulnerabilities.</w:t>
      </w:r>
    </w:p>
    <w:p>
      <w:pPr>
        <w:spacing w:after="120"/>
      </w:pPr>
      <w:r>
        <w:rPr>
          <w:rFonts w:ascii="Arial" w:cs="Arial" w:eastAsia="Arial" w:hAnsi="Arial"/>
          <w:b/>
          <w:bCs/>
          <w:sz w:val="22"/>
          <w:szCs w:val="22"/>
        </w:rPr>
        <w:t xml:space="preserve">6.1.7 Expert Review: </w:t>
      </w:r>
      <w:r>
        <w:rPr>
          <w:rFonts w:ascii="Arial" w:cs="Arial" w:eastAsia="Arial" w:hAnsi="Arial"/>
          <w:sz w:val="22"/>
          <w:szCs w:val="22"/>
        </w:rPr>
        <w:t xml:space="preserve">Reviewer identification, review findings, methodology compliance assessment, evidence sufficiency assessment across all four evidence categories.</w:t>
      </w:r>
    </w:p>
    <w:p>
      <w:pPr>
        <w:spacing w:after="120"/>
      </w:pPr>
      <w:r>
        <w:rPr>
          <w:rFonts w:ascii="Arial" w:cs="Arial" w:eastAsia="Arial" w:hAnsi="Arial"/>
          <w:b/>
          <w:bCs/>
          <w:sz w:val="22"/>
          <w:szCs w:val="22"/>
        </w:rPr>
        <w:t xml:space="preserve">6.1.8 Certification Recommendation: </w:t>
      </w:r>
      <w:r>
        <w:rPr>
          <w:rFonts w:ascii="Arial" w:cs="Arial" w:eastAsia="Arial" w:hAnsi="Arial"/>
          <w:sz w:val="22"/>
          <w:szCs w:val="22"/>
        </w:rPr>
        <w:t xml:space="preserve">Certify, Certify with Conditions (specific conditions and timeline), or Deny (deficiencies and remediation guidance).</w:t>
      </w:r>
    </w:p>
    <w:p>
      <w:pPr>
        <w:spacing w:after="120"/>
      </w:pPr>
      <w:r>
        <w:rPr>
          <w:rFonts w:ascii="Arial" w:cs="Arial" w:eastAsia="Arial" w:hAnsi="Arial"/>
          <w:b/>
          <w:bCs/>
          <w:sz w:val="22"/>
          <w:szCs w:val="22"/>
        </w:rPr>
        <w:t xml:space="preserve">6.1.9 Appendices: </w:t>
      </w:r>
      <w:r>
        <w:rPr>
          <w:rFonts w:ascii="Arial" w:cs="Arial" w:eastAsia="Arial" w:hAnsi="Arial"/>
          <w:sz w:val="22"/>
          <w:szCs w:val="22"/>
        </w:rPr>
        <w:t xml:space="preserve">Complete ACR evaluation matrix, evidence artifact inventory with integrity hashes, test environment configuration, evaluator qualifications, conflict-of-interest declarations.</w:t>
      </w:r>
    </w:p>
    <w:p>
      <w:r>
        <w:br w:type="page"/>
      </w:r>
    </w:p>
    <w:p>
      <w:pPr>
        <w:pStyle w:val="Heading1"/>
        <w:spacing w:before="360" w:after="200"/>
      </w:pPr>
      <w:r>
        <w:rPr>
          <w:rFonts w:ascii="Arial" w:cs="Arial" w:eastAsia="Arial" w:hAnsi="Arial"/>
          <w:b/>
          <w:bCs/>
          <w:color w:val="1B2A4A"/>
          <w:sz w:val="32"/>
          <w:szCs w:val="32"/>
        </w:rPr>
        <w:t xml:space="preserve">Article 7 — Self-Serve Platform Integration</w:t>
      </w:r>
    </w:p>
    <w:p>
      <w:pPr>
        <w:pStyle w:val="Heading2"/>
        <w:spacing w:before="280" w:after="160"/>
      </w:pPr>
      <w:r>
        <w:rPr>
          <w:rFonts w:ascii="Arial" w:cs="Arial" w:eastAsia="Arial" w:hAnsi="Arial"/>
          <w:b/>
          <w:bCs/>
          <w:color w:val="2C4A7C"/>
          <w:sz w:val="28"/>
          <w:szCs w:val="28"/>
        </w:rPr>
        <w:t xml:space="preserve">7.1 Platform Evaluation Engine</w:t>
      </w:r>
    </w:p>
    <w:p>
      <w:pPr>
        <w:spacing w:after="120"/>
        <w:jc w:val="left"/>
      </w:pPr>
      <w:r>
        <w:rPr>
          <w:rFonts w:ascii="Arial" w:cs="Arial" w:eastAsia="Arial" w:hAnsi="Arial"/>
          <w:sz w:val="22"/>
          <w:szCs w:val="22"/>
        </w:rPr>
        <w:t xml:space="preserve">The ARAF self-serve certification platform implements this methodology through automated evaluation engines executing AT evaluations via standardized test batteries, supporting HS through structured interaction frameworks, automating EI checks for machine-verifiable requirements, and providing integrated CM through the Behavioral Telemetry SDK and Continuous Assurance Platform.</w:t>
      </w:r>
    </w:p>
    <w:p>
      <w:pPr>
        <w:pStyle w:val="Heading2"/>
        <w:spacing w:before="280" w:after="160"/>
      </w:pPr>
      <w:r>
        <w:rPr>
          <w:rFonts w:ascii="Arial" w:cs="Arial" w:eastAsia="Arial" w:hAnsi="Arial"/>
          <w:b/>
          <w:bCs/>
          <w:color w:val="2C4A7C"/>
          <w:sz w:val="28"/>
          <w:szCs w:val="28"/>
        </w:rPr>
        <w:t xml:space="preserve">7.2 Agent-to-Agent Evaluation Protocol</w:t>
      </w:r>
    </w:p>
    <w:p>
      <w:pPr>
        <w:spacing w:after="120"/>
        <w:jc w:val="left"/>
      </w:pPr>
      <w:r>
        <w:rPr>
          <w:rFonts w:ascii="Arial" w:cs="Arial" w:eastAsia="Arial" w:hAnsi="Arial"/>
          <w:sz w:val="22"/>
          <w:szCs w:val="22"/>
        </w:rPr>
        <w:t xml:space="preserve">For AI agent systems, the platform supports agent-to-agent evaluation where the ARAF evaluation agent directly interacts with the system under evaluation. The system connects via SDK, API, or agent-to-agent handshake; the evaluation agent presents structured test scenarios; responses are captured, assessed, and scored automatically; evidence artifacts are generated and stored; results are compiled into the standard report format.</w:t>
      </w:r>
    </w:p>
    <w:p>
      <w:pPr>
        <w:pStyle w:val="Heading2"/>
        <w:spacing w:before="280" w:after="160"/>
      </w:pPr>
      <w:r>
        <w:rPr>
          <w:rFonts w:ascii="Arial" w:cs="Arial" w:eastAsia="Arial" w:hAnsi="Arial"/>
          <w:b/>
          <w:bCs/>
          <w:color w:val="2C4A7C"/>
          <w:sz w:val="28"/>
          <w:szCs w:val="28"/>
        </w:rPr>
        <w:t xml:space="preserve">7.3 Express Evaluation Track (New in v1.1)</w:t>
      </w:r>
    </w:p>
    <w:p>
      <w:pPr>
        <w:spacing w:after="120"/>
        <w:jc w:val="left"/>
      </w:pPr>
      <w:r>
        <w:rPr>
          <w:rFonts w:ascii="Arial" w:cs="Arial" w:eastAsia="Arial" w:hAnsi="Arial"/>
          <w:sz w:val="22"/>
          <w:szCs w:val="22"/>
        </w:rPr>
        <w:t xml:space="preserve">The Express Evaluation Track provides an accelerated certification pathway for Level 1 Foundation certification of Foundational profile systems, targeting 3-4 week completion.</w:t>
      </w:r>
    </w:p>
    <w:p>
      <w:pPr>
        <w:pStyle w:val="Heading3"/>
        <w:spacing w:before="200" w:after="120"/>
      </w:pPr>
      <w:r>
        <w:rPr>
          <w:rFonts w:ascii="Arial" w:cs="Arial" w:eastAsia="Arial" w:hAnsi="Arial"/>
          <w:b/>
          <w:bCs/>
          <w:color w:val="1B2A4A"/>
          <w:sz w:val="24"/>
          <w:szCs w:val="24"/>
        </w:rPr>
        <w:t xml:space="preserve">7.3.1 Express Track Eligibility</w:t>
      </w:r>
    </w:p>
    <w:p>
      <w:pPr>
        <w:pStyle w:val="ListParagraph"/>
        <w:numPr>
          <w:ilvl w:val="0"/>
          <w:numId w:val="10"/>
        </w:numPr>
        <w:spacing w:after="80"/>
      </w:pPr>
      <w:r>
        <w:rPr>
          <w:rFonts w:ascii="Arial" w:cs="Arial" w:eastAsia="Arial" w:hAnsi="Arial"/>
          <w:sz w:val="22"/>
          <w:szCs w:val="22"/>
        </w:rPr>
        <w:t xml:space="preserve">System profile must be Foundational (97 applicable ACRs).</w:t>
      </w:r>
    </w:p>
    <w:p>
      <w:pPr>
        <w:pStyle w:val="ListParagraph"/>
        <w:numPr>
          <w:ilvl w:val="0"/>
          <w:numId w:val="10"/>
        </w:numPr>
        <w:spacing w:after="80"/>
      </w:pPr>
      <w:r>
        <w:rPr>
          <w:rFonts w:ascii="Arial" w:cs="Arial" w:eastAsia="Arial" w:hAnsi="Arial"/>
          <w:sz w:val="22"/>
          <w:szCs w:val="22"/>
        </w:rPr>
        <w:t xml:space="preserve">Certification level must be Level 1 (Foundation).</w:t>
      </w:r>
    </w:p>
    <w:p>
      <w:pPr>
        <w:pStyle w:val="ListParagraph"/>
        <w:numPr>
          <w:ilvl w:val="0"/>
          <w:numId w:val="10"/>
        </w:numPr>
        <w:spacing w:after="80"/>
      </w:pPr>
      <w:r>
        <w:rPr>
          <w:rFonts w:ascii="Arial" w:cs="Arial" w:eastAsia="Arial" w:hAnsi="Arial"/>
          <w:sz w:val="22"/>
          <w:szCs w:val="22"/>
        </w:rPr>
        <w:t xml:space="preserve">System must be accessible via the ARAF self-serve platform for automated evaluation.</w:t>
      </w:r>
    </w:p>
    <w:p>
      <w:pPr>
        <w:pStyle w:val="ListParagraph"/>
        <w:numPr>
          <w:ilvl w:val="0"/>
          <w:numId w:val="10"/>
        </w:numPr>
        <w:spacing w:after="80"/>
      </w:pPr>
      <w:r>
        <w:rPr>
          <w:rFonts w:ascii="Arial" w:cs="Arial" w:eastAsia="Arial" w:hAnsi="Arial"/>
          <w:sz w:val="22"/>
          <w:szCs w:val="22"/>
        </w:rPr>
        <w:t xml:space="preserve">Applicant must provide complete documentation package at registration.</w:t>
      </w:r>
    </w:p>
    <w:p>
      <w:pPr>
        <w:pStyle w:val="Heading3"/>
        <w:spacing w:before="200" w:after="120"/>
      </w:pPr>
      <w:r>
        <w:rPr>
          <w:rFonts w:ascii="Arial" w:cs="Arial" w:eastAsia="Arial" w:hAnsi="Arial"/>
          <w:b/>
          <w:bCs/>
          <w:color w:val="1B2A4A"/>
          <w:sz w:val="24"/>
          <w:szCs w:val="24"/>
        </w:rPr>
        <w:t xml:space="preserve">7.3.2 Express Track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Registration, profile classification, SoA submission, EI document collection begins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Registration ID, profile determination, SoA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AT execution (automated test batteries) + EI review (async document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results for all applicable ACRs, EI findings for policy/governance ACRs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evaluation (if required by ACR matrix) + CM baseline initiation + remediation of any quick-fix deficiencies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session transcripts, initial CM data, remediation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expert review + certification decision + registry publication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report, certification decision, registry entry</w:t>
            </w:r>
          </w:p>
        </w:tc>
      </w:tr>
    </w:tbl>
    <w:p>
      <w:pPr>
        <w:pStyle w:val="Heading3"/>
        <w:spacing w:before="200" w:after="120"/>
      </w:pPr>
      <w:r>
        <w:rPr>
          <w:rFonts w:ascii="Arial" w:cs="Arial" w:eastAsia="Arial" w:hAnsi="Arial"/>
          <w:b/>
          <w:bCs/>
          <w:color w:val="1B2A4A"/>
          <w:sz w:val="24"/>
          <w:szCs w:val="24"/>
        </w:rPr>
        <w:t xml:space="preserve">7.3.3 Express Track Parallelization</w:t>
      </w:r>
    </w:p>
    <w:p>
      <w:pPr>
        <w:spacing w:after="120"/>
        <w:jc w:val="left"/>
      </w:pPr>
      <w:r>
        <w:rPr>
          <w:rFonts w:ascii="Arial" w:cs="Arial" w:eastAsia="Arial" w:hAnsi="Arial"/>
          <w:sz w:val="22"/>
          <w:szCs w:val="22"/>
        </w:rPr>
        <w:t xml:space="preserve">The Express Track achieves timeline compression through: parallel execution of AT and EI evaluations (standard track runs these sequentially); asynchronous evidence collection allowing applicants to submit documentation on a rolling basis; pre-configured automated test batteries for Foundational profile ACRs; streamlined human expert review focused on the 97 applicable ACRs rather than full 398-ACR review; and CM baseline initiation concurrent with AT/EI rather than after completion.</w:t>
      </w:r>
    </w:p>
    <w:p>
      <w:pPr>
        <w:spacing w:after="120"/>
        <w:jc w:val="left"/>
      </w:pPr>
      <w:r>
        <w:rPr>
          <w:rFonts w:ascii="Arial" w:cs="Arial" w:eastAsia="Arial" w:hAnsi="Arial"/>
          <w:sz w:val="22"/>
          <w:szCs w:val="22"/>
        </w:rPr>
        <w:t xml:space="preserve">Express Track evaluations apply the same rigor and pass/fail criteria as standard evaluations. The timeline compression is achieved through process optimization, not reduced evaluation quality.</w:t>
      </w:r>
    </w:p>
    <w:p>
      <w:pPr>
        <w:pStyle w:val="Heading2"/>
        <w:spacing w:before="280" w:after="160"/>
      </w:pPr>
      <w:r>
        <w:rPr>
          <w:rFonts w:ascii="Arial" w:cs="Arial" w:eastAsia="Arial" w:hAnsi="Arial"/>
          <w:b/>
          <w:bCs/>
          <w:color w:val="2C4A7C"/>
          <w:sz w:val="28"/>
          <w:szCs w:val="28"/>
        </w:rPr>
        <w:t xml:space="preserve">7.4 Platform-Generated vs. AVB-Generated Reports</w:t>
      </w:r>
    </w:p>
    <w:p>
      <w:pPr>
        <w:spacing w:after="120"/>
        <w:jc w:val="left"/>
      </w:pPr>
      <w:r>
        <w:rPr>
          <w:rFonts w:ascii="Arial" w:cs="Arial" w:eastAsia="Arial" w:hAnsi="Arial"/>
          <w:sz w:val="22"/>
          <w:szCs w:val="22"/>
        </w:rPr>
        <w:t xml:space="preserve">Both platform-generated and AVB-generated reports follow the structure defined in Article 6. The Certification Office applies the same review standards regardless of pathway. Human expert review (Phase 6) is required for all certifications including Express Track.</w:t>
      </w:r>
    </w:p>
    <w:p>
      <w:r>
        <w:br w:type="page"/>
      </w:r>
    </w:p>
    <w:p>
      <w:pPr>
        <w:pStyle w:val="Heading1"/>
        <w:spacing w:before="360" w:after="200"/>
      </w:pPr>
      <w:r>
        <w:rPr>
          <w:rFonts w:ascii="Arial" w:cs="Arial" w:eastAsia="Arial" w:hAnsi="Arial"/>
          <w:b/>
          <w:bCs/>
          <w:color w:val="1B2A4A"/>
          <w:sz w:val="32"/>
          <w:szCs w:val="32"/>
        </w:rPr>
        <w:t xml:space="preserve">Article 8 — Reassessment Procedures</w:t>
      </w:r>
    </w:p>
    <w:p>
      <w:pPr>
        <w:pStyle w:val="Heading2"/>
        <w:spacing w:before="280" w:after="160"/>
      </w:pPr>
      <w:r>
        <w:rPr>
          <w:rFonts w:ascii="Arial" w:cs="Arial" w:eastAsia="Arial" w:hAnsi="Arial"/>
          <w:b/>
          <w:bCs/>
          <w:color w:val="2C4A7C"/>
          <w:sz w:val="28"/>
          <w:szCs w:val="28"/>
        </w:rPr>
        <w:t xml:space="preserve">8.1 Per-ACR Evaluation Frequency (New in v1.1)</w:t>
      </w:r>
    </w:p>
    <w:p>
      <w:pPr>
        <w:spacing w:after="120"/>
        <w:jc w:val="left"/>
      </w:pPr>
      <w:r>
        <w:rPr>
          <w:rFonts w:ascii="Arial" w:cs="Arial" w:eastAsia="Arial" w:hAnsi="Arial"/>
          <w:sz w:val="22"/>
          <w:szCs w:val="22"/>
        </w:rPr>
        <w:t xml:space="preserve">Version 1.1 introduces per-ACR evaluation frequency, replacing blanket reassessment schedules with precision monitoring. Each ACR in the Control Matrix specifies one of four evaluation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 for Re-Evaluation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 with automated compliance verification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threshold breach triggers immediate alert and 72-hour remediation window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execution + AVB spot-check for Level 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Failed quarterly test triggers focused reassessment within 15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Expired evidence triggers certification condition within 30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initial certification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 triggers focused reassessment per trigger table</w:t>
            </w:r>
          </w:p>
        </w:tc>
      </w:tr>
    </w:tbl>
    <w:p>
      <w:pPr>
        <w:pStyle w:val="Heading2"/>
        <w:spacing w:before="280" w:after="160"/>
      </w:pPr>
      <w:r>
        <w:rPr>
          <w:rFonts w:ascii="Arial" w:cs="Arial" w:eastAsia="Arial" w:hAnsi="Arial"/>
          <w:b/>
          <w:bCs/>
          <w:color w:val="2C4A7C"/>
          <w:sz w:val="28"/>
          <w:szCs w:val="28"/>
        </w:rPr>
        <w:t xml:space="preserve">8.2 Reassessment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Scheduled reassessment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evaluation at certification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 (L1), Semi-annual (L2), Quarterly (L3)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domains and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30 days of 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threshold breach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ACRs + related domains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Triggered by accredited CAPO per GOV Article 4.2; 72-hour alert, 15-day 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Incident-triggered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domains related to incident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15 days of incident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version update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Gap assessment: new/changed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transition period defined by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compliance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60 days of regulatory effective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 trigger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Individual ACR re-evaluation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frequency schedule (Continuous/Quarterly/Annual)</w:t>
            </w:r>
          </w:p>
        </w:tc>
      </w:tr>
    </w:tbl>
    <w:p>
      <w:pPr>
        <w:pStyle w:val="Heading2"/>
        <w:spacing w:before="280" w:after="160"/>
      </w:pPr>
      <w:r>
        <w:rPr>
          <w:rFonts w:ascii="Arial" w:cs="Arial" w:eastAsia="Arial" w:hAnsi="Arial"/>
          <w:b/>
          <w:bCs/>
          <w:color w:val="2C4A7C"/>
          <w:sz w:val="28"/>
          <w:szCs w:val="28"/>
        </w:rPr>
        <w:t xml:space="preserve">8.3 Focused vs. Full Reassessment</w:t>
      </w:r>
    </w:p>
    <w:p>
      <w:pPr>
        <w:spacing w:after="120"/>
        <w:jc w:val="left"/>
      </w:pPr>
      <w:r>
        <w:rPr>
          <w:rFonts w:ascii="Arial" w:cs="Arial" w:eastAsia="Arial" w:hAnsi="Arial"/>
          <w:sz w:val="22"/>
          <w:szCs w:val="22"/>
        </w:rPr>
        <w:t xml:space="preserve">Focused reassessments evaluate only affected domains and ACRs. Scope determination: identify triggering event, map to affected domains using the domain applicability matrix, identify impacted ACRs including cross-domain dependencies, and apply standard evaluation methodology to the scoped ACRs. Previous passing evidence for unaffected ACRs remains valid.</w:t>
      </w:r>
    </w:p>
    <w:p>
      <w:r>
        <w:br w:type="page"/>
      </w:r>
    </w:p>
    <w:p>
      <w:pPr>
        <w:pStyle w:val="Heading1"/>
        <w:spacing w:before="360" w:after="200"/>
      </w:pPr>
      <w:r>
        <w:rPr>
          <w:rFonts w:ascii="Arial" w:cs="Arial" w:eastAsia="Arial" w:hAnsi="Arial"/>
          <w:b/>
          <w:bCs/>
          <w:color w:val="1B2A4A"/>
          <w:sz w:val="32"/>
          <w:szCs w:val="32"/>
        </w:rPr>
        <w:t xml:space="preserve">Article 9 — Quality Assurance</w:t>
      </w:r>
    </w:p>
    <w:p>
      <w:pPr>
        <w:pStyle w:val="Heading2"/>
        <w:spacing w:before="280" w:after="160"/>
      </w:pPr>
      <w:r>
        <w:rPr>
          <w:rFonts w:ascii="Arial" w:cs="Arial" w:eastAsia="Arial" w:hAnsi="Arial"/>
          <w:b/>
          <w:bCs/>
          <w:color w:val="2C4A7C"/>
          <w:sz w:val="28"/>
          <w:szCs w:val="28"/>
        </w:rPr>
        <w:t xml:space="preserve">9.1 Evaluation Consistency</w:t>
      </w:r>
    </w:p>
    <w:p>
      <w:pPr>
        <w:spacing w:after="120"/>
        <w:jc w:val="left"/>
      </w:pPr>
      <w:r>
        <w:rPr>
          <w:rFonts w:ascii="Arial" w:cs="Arial" w:eastAsia="Arial" w:hAnsi="Arial"/>
          <w:sz w:val="22"/>
          <w:szCs w:val="22"/>
        </w:rPr>
        <w:t xml:space="preserve">All evaluators use the same ACR Control Matrix (ARAF-ARA-ACR-2026-002) and procedures. The Certification Office conducts periodic calibration exercises. AVBs are subject to annual performance review. The self-serve platform’s evaluation engine is validated against human expert evaluation results.</w:t>
      </w:r>
    </w:p>
    <w:p>
      <w:pPr>
        <w:pStyle w:val="Heading2"/>
        <w:spacing w:before="280" w:after="160"/>
      </w:pPr>
      <w:r>
        <w:rPr>
          <w:rFonts w:ascii="Arial" w:cs="Arial" w:eastAsia="Arial" w:hAnsi="Arial"/>
          <w:b/>
          <w:bCs/>
          <w:color w:val="2C4A7C"/>
          <w:sz w:val="28"/>
          <w:szCs w:val="28"/>
        </w:rPr>
        <w:t xml:space="preserve">9.2 Conflict of Interest</w:t>
      </w:r>
    </w:p>
    <w:p>
      <w:pPr>
        <w:spacing w:after="120"/>
        <w:jc w:val="left"/>
      </w:pPr>
      <w:r>
        <w:rPr>
          <w:rFonts w:ascii="Arial" w:cs="Arial" w:eastAsia="Arial" w:hAnsi="Arial"/>
          <w:sz w:val="22"/>
          <w:szCs w:val="22"/>
        </w:rPr>
        <w:t xml:space="preserve">AVBs SHALL NOT evaluate systems developed, deployed, or operated by their own organization. Individual evaluators SHALL disclose any relationships with the organization under evaluation. Declarations are required for every engagement and reviewed by the Certification Office.</w:t>
      </w:r>
    </w:p>
    <w:p>
      <w:pPr>
        <w:pStyle w:val="Heading2"/>
        <w:spacing w:before="280" w:after="160"/>
      </w:pPr>
      <w:r>
        <w:rPr>
          <w:rFonts w:ascii="Arial" w:cs="Arial" w:eastAsia="Arial" w:hAnsi="Arial"/>
          <w:b/>
          <w:bCs/>
          <w:color w:val="2C4A7C"/>
          <w:sz w:val="28"/>
          <w:szCs w:val="28"/>
        </w:rPr>
        <w:t xml:space="preserve">9.3 Appeals</w:t>
      </w:r>
    </w:p>
    <w:p>
      <w:pPr>
        <w:spacing w:after="120"/>
        <w:jc w:val="left"/>
      </w:pPr>
      <w:r>
        <w:rPr>
          <w:rFonts w:ascii="Arial" w:cs="Arial" w:eastAsia="Arial" w:hAnsi="Arial"/>
          <w:sz w:val="22"/>
          <w:szCs w:val="22"/>
        </w:rPr>
        <w:t xml:space="preserve">Organizations may appeal within 30 days of a contested decision. An independent panel reviews the appeal, may request additional evidence or re-evaluation, and issues a binding decision. Further appeal is available only to the TSB on procedural grounds.</w:t>
      </w:r>
    </w:p>
    <w:p>
      <w:r>
        <w:br w:type="page"/>
      </w:r>
    </w:p>
    <w:p>
      <w:pPr>
        <w:pStyle w:val="Heading1"/>
        <w:spacing w:before="360" w:after="200"/>
      </w:pPr>
      <w:r>
        <w:rPr>
          <w:rFonts w:ascii="Arial" w:cs="Arial" w:eastAsia="Arial" w:hAnsi="Arial"/>
          <w:b/>
          <w:bCs/>
          <w:color w:val="1B2A4A"/>
          <w:sz w:val="32"/>
          <w:szCs w:val="32"/>
        </w:rPr>
        <w:t xml:space="preserve">Article 10 — Special Evaluation Guidance</w:t>
      </w:r>
    </w:p>
    <w:p>
      <w:pPr>
        <w:pStyle w:val="Heading2"/>
        <w:spacing w:before="280" w:after="160"/>
      </w:pPr>
      <w:r>
        <w:rPr>
          <w:rFonts w:ascii="Arial" w:cs="Arial" w:eastAsia="Arial" w:hAnsi="Arial"/>
          <w:b/>
          <w:bCs/>
          <w:color w:val="2C4A7C"/>
          <w:sz w:val="28"/>
          <w:szCs w:val="28"/>
        </w:rPr>
        <w:t xml:space="preserve">10.1 Multi-Agent Systems</w:t>
      </w:r>
    </w:p>
    <w:p>
      <w:pPr>
        <w:spacing w:after="120"/>
        <w:jc w:val="left"/>
      </w:pPr>
      <w:r>
        <w:rPr>
          <w:rFonts w:ascii="Arial" w:cs="Arial" w:eastAsia="Arial" w:hAnsi="Arial"/>
          <w:sz w:val="22"/>
          <w:szCs w:val="22"/>
        </w:rPr>
        <w:t xml:space="preserve">Each agent must individually meet applicable ACRs within its operational scope. The system as a whole must meet inter-agent coordination ACRs covering permission containment (Domain 4), data privacy isolation (Domain 5), failure propagation (Domain 6), and monitoring (Domain 10). Adversarial testing must include scenarios targeting inter-agent communication channels. Scope definition (Domain 1) must address the combined operational scope.</w:t>
      </w:r>
    </w:p>
    <w:p>
      <w:pPr>
        <w:pStyle w:val="Heading2"/>
        <w:spacing w:before="280" w:after="160"/>
      </w:pPr>
      <w:r>
        <w:rPr>
          <w:rFonts w:ascii="Arial" w:cs="Arial" w:eastAsia="Arial" w:hAnsi="Arial"/>
          <w:b/>
          <w:bCs/>
          <w:color w:val="2C4A7C"/>
          <w:sz w:val="28"/>
          <w:szCs w:val="28"/>
        </w:rPr>
        <w:t xml:space="preserve">10.2 Cross-Organization Deployments</w:t>
      </w:r>
    </w:p>
    <w:p>
      <w:pPr>
        <w:spacing w:after="120"/>
        <w:jc w:val="left"/>
      </w:pPr>
      <w:r>
        <w:rPr>
          <w:rFonts w:ascii="Arial" w:cs="Arial" w:eastAsia="Arial" w:hAnsi="Arial"/>
          <w:sz w:val="22"/>
          <w:szCs w:val="22"/>
        </w:rPr>
        <w:t xml:space="preserve">Autonomous systems operating across organizational boundaries require multi-party boundary agreements, cross-organization monitoring through an accredited CAPO, neutral-party verification of inter-organization data flows, and evaluation of cross-organization escalation and override pathways. Domain 5 evaluation must address cross-organization data sharing and privacy obligations.</w:t>
      </w:r>
    </w:p>
    <w:p>
      <w:pPr>
        <w:pStyle w:val="Heading2"/>
        <w:spacing w:before="280" w:after="160"/>
      </w:pPr>
      <w:r>
        <w:rPr>
          <w:rFonts w:ascii="Arial" w:cs="Arial" w:eastAsia="Arial" w:hAnsi="Arial"/>
          <w:b/>
          <w:bCs/>
          <w:color w:val="2C4A7C"/>
          <w:sz w:val="28"/>
          <w:szCs w:val="28"/>
        </w:rPr>
        <w:t xml:space="preserve">10.3 Rapidly Evolving Systems</w:t>
      </w:r>
    </w:p>
    <w:p>
      <w:pPr>
        <w:spacing w:after="120"/>
        <w:jc w:val="left"/>
      </w:pPr>
      <w:r>
        <w:rPr>
          <w:rFonts w:ascii="Arial" w:cs="Arial" w:eastAsia="Arial" w:hAnsi="Arial"/>
          <w:sz w:val="22"/>
          <w:szCs w:val="22"/>
        </w:rPr>
        <w:t xml:space="preserve">Systems with frequent updates require continuous monitoring with drift detection calibrated to update frequency, post-update regression testing against ACR compliance, automated revalidation triggered by material behavioral changes, and update frequency disclosure in the system registration.</w:t>
      </w:r>
    </w:p>
    <w:p>
      <w:pPr>
        <w:pStyle w:val="Heading2"/>
        <w:spacing w:before="280" w:after="160"/>
      </w:pPr>
      <w:r>
        <w:rPr>
          <w:rFonts w:ascii="Arial" w:cs="Arial" w:eastAsia="Arial" w:hAnsi="Arial"/>
          <w:b/>
          <w:bCs/>
          <w:color w:val="2C4A7C"/>
          <w:sz w:val="28"/>
          <w:szCs w:val="28"/>
        </w:rPr>
        <w:t xml:space="preserve">10.4 Physical Systems</w:t>
      </w:r>
    </w:p>
    <w:p>
      <w:pPr>
        <w:spacing w:after="120"/>
        <w:jc w:val="left"/>
      </w:pPr>
      <w:r>
        <w:rPr>
          <w:rFonts w:ascii="Arial" w:cs="Arial" w:eastAsia="Arial" w:hAnsi="Arial"/>
          <w:sz w:val="22"/>
          <w:szCs w:val="22"/>
        </w:rPr>
        <w:t xml:space="preserve">Evaluated per Domain 15 and the Physical Systems Evaluation Supplement (ARAF-ARA-PHY-2026-002). Additional requirements: hardware-in-the-loop testing, environmental condition simulation, human proximity safety testing, emergency stop testing across all physical channels, and compliance mapping to IEC 61508, ISO 10218, ISO 13849.</w:t>
      </w:r>
    </w:p>
    <w:p>
      <w:pPr>
        <w:pStyle w:val="Heading2"/>
        <w:spacing w:before="280" w:after="160"/>
      </w:pPr>
      <w:r>
        <w:rPr>
          <w:rFonts w:ascii="Arial" w:cs="Arial" w:eastAsia="Arial" w:hAnsi="Arial"/>
          <w:b/>
          <w:bCs/>
          <w:color w:val="2C4A7C"/>
          <w:sz w:val="28"/>
          <w:szCs w:val="28"/>
        </w:rPr>
        <w:t xml:space="preserve">10.5 Voice AI Agents (New in v1.1)</w:t>
      </w:r>
    </w:p>
    <w:p>
      <w:pPr>
        <w:spacing w:after="120"/>
        <w:jc w:val="left"/>
      </w:pPr>
      <w:r>
        <w:rPr>
          <w:rFonts w:ascii="Arial" w:cs="Arial" w:eastAsia="Arial" w:hAnsi="Arial"/>
          <w:sz w:val="22"/>
          <w:szCs w:val="22"/>
        </w:rPr>
        <w:t xml:space="preserve">Voice AI agents require additional evaluation considerations beyond text-based systems:</w:t>
      </w:r>
    </w:p>
    <w:p>
      <w:pPr>
        <w:pStyle w:val="ListParagraph"/>
        <w:numPr>
          <w:ilvl w:val="0"/>
          <w:numId w:val="11"/>
        </w:numPr>
        <w:spacing w:after="80"/>
      </w:pPr>
      <w:r>
        <w:rPr>
          <w:rFonts w:ascii="Arial" w:cs="Arial" w:eastAsia="Arial" w:hAnsi="Arial"/>
          <w:sz w:val="22"/>
          <w:szCs w:val="22"/>
        </w:rPr>
        <w:t xml:space="preserve">Adversarial testing (Domain 8) SHALL include voice-specific attack vectors: audio injection, voice cloning detection, prosodic manipulation, and cross-language prompt injection.</w:t>
      </w:r>
    </w:p>
    <w:p>
      <w:pPr>
        <w:pStyle w:val="ListParagraph"/>
        <w:numPr>
          <w:ilvl w:val="0"/>
          <w:numId w:val="11"/>
        </w:numPr>
        <w:spacing w:after="80"/>
      </w:pPr>
      <w:r>
        <w:rPr>
          <w:rFonts w:ascii="Arial" w:cs="Arial" w:eastAsia="Arial" w:hAnsi="Arial"/>
          <w:sz w:val="22"/>
          <w:szCs w:val="22"/>
        </w:rPr>
        <w:t xml:space="preserve">Escalation testing (Domain 11) SHALL verify voice-channel emergency halt and human handoff with measured latency.</w:t>
      </w:r>
    </w:p>
    <w:p>
      <w:pPr>
        <w:pStyle w:val="ListParagraph"/>
        <w:numPr>
          <w:ilvl w:val="0"/>
          <w:numId w:val="11"/>
        </w:numPr>
        <w:spacing w:after="80"/>
      </w:pPr>
      <w:r>
        <w:rPr>
          <w:rFonts w:ascii="Arial" w:cs="Arial" w:eastAsia="Arial" w:hAnsi="Arial"/>
          <w:sz w:val="22"/>
          <w:szCs w:val="22"/>
        </w:rPr>
        <w:t xml:space="preserve">Data privacy evaluation (Domain 5) SHALL address voice biometric data handling, call recording policies, real-time transcription PII detection, and consent management for voice data capture.</w:t>
      </w:r>
    </w:p>
    <w:p>
      <w:pPr>
        <w:pStyle w:val="ListParagraph"/>
        <w:numPr>
          <w:ilvl w:val="0"/>
          <w:numId w:val="11"/>
        </w:numPr>
        <w:spacing w:after="80"/>
      </w:pPr>
      <w:r>
        <w:rPr>
          <w:rFonts w:ascii="Arial" w:cs="Arial" w:eastAsia="Arial" w:hAnsi="Arial"/>
          <w:sz w:val="22"/>
          <w:szCs w:val="22"/>
        </w:rPr>
        <w:t xml:space="preserve">Societal impact evaluation (Domain 13) SHALL address voice deepfake prevention, caller identity verification, and accessibility for hearing-impaired users.</w:t>
      </w:r>
    </w:p>
    <w:p>
      <w:pPr>
        <w:pStyle w:val="Heading2"/>
        <w:spacing w:before="280" w:after="160"/>
      </w:pPr>
      <w:r>
        <w:rPr>
          <w:rFonts w:ascii="Arial" w:cs="Arial" w:eastAsia="Arial" w:hAnsi="Arial"/>
          <w:b/>
          <w:bCs/>
          <w:color w:val="2C4A7C"/>
          <w:sz w:val="28"/>
          <w:szCs w:val="28"/>
        </w:rPr>
        <w:t xml:space="preserve">10.6 Multimodal AI Systems (New in v1.1)</w:t>
      </w:r>
    </w:p>
    <w:p>
      <w:pPr>
        <w:spacing w:after="120"/>
        <w:jc w:val="left"/>
      </w:pPr>
      <w:r>
        <w:rPr>
          <w:rFonts w:ascii="Arial" w:cs="Arial" w:eastAsia="Arial" w:hAnsi="Arial"/>
          <w:sz w:val="22"/>
          <w:szCs w:val="22"/>
        </w:rPr>
        <w:t xml:space="preserve">Systems processing or generating multiple modalities (text, image, audio, video) require:</w:t>
      </w:r>
    </w:p>
    <w:p>
      <w:pPr>
        <w:pStyle w:val="ListParagraph"/>
        <w:numPr>
          <w:ilvl w:val="0"/>
          <w:numId w:val="12"/>
        </w:numPr>
        <w:spacing w:after="80"/>
      </w:pPr>
      <w:r>
        <w:rPr>
          <w:rFonts w:ascii="Arial" w:cs="Arial" w:eastAsia="Arial" w:hAnsi="Arial"/>
          <w:sz w:val="22"/>
          <w:szCs w:val="22"/>
        </w:rPr>
        <w:t xml:space="preserve">Cross-modal adversarial testing: attacks that combine modalities (e.g., adversarial images with text instructions, audio-visual contradictions).</w:t>
      </w:r>
    </w:p>
    <w:p>
      <w:pPr>
        <w:pStyle w:val="ListParagraph"/>
        <w:numPr>
          <w:ilvl w:val="0"/>
          <w:numId w:val="12"/>
        </w:numPr>
        <w:spacing w:after="80"/>
      </w:pPr>
      <w:r>
        <w:rPr>
          <w:rFonts w:ascii="Arial" w:cs="Arial" w:eastAsia="Arial" w:hAnsi="Arial"/>
          <w:sz w:val="22"/>
          <w:szCs w:val="22"/>
        </w:rPr>
        <w:t xml:space="preserve">Domain 5 evaluation must address modality-specific data privacy controls (image face detection, audio voice print protection, video PII redaction).</w:t>
      </w:r>
    </w:p>
    <w:p>
      <w:pPr>
        <w:pStyle w:val="ListParagraph"/>
        <w:numPr>
          <w:ilvl w:val="0"/>
          <w:numId w:val="12"/>
        </w:numPr>
        <w:spacing w:after="80"/>
      </w:pPr>
      <w:r>
        <w:rPr>
          <w:rFonts w:ascii="Arial" w:cs="Arial" w:eastAsia="Arial" w:hAnsi="Arial"/>
          <w:sz w:val="22"/>
          <w:szCs w:val="22"/>
        </w:rPr>
        <w:t xml:space="preserve">Domain 13 evaluation must address modality-specific content safety (NSFW image detection, deepfake video generation controls, synthetic voice safeguards).</w:t>
      </w:r>
    </w:p>
    <w:p>
      <w:pPr>
        <w:pStyle w:val="ListParagraph"/>
        <w:numPr>
          <w:ilvl w:val="0"/>
          <w:numId w:val="12"/>
        </w:numPr>
        <w:spacing w:after="80"/>
      </w:pPr>
      <w:r>
        <w:rPr>
          <w:rFonts w:ascii="Arial" w:cs="Arial" w:eastAsia="Arial" w:hAnsi="Arial"/>
          <w:sz w:val="22"/>
          <w:szCs w:val="22"/>
        </w:rPr>
        <w:t xml:space="preserve">Behavioral reliability testing (Domain 7) SHALL evaluate cross-modal consistency and coherence.</w:t>
      </w:r>
    </w:p>
    <w:p>
      <w:r>
        <w:br w:type="page"/>
      </w:r>
    </w:p>
    <w:p>
      <w:pPr>
        <w:pStyle w:val="Heading1"/>
        <w:spacing w:before="360" w:after="200"/>
      </w:pPr>
      <w:r>
        <w:rPr>
          <w:rFonts w:ascii="Arial" w:cs="Arial" w:eastAsia="Arial" w:hAnsi="Arial"/>
          <w:b/>
          <w:bCs/>
          <w:color w:val="1B2A4A"/>
          <w:sz w:val="32"/>
          <w:szCs w:val="32"/>
        </w:rPr>
        <w:t xml:space="preserve">Appendix A — Evaluation Method Quick Reference</w:t>
      </w:r>
    </w:p>
    <w:p>
      <w:pPr>
        <w:pStyle w:val="Heading2"/>
        <w:spacing w:before="280" w:after="160"/>
      </w:pPr>
      <w:r>
        <w:rPr>
          <w:rFonts w:ascii="Arial" w:cs="Arial" w:eastAsia="Arial" w:hAnsi="Arial"/>
          <w:b/>
          <w:bCs/>
          <w:color w:val="2C4A7C"/>
          <w:sz w:val="28"/>
          <w:szCs w:val="28"/>
        </w:rP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isolation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Mandatory; documented deviation from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Representative; no live PII without authorization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Version-controlled; captured before and after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output capture with timestamps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Retry policy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Maximum 2 retries after documented remediation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generation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Raw outputs + summary; linked to ACR IDs; categorized as TI</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approved by TSB or designee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Pass/fail criteria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ACR Control Matrix; no partial credit</w:t>
            </w:r>
          </w:p>
        </w:tc>
      </w:tr>
    </w:tbl>
    <w:p>
      <w:pPr>
        <w:pStyle w:val="Heading2"/>
        <w:spacing w:before="280" w:after="160"/>
      </w:pPr>
      <w:r>
        <w:rPr>
          <w:rFonts w:ascii="Arial" w:cs="Arial" w:eastAsia="Arial" w:hAnsi="Arial"/>
          <w:b/>
          <w:bCs/>
          <w:color w:val="2C4A7C"/>
          <w:sz w:val="28"/>
          <w:szCs w:val="28"/>
        </w:rP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3+ years for Level 3; fairness expertise for D13 bias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 scripting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Written scripts with branches; reviewed before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Session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transcripts with timestamps and annotations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Multi-attempt protocol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3 attempts by minimum 2 operators per scenario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N/A | L2: 8 hours | L3: 24 hours (red team)</w:t>
            </w:r>
          </w:p>
        </w:tc>
      </w:tr>
    </w:tbl>
    <w:p>
      <w:pPr>
        <w:pStyle w:val="Heading2"/>
        <w:spacing w:before="280" w:after="160"/>
      </w:pPr>
      <w:r>
        <w:rPr>
          <w:rFonts w:ascii="Arial" w:cs="Arial" w:eastAsia="Arial" w:hAnsi="Arial"/>
          <w:b/>
          <w:bCs/>
          <w:color w:val="2C4A7C"/>
          <w:sz w:val="28"/>
          <w:szCs w:val="28"/>
        </w:rP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 expertise; professional certifications for Level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inventory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collection with receipt confirmation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398 ACRs addressed; exclusion justifications reviewed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 verification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Sampled execution records; not just documented procedures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categorization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findings mapped to LP, TI, OP, or TP evidence categories</w:t>
            </w:r>
          </w:p>
        </w:tc>
      </w:tr>
    </w:tbl>
    <w:p>
      <w:pPr>
        <w:pStyle w:val="Heading2"/>
        <w:spacing w:before="280" w:after="160"/>
      </w:pPr>
      <w:r>
        <w:rPr>
          <w:rFonts w:ascii="Arial" w:cs="Arial" w:eastAsia="Arial" w:hAnsi="Arial"/>
          <w:b/>
          <w:bCs/>
          <w:color w:val="2C4A7C"/>
          <w:sz w:val="28"/>
          <w:szCs w:val="28"/>
        </w:rP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 method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 (preferred), API export, or log aggregation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Baseline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30 days | L2: 60 days | L3: 90 days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Observation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90 days for initial 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Configured per ACR Control Matrix (Continuous/Quarterly/Annual/At-Certification)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Alert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alerts classified (TP, FP, indeterminate)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retention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 minimum; 24 months for Level 3</w:t>
            </w:r>
          </w:p>
        </w:tc>
      </w:tr>
    </w:tbl>
    <w:p>
      <w:r>
        <w:br w:type="page"/>
      </w:r>
    </w:p>
    <w:p>
      <w:pPr>
        <w:pStyle w:val="Heading1"/>
        <w:spacing w:before="360" w:after="200"/>
      </w:pPr>
      <w:r>
        <w:rPr>
          <w:rFonts w:ascii="Arial" w:cs="Arial" w:eastAsia="Arial" w:hAnsi="Arial"/>
          <w:b/>
          <w:bCs/>
          <w:color w:val="1B2A4A"/>
          <w:sz w:val="32"/>
          <w:szCs w:val="32"/>
        </w:rPr>
        <w:t xml:space="preserve">Appendix B — Scoring Example</w:t>
      </w:r>
    </w:p>
    <w:p>
      <w:pPr>
        <w:pStyle w:val="Heading2"/>
        <w:spacing w:before="280" w:after="160"/>
      </w:pPr>
      <w:r>
        <w:rPr>
          <w:rFonts w:ascii="Arial" w:cs="Arial" w:eastAsia="Arial" w:hAnsi="Arial"/>
          <w:b/>
          <w:bCs/>
          <w:color w:val="2C4A7C"/>
          <w:sz w:val="28"/>
          <w:szCs w:val="28"/>
        </w:rPr>
        <w:t xml:space="preserve">B.1 Example: Domain 1 Scoring (Level 1, Standard Profile)</w:t>
      </w:r>
    </w:p>
    <w:p>
      <w:pPr>
        <w:spacing w:after="120"/>
        <w:jc w:val="left"/>
      </w:pPr>
      <w:r>
        <w:rPr>
          <w:rFonts w:ascii="Arial" w:cs="Arial" w:eastAsia="Arial" w:hAnsi="Arial"/>
          <w:sz w:val="22"/>
          <w:szCs w:val="22"/>
        </w:rPr>
        <w:t xml:space="preserve">Assume Domain 1 has 24 ACRs. For a Standard profile at Level 1, all 24 ACRs are applicable per the SoA. The system passes 20 and fails 4. Weighted score calculation: Σ(Pass × Weight) = 72, Σ(Max × Weight) = 92. Domain Score = 72/92 × 100 = 78.3%. Level 1 minimum for Domain 1: 70%. Result: Domain PASSES. Both Blocking ACRs passed. The 4 failed non-blocking ACRs are noted and may result in conditional certification.</w:t>
      </w:r>
    </w:p>
    <w:p>
      <w:r>
        <w:br w:type="page"/>
      </w: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The independent standards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Deterministic test execution by automated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by ARAF to conduct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Blocking 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ACR whose failure prevents certification regardless of overall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The technology infrastructure operated by accredited CAPOs for real-time telemetry ingestion and compliance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a CAP, providing telemetry ingestion, compliance monitoring, revalidation triggering, and insurance data feeds. The source of telemetry evidence for Level 2 and Level 3 evaluations. Accreditation requirements: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 Ongoing production observation against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 Qualified expert review of documentation and processes.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Express Track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Accelerated Level 1 certification pathway for Foundational profile systems (3-4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 Interactive testing by trained human operators.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 Evidence category for documented policies and legal instruments.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 Evidence category for process execution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398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 Evidence category for verified technical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 Evidence category for independent external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Evaluation Methodology Guide v1.1 | ARAF-ARA-EVL-2026-002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EVL v1.1 | ARAF-ARA-EVL-2026-002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2026-03-02T15:24:10.598Z</dcterms:created>
  <dcterms:modified xsi:type="dcterms:W3CDTF">2026-03-02T15:24:10.599Z</dcterms:modified>
</cp:coreProperties>
</file>

<file path=docProps/custom.xml><?xml version="1.0" encoding="utf-8"?>
<Properties xmlns="http://schemas.openxmlformats.org/officeDocument/2006/custom-properties" xmlns:vt="http://schemas.openxmlformats.org/officeDocument/2006/docPropsVTypes"/>
</file>