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Behavioral Telemetry SDK Reference</w:t>
      </w:r>
    </w:p>
    <w:p>
      <w:pPr>
        <w:spacing w:after="200"/>
        <w:jc w:val="center"/>
      </w:pPr>
      <w:r>
        <w:rPr>
          <w:rFonts w:ascii="Arial" w:cs="Arial" w:eastAsia="Arial" w:hAnsi="Arial"/>
          <w:b/>
          <w:bCs/>
          <w:color w:val="1B2A4A"/>
          <w:sz w:val="28"/>
          <w:szCs w:val="28"/>
        </w:rPr>
        <w:t xml:space="preserve">ARAF-ARA-SDK-2026-002</w:t>
      </w:r>
    </w:p>
    <w:p>
      <w:pPr>
        <w:spacing w:after="120"/>
        <w:jc w:val="center"/>
      </w:pPr>
      <w:r>
        <w:rPr>
          <w:rFonts w:ascii="Arial" w:cs="Arial" w:eastAsia="Arial" w:hAnsi="Arial"/>
          <w:color w:val="2C4A7C"/>
          <w:sz w:val="24"/>
          <w:szCs w:val="24"/>
        </w:rPr>
        <w:t xml:space="preserve">Autonomous Reliability Assurance Foundation</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ARAF-ARA-SDK-2026-002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Issuing Body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(ARAF)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ARAF-ARA-SDK-2026-001 (v1.0 Public Review Draft)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ARAF-ARA-AVB-2026-002, ARAF-ARA-REG-2026-002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5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Founding Committee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SDK specification outline</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Core data schemas and API surface defined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Engineering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Integration patterns, security model, multi-party specs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2026-Q2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 Technical Standards Board</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Review Draft aligned with ARA Standard v1.0</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ARAF TSB</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20"/>
                <w:szCs w:val="20"/>
              </w:rPr>
              <w:t xml:space="preserve">Major update: 15-domain renumbering, Domain 5 PII/privacy telemetry hooks, Domain 13 societal impact telemetry hooks, insurance data feed specification, privacy-preserving telemetry modes</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100"/>
      </w:pPr>
      <w:r>
        <w:rPr>
          <w:rFonts w:ascii="Arial" w:cs="Arial" w:eastAsia="Arial" w:hAnsi="Arial"/>
          <w:b/>
          <w:bCs/>
          <w:sz w:val="22"/>
          <w:szCs w:val="22"/>
        </w:rPr>
        <w:t xml:space="preserve">Domain renumbering: </w:t>
      </w:r>
      <w:r>
        <w:rPr>
          <w:rFonts w:ascii="Arial" w:cs="Arial" w:eastAsia="Arial" w:hAnsi="Arial"/>
          <w:sz w:val="22"/>
          <w:szCs w:val="22"/>
        </w:rPr>
        <w:t xml:space="preserve">All domain and ACR references updated for 15-domain structure. Former Domains 5–12 renumbered to Domains 6–12 and 14; former Domain 13 becomes Domain 15. New Domain 5 (Data Privacy) and Domain 13 (Societal Impact) inserted.</w:t>
      </w:r>
    </w:p>
    <w:p>
      <w:pPr>
        <w:pStyle w:val="ListParagraph"/>
        <w:numPr>
          <w:ilvl w:val="0"/>
          <w:numId w:val="2"/>
        </w:numPr>
        <w:spacing w:after="100"/>
      </w:pPr>
      <w:r>
        <w:rPr>
          <w:rFonts w:ascii="Arial" w:cs="Arial" w:eastAsia="Arial" w:hAnsi="Arial"/>
          <w:b/>
          <w:bCs/>
          <w:sz w:val="22"/>
          <w:szCs w:val="22"/>
        </w:rPr>
        <w:t xml:space="preserve">Domain 5 telemetry hooks: </w:t>
      </w:r>
      <w:r>
        <w:rPr>
          <w:rFonts w:ascii="Arial" w:cs="Arial" w:eastAsia="Arial" w:hAnsi="Arial"/>
          <w:sz w:val="22"/>
          <w:szCs w:val="22"/>
        </w:rPr>
        <w:t xml:space="preserve">New PII detection event streaming, data flow monitoring telemetry, cross-tenant isolation telemetry, consent event logging, and breach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Domain 13 telemetry hooks: </w:t>
      </w:r>
      <w:r>
        <w:rPr>
          <w:rFonts w:ascii="Arial" w:cs="Arial" w:eastAsia="Arial" w:hAnsi="Arial"/>
          <w:sz w:val="22"/>
          <w:szCs w:val="22"/>
        </w:rPr>
        <w:t xml:space="preserve">New content safety violation events, bias/fairness metric streaming, CBRN guardrail trigger events, and hallucination detection signal schemas added to Article 4 and Appendix C.</w:t>
      </w:r>
    </w:p>
    <w:p>
      <w:pPr>
        <w:pStyle w:val="ListParagraph"/>
        <w:numPr>
          <w:ilvl w:val="0"/>
          <w:numId w:val="2"/>
        </w:numPr>
        <w:spacing w:after="100"/>
      </w:pPr>
      <w:r>
        <w:rPr>
          <w:rFonts w:ascii="Arial" w:cs="Arial" w:eastAsia="Arial" w:hAnsi="Arial"/>
          <w:b/>
          <w:bCs/>
          <w:sz w:val="22"/>
          <w:szCs w:val="22"/>
        </w:rPr>
        <w:t xml:space="preserve">Privacy-preserving telemetry modes: </w:t>
      </w:r>
      <w:r>
        <w:rPr>
          <w:rFonts w:ascii="Arial" w:cs="Arial" w:eastAsia="Arial" w:hAnsi="Arial"/>
          <w:sz w:val="22"/>
          <w:szCs w:val="22"/>
        </w:rPr>
        <w:t xml:space="preserve">New Article 7 section on data minimization settings, local-only processing options, and differential privacy for aggregate reporting.</w:t>
      </w:r>
    </w:p>
    <w:p>
      <w:pPr>
        <w:pStyle w:val="ListParagraph"/>
        <w:numPr>
          <w:ilvl w:val="0"/>
          <w:numId w:val="2"/>
        </w:numPr>
        <w:spacing w:after="100"/>
      </w:pPr>
      <w:r>
        <w:rPr>
          <w:rFonts w:ascii="Arial" w:cs="Arial" w:eastAsia="Arial" w:hAnsi="Arial"/>
          <w:b/>
          <w:bCs/>
          <w:sz w:val="22"/>
          <w:szCs w:val="22"/>
        </w:rPr>
        <w:t xml:space="preserve">Insurance data feed specification: </w:t>
      </w:r>
      <w:r>
        <w:rPr>
          <w:rFonts w:ascii="Arial" w:cs="Arial" w:eastAsia="Arial" w:hAnsi="Arial"/>
          <w:sz w:val="22"/>
          <w:szCs w:val="22"/>
        </w:rPr>
        <w:t xml:space="preserve">New Article 6 section defining schema and API for sharing real-time certification health signals with partner insurers, including risk-relevant event taxonomy and claims-relevant incident data fields.</w:t>
      </w:r>
    </w:p>
    <w:p>
      <w:pPr>
        <w:pStyle w:val="ListParagraph"/>
        <w:numPr>
          <w:ilvl w:val="0"/>
          <w:numId w:val="2"/>
        </w:numPr>
        <w:spacing w:after="100"/>
      </w:pPr>
      <w:r>
        <w:rPr>
          <w:rFonts w:ascii="Arial" w:cs="Arial" w:eastAsia="Arial" w:hAnsi="Arial"/>
          <w:b/>
          <w:bCs/>
          <w:sz w:val="22"/>
          <w:szCs w:val="22"/>
        </w:rPr>
        <w:t xml:space="preserve">ACR-to-SDK mapping expanded: </w:t>
      </w:r>
      <w:r>
        <w:rPr>
          <w:rFonts w:ascii="Arial" w:cs="Arial" w:eastAsia="Arial" w:hAnsi="Arial"/>
          <w:sz w:val="22"/>
          <w:szCs w:val="22"/>
        </w:rPr>
        <w:t xml:space="preserve">Appendix C updated with Domain 5 and Domain 13 ACR mappings to SDK telemetry capabilities.</w:t>
      </w:r>
    </w:p>
    <w:p>
      <w:pPr>
        <w:pStyle w:val="ListParagraph"/>
        <w:numPr>
          <w:ilvl w:val="0"/>
          <w:numId w:val="2"/>
        </w:numPr>
        <w:spacing w:after="100"/>
      </w:pPr>
      <w:r>
        <w:rPr>
          <w:rFonts w:ascii="Arial" w:cs="Arial" w:eastAsia="Arial" w:hAnsi="Arial"/>
          <w:b/>
          <w:bCs/>
          <w:sz w:val="22"/>
          <w:szCs w:val="22"/>
        </w:rPr>
        <w:t xml:space="preserve">Three-axis certification model: </w:t>
      </w:r>
      <w:r>
        <w:rPr>
          <w:rFonts w:ascii="Arial" w:cs="Arial" w:eastAsia="Arial" w:hAnsi="Arial"/>
          <w:sz w:val="22"/>
          <w:szCs w:val="22"/>
        </w:rPr>
        <w:t xml:space="preserve">All certification level references updated to reflect the three-axis model (System Profile, Certification Level, Evaluation Frequency).</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This document is a companion to the Autonomous Reliability Assurance (ARA) Standard, ARAF-ARA-STD-2026-002. It provides the complete technical reference for the ARA Behavioral Telemetry SDK, the embeddable software component that instruments autonomous systems for runtime monitoring, continuous assurance data collection, and integration with the Continuous Assurance Platform (CAP).</w:t>
      </w:r>
    </w:p>
    <w:p>
      <w:pPr>
        <w:spacing w:after="120"/>
      </w:pPr>
      <w:r>
        <w:rPr>
          <w:rFonts w:ascii="Arial" w:cs="Arial" w:eastAsia="Arial" w:hAnsi="Arial"/>
          <w:sz w:val="22"/>
          <w:szCs w:val="22"/>
        </w:rPr>
        <w:t xml:space="preserve">The Behavioral Telemetry SDK is not an optional monitoring add-on. It is the primary mechanism through which certified autonomous systems maintain their certification as a persistent operational state. The SDK provides the telemetry pipeline that feeds drift detection, anomaly alerting, policy compliance verification, and automated revalidation. Without this integration, certification degrades from a live signal to a stale credential.</w:t>
      </w:r>
    </w:p>
    <w:p>
      <w:pPr>
        <w:spacing w:after="120"/>
      </w:pPr>
      <w:r>
        <w:rPr>
          <w:rFonts w:ascii="Arial" w:cs="Arial" w:eastAsia="Arial" w:hAnsi="Arial"/>
          <w:sz w:val="22"/>
          <w:szCs w:val="22"/>
        </w:rPr>
        <w:t xml:space="preserve">This reference is designed for three audiences: (1) platform engineers integrating the SDK into autonomous systems seeking or maintaining ARA certification; (2) Authorized Validation Bodies (AVBs) verifying that SDK integration meets ARA monitoring requirements; and (3) security and compliance teams evaluating the SDK’s data handling, access controls, and privacy characteristics.</w:t>
      </w:r>
    </w:p>
    <w:p>
      <w:pPr>
        <w:spacing w:after="120"/>
      </w:pPr>
      <w:r>
        <w:rPr>
          <w:rFonts w:ascii="Arial" w:cs="Arial" w:eastAsia="Arial" w:hAnsi="Arial"/>
          <w:sz w:val="22"/>
          <w:szCs w:val="22"/>
        </w:rPr>
        <w:t xml:space="preserve">The SDK supports five integration methods: REST API, gRPC, and native language bindings for Python, Node.js, Java, Go, and Rust. All methods produce identical telemetry streams and are interchangeable from the platform’s perspective. Selection is a deployment decision, not a compliance decision.</w:t>
      </w:r>
    </w:p>
    <w:p>
      <w:pPr>
        <w:spacing w:after="120"/>
        <w:ind w:left="360" w:right="360"/>
      </w:pPr>
      <w:r>
        <w:rPr>
          <w:rFonts w:ascii="Arial" w:cs="Arial" w:eastAsia="Arial" w:hAnsi="Arial"/>
          <w:i/>
          <w:iCs/>
          <w:color w:val="555555"/>
          <w:sz w:val="22"/>
          <w:szCs w:val="22"/>
        </w:rPr>
        <w:t xml:space="preserve">Design Philosophy: The SDK treats telemetry as a first-class operational concern, not an afterthought. An autonomous system that cannot be observed cannot be trusted. The SDK makes observation continuous, structured, and tamper-evident.</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specifies the technical interface, data schemas, integration patterns, security requirements, and operational guidance for the ARA Behavioral Telemetry SDK. It establishes the normative requirements that SDK implementations SHALL satisfy to support ARA certification and continuous assurance monitoring.</w:t>
      </w:r>
    </w:p>
    <w:p>
      <w:pPr>
        <w:pStyle w:val="Heading2"/>
        <w:spacing w:before="280" w:after="160"/>
      </w:pPr>
      <w:r>
        <w:rPr>
          <w:rFonts w:ascii="Arial" w:cs="Arial" w:eastAsia="Arial" w:hAnsi="Arial"/>
          <w:b/>
          <w:bCs/>
          <w:color w:val="2C4A7C"/>
          <w:sz w:val="28"/>
          <w:szCs w:val="28"/>
        </w:rPr>
        <w:t xml:space="preserve">1.2 Applicability</w:t>
      </w:r>
    </w:p>
    <w:p>
      <w:pPr>
        <w:spacing w:after="120"/>
      </w:pPr>
      <w:r>
        <w:rPr>
          <w:rFonts w:ascii="Arial" w:cs="Arial" w:eastAsia="Arial" w:hAnsi="Arial"/>
          <w:sz w:val="22"/>
          <w:szCs w:val="22"/>
        </w:rPr>
        <w:t xml:space="preserve">This reference applies to all autonomous systems seeking or maintaining ARA certification at any certification level (Level 1 Foundation, Level 2 Operational, Level 3 Continuous Assurance) and any system profile (Foundational, Standard, Advanced, Comprehensive). The SDK requirements apply equally to systems evaluated via the self-serve platform pathway and those evaluated through AVB engagement.</w:t>
      </w:r>
    </w:p>
    <w:p>
      <w:pPr>
        <w:spacing w:after="120"/>
      </w:pPr>
      <w:r>
        <w:rPr>
          <w:rFonts w:ascii="Arial" w:cs="Arial" w:eastAsia="Arial" w:hAnsi="Arial"/>
          <w:sz w:val="22"/>
          <w:szCs w:val="22"/>
        </w:rPr>
        <w:t xml:space="preserve">The SDK is required for systems enrolling in the Continuous Assurance Program. Systems using equivalent monitoring integrations that satisfy the data schema, delivery, integrity, and security requirements specified in this document may petition the ARAF Technical Standards Board for equivalence determination.</w:t>
      </w:r>
    </w:p>
    <w:p>
      <w:pPr>
        <w:pStyle w:val="Heading2"/>
        <w:spacing w:before="280" w:after="160"/>
      </w:pPr>
      <w:r>
        <w:rPr>
          <w:rFonts w:ascii="Arial" w:cs="Arial" w:eastAsia="Arial" w:hAnsi="Arial"/>
          <w:b/>
          <w:bCs/>
          <w:color w:val="2C4A7C"/>
          <w:sz w:val="28"/>
          <w:szCs w:val="28"/>
        </w:rPr>
        <w:t xml:space="preserve">1.3 Normative References</w:t>
      </w:r>
    </w:p>
    <w:p>
      <w:pPr>
        <w:spacing w:after="120"/>
      </w:pPr>
      <w:r>
        <w:rPr>
          <w:rFonts w:ascii="Arial" w:cs="Arial" w:eastAsia="Arial" w:hAnsi="Arial"/>
          <w:sz w:val="22"/>
          <w:szCs w:val="22"/>
        </w:rPr>
        <w:t xml:space="preserve">The following documents are referenced normatively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5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 (Parent Standard)</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 (398 ACRs, 15 Domains)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ARAF-ARA-AVB-2026-002</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AVB Authorization Guide v1.1</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NIST SP 800-53 Rev. 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Security and Privacy Controls for Information Systems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ISO/IEC 27001:2022</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 Security Management Systems</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OWASP Top 10 for LLM Applications (2025)</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LLM Security Risks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7519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JSON Web Token (JWT)</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7540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HTTP/2 (gRPC transport)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RFC 8446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 1.3</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RFC 9110</w:t>
            </w:r>
          </w:p>
        </w:tc>
        <w:tc>
          <w:tcPr>
            <w:tcW w:type="dxa" w:w="5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HTTP Semantics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OpenTelemetry Specification v1.x</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Observability framework (informative)</w:t>
            </w:r>
          </w:p>
        </w:tc>
      </w:tr>
    </w:tbl>
    <w:p>
      <w:pPr>
        <w:pStyle w:val="Heading2"/>
        <w:spacing w:before="280" w:after="160"/>
      </w:pPr>
      <w:r>
        <w:rPr>
          <w:rFonts w:ascii="Arial" w:cs="Arial" w:eastAsia="Arial" w:hAnsi="Arial"/>
          <w:b/>
          <w:bCs/>
          <w:color w:val="2C4A7C"/>
          <w:sz w:val="28"/>
          <w:szCs w:val="28"/>
        </w:rPr>
        <w:t xml:space="preserve">1.4 Conventions</w:t>
      </w:r>
    </w:p>
    <w:p>
      <w:pPr>
        <w:spacing w:after="120"/>
      </w:pPr>
      <w:r>
        <w:rPr>
          <w:rFonts w:ascii="Arial" w:cs="Arial" w:eastAsia="Arial" w:hAnsi="Arial"/>
          <w:b/>
          <w:bCs/>
          <w:sz w:val="22"/>
          <w:szCs w:val="22"/>
        </w:rPr>
        <w:t xml:space="preserve">SHALL </w:t>
      </w:r>
      <w:r>
        <w:rPr>
          <w:rFonts w:ascii="Arial" w:cs="Arial" w:eastAsia="Arial" w:hAnsi="Arial"/>
          <w:sz w:val="22"/>
          <w:szCs w:val="22"/>
        </w:rPr>
        <w:t xml:space="preserve">indicates a mandatory requirement. </w:t>
      </w:r>
    </w:p>
    <w:p>
      <w:pPr>
        <w:spacing w:after="120"/>
      </w:pPr>
      <w:r>
        <w:rPr>
          <w:rFonts w:ascii="Arial" w:cs="Arial" w:eastAsia="Arial" w:hAnsi="Arial"/>
          <w:b/>
          <w:bCs/>
          <w:sz w:val="22"/>
          <w:szCs w:val="22"/>
        </w:rPr>
        <w:t xml:space="preserve">SHOULD </w:t>
      </w:r>
      <w:r>
        <w:rPr>
          <w:rFonts w:ascii="Arial" w:cs="Arial" w:eastAsia="Arial" w:hAnsi="Arial"/>
          <w:sz w:val="22"/>
          <w:szCs w:val="22"/>
        </w:rPr>
        <w:t xml:space="preserve">indicates a strong recommendation. </w:t>
      </w:r>
    </w:p>
    <w:p>
      <w:pPr>
        <w:spacing w:after="120"/>
      </w:pPr>
      <w:r>
        <w:rPr>
          <w:rFonts w:ascii="Arial" w:cs="Arial" w:eastAsia="Arial" w:hAnsi="Arial"/>
          <w:b/>
          <w:bCs/>
          <w:sz w:val="22"/>
          <w:szCs w:val="22"/>
        </w:rPr>
        <w:t xml:space="preserve">MAY </w:t>
      </w:r>
      <w:r>
        <w:rPr>
          <w:rFonts w:ascii="Arial" w:cs="Arial" w:eastAsia="Arial" w:hAnsi="Arial"/>
          <w:sz w:val="22"/>
          <w:szCs w:val="22"/>
        </w:rPr>
        <w:t xml:space="preserve">indicates an optional capability.</w:t>
      </w:r>
    </w:p>
    <w:p>
      <w:pPr>
        <w:spacing w:after="120"/>
      </w:pPr>
      <w:r>
        <w:rPr>
          <w:rFonts w:ascii="Arial" w:cs="Arial" w:eastAsia="Arial" w:hAnsi="Arial"/>
          <w:sz w:val="22"/>
          <w:szCs w:val="22"/>
        </w:rPr>
        <w:t xml:space="preserve">These terms are used in accordance with RFC 2119. Code examples use JSON for data schemas and are illustrative. Implementations MAY use equivalent serialization formats (Protocol Buffers, MessagePack, CBOR) provided the semantic content is preserved.</w:t>
      </w:r>
    </w:p>
    <w:p>
      <w:r>
        <w:br w:type="page"/>
      </w:r>
    </w:p>
    <w:p>
      <w:pPr>
        <w:pStyle w:val="Heading1"/>
        <w:spacing w:before="360" w:after="200"/>
      </w:pPr>
      <w:r>
        <w:rPr>
          <w:rFonts w:ascii="Arial" w:cs="Arial" w:eastAsia="Arial" w:hAnsi="Arial"/>
          <w:b/>
          <w:bCs/>
          <w:color w:val="1B2A4A"/>
          <w:sz w:val="32"/>
          <w:szCs w:val="32"/>
        </w:rPr>
        <w:t xml:space="preserve">Article 2 — Architecture Overview</w:t>
      </w:r>
    </w:p>
    <w:p>
      <w:pPr>
        <w:pStyle w:val="Heading2"/>
        <w:spacing w:before="280" w:after="160"/>
      </w:pPr>
      <w:r>
        <w:rPr>
          <w:rFonts w:ascii="Arial" w:cs="Arial" w:eastAsia="Arial" w:hAnsi="Arial"/>
          <w:b/>
          <w:bCs/>
          <w:color w:val="2C4A7C"/>
          <w:sz w:val="28"/>
          <w:szCs w:val="28"/>
        </w:rPr>
        <w:t xml:space="preserve">2.1 System Context</w:t>
      </w:r>
    </w:p>
    <w:p>
      <w:pPr>
        <w:spacing w:after="120"/>
      </w:pPr>
      <w:r>
        <w:rPr>
          <w:rFonts w:ascii="Arial" w:cs="Arial" w:eastAsia="Arial" w:hAnsi="Arial"/>
          <w:sz w:val="22"/>
          <w:szCs w:val="22"/>
        </w:rPr>
        <w:t xml:space="preserve">The Behavioral Telemetry SDK operates as an embedded component within the autonomous system’s runtime environment. It intercepts, structures, and transmits telemetry data to the ARA Platform for ingestion, analysis, and compliance evaluation. The SDK is positioned between the autonomous system’s operational logic and the ARA Continuous Assurance Platform.</w:t>
      </w:r>
    </w:p>
    <w:p>
      <w:pPr>
        <w:spacing w:after="120"/>
      </w:pPr>
      <w:r>
        <w:rPr>
          <w:rFonts w:ascii="Arial" w:cs="Arial" w:eastAsia="Arial" w:hAnsi="Arial"/>
          <w:b/>
          <w:bCs/>
          <w:sz w:val="22"/>
          <w:szCs w:val="22"/>
        </w:rPr>
        <w:t xml:space="preserve">Agent-Side Components: </w:t>
      </w:r>
      <w:r>
        <w:rPr>
          <w:rFonts w:ascii="Arial" w:cs="Arial" w:eastAsia="Arial" w:hAnsi="Arial"/>
          <w:sz w:val="22"/>
          <w:szCs w:val="22"/>
        </w:rPr>
        <w:t xml:space="preserve">The SDK library embedded in the autonomous system’s process space. Responsible for telemetry capture, local buffering, schema validation, and secure transmission.</w:t>
      </w:r>
    </w:p>
    <w:p>
      <w:pPr>
        <w:spacing w:after="120"/>
      </w:pPr>
      <w:r>
        <w:rPr>
          <w:rFonts w:ascii="Arial" w:cs="Arial" w:eastAsia="Arial" w:hAnsi="Arial"/>
          <w:b/>
          <w:bCs/>
          <w:sz w:val="22"/>
          <w:szCs w:val="22"/>
        </w:rPr>
        <w:t xml:space="preserve">Platform-Side Components: </w:t>
      </w:r>
      <w:r>
        <w:rPr>
          <w:rFonts w:ascii="Arial" w:cs="Arial" w:eastAsia="Arial" w:hAnsi="Arial"/>
          <w:sz w:val="22"/>
          <w:szCs w:val="22"/>
        </w:rPr>
        <w:t xml:space="preserve">The ARA Platform’s telemetry ingestion endpoints, stream processors, and storage layer. Responsible for receiving, validating, storing, and routing telemetry to downstream analysis engines (Drift Detection, Scoring, Alerting).</w:t>
      </w:r>
    </w:p>
    <w:p>
      <w:pPr>
        <w:pStyle w:val="Heading2"/>
        <w:spacing w:before="280" w:after="160"/>
      </w:pPr>
      <w:r>
        <w:rPr>
          <w:rFonts w:ascii="Arial" w:cs="Arial" w:eastAsia="Arial" w:hAnsi="Arial"/>
          <w:b/>
          <w:bCs/>
          <w:color w:val="2C4A7C"/>
          <w:sz w:val="28"/>
          <w:szCs w:val="28"/>
        </w:rPr>
        <w:t xml:space="preserve">2.2 Deployment Architecture</w:t>
      </w:r>
    </w:p>
    <w:p>
      <w:pPr>
        <w:spacing w:after="120"/>
      </w:pPr>
      <w:r>
        <w:rPr>
          <w:rFonts w:ascii="Arial" w:cs="Arial" w:eastAsia="Arial" w:hAnsi="Arial"/>
          <w:sz w:val="22"/>
          <w:szCs w:val="22"/>
        </w:rPr>
        <w:t xml:space="preserve">The SDK supports three deployment patterns, each appropriate for different operational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library linked directly into the autonomous system’s process. Lowest latency, direct memory access to decision context.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Single-process agents, latency-critical systems, systems where telemetry must capture pre-decision state.</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runs as a co-located process alongside the autonomous system. Communicates via local IPC (Unix sockets, localhost).</w:t>
            </w:r>
          </w:p>
        </w:tc>
        <w:tc>
          <w:tcPr>
            <w:tcW w:type="dxa" w:w="3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Containerized deployments, microservice architectures, systems where isolation between telemetry and core logic is required.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runs as a centralized telemetry gateway receiving events from multiple autonomous system instances.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Multi-instance deployments, fleet monitoring, environments where agents cannot embed libraries directly.</w:t>
            </w:r>
          </w:p>
        </w:tc>
      </w:tr>
    </w:tbl>
    <w:p>
      <w:pPr>
        <w:spacing w:after="120"/>
      </w:pPr>
      <w:r>
        <w:rPr>
          <w:rFonts w:ascii="Arial" w:cs="Arial" w:eastAsia="Arial" w:hAnsi="Arial"/>
          <w:sz w:val="22"/>
          <w:szCs w:val="22"/>
        </w:rPr>
        <w:t xml:space="preserve">All three patterns produce identical telemetry streams from the platform’s perspective. The deployment pattern is a local engineering decision and does not affect certification evaluation.</w:t>
      </w:r>
    </w:p>
    <w:p>
      <w:pPr>
        <w:pStyle w:val="Heading2"/>
        <w:spacing w:before="280" w:after="160"/>
      </w:pPr>
      <w:r>
        <w:rPr>
          <w:rFonts w:ascii="Arial" w:cs="Arial" w:eastAsia="Arial" w:hAnsi="Arial"/>
          <w:b/>
          <w:bCs/>
          <w:color w:val="2C4A7C"/>
          <w:sz w:val="28"/>
          <w:szCs w:val="28"/>
        </w:rPr>
        <w:t xml:space="preserve">2.3 Data Flow Model</w:t>
      </w:r>
    </w:p>
    <w:p>
      <w:pPr>
        <w:spacing w:after="120"/>
      </w:pPr>
      <w:r>
        <w:rPr>
          <w:rFonts w:ascii="Arial" w:cs="Arial" w:eastAsia="Arial" w:hAnsi="Arial"/>
          <w:sz w:val="22"/>
          <w:szCs w:val="22"/>
        </w:rPr>
        <w:t xml:space="preserve">Telemetry flows through the following stages:</w:t>
      </w:r>
    </w:p>
    <w:p>
      <w:pPr>
        <w:spacing w:after="120"/>
      </w:pPr>
      <w:r>
        <w:rPr>
          <w:rFonts w:ascii="Arial" w:cs="Arial" w:eastAsia="Arial" w:hAnsi="Arial"/>
          <w:b/>
          <w:bCs/>
          <w:sz w:val="22"/>
          <w:szCs w:val="22"/>
        </w:rPr>
        <w:t xml:space="preserve">1. Capture: </w:t>
      </w:r>
      <w:r>
        <w:rPr>
          <w:rFonts w:ascii="Arial" w:cs="Arial" w:eastAsia="Arial" w:hAnsi="Arial"/>
          <w:sz w:val="22"/>
          <w:szCs w:val="22"/>
        </w:rPr>
        <w:t xml:space="preserve">The SDK instruments the autonomous system to capture events at defined instrumentation points (action execution, decision evaluation, boundary checks, resource consumption). Events are captured with nanosecond-precision timestamps.</w:t>
      </w:r>
    </w:p>
    <w:p>
      <w:pPr>
        <w:spacing w:after="120"/>
      </w:pPr>
      <w:r>
        <w:rPr>
          <w:rFonts w:ascii="Arial" w:cs="Arial" w:eastAsia="Arial" w:hAnsi="Arial"/>
          <w:b/>
          <w:bCs/>
          <w:sz w:val="22"/>
          <w:szCs w:val="22"/>
        </w:rPr>
        <w:t xml:space="preserve">2. Structuring: </w:t>
      </w:r>
      <w:r>
        <w:rPr>
          <w:rFonts w:ascii="Arial" w:cs="Arial" w:eastAsia="Arial" w:hAnsi="Arial"/>
          <w:sz w:val="22"/>
          <w:szCs w:val="22"/>
        </w:rPr>
        <w:t xml:space="preserve">Captured events are structured into one of the seven canonical schemas (Action Trace, Decision Log, Boundary Event, Drift Signal, Resource Utilization, Privacy Event, Societal Impact Event) defined in Article 4.</w:t>
      </w:r>
    </w:p>
    <w:p>
      <w:pPr>
        <w:spacing w:after="120"/>
      </w:pPr>
      <w:r>
        <w:rPr>
          <w:rFonts w:ascii="Arial" w:cs="Arial" w:eastAsia="Arial" w:hAnsi="Arial"/>
          <w:b/>
          <w:bCs/>
          <w:sz w:val="22"/>
          <w:szCs w:val="22"/>
        </w:rPr>
        <w:t xml:space="preserve">3. Validation: </w:t>
      </w:r>
      <w:r>
        <w:rPr>
          <w:rFonts w:ascii="Arial" w:cs="Arial" w:eastAsia="Arial" w:hAnsi="Arial"/>
          <w:sz w:val="22"/>
          <w:szCs w:val="22"/>
        </w:rPr>
        <w:t xml:space="preserve">The SDK validates each event against its schema before transmission, rejecting malformed events locally and logging validation failures.</w:t>
      </w:r>
    </w:p>
    <w:p>
      <w:pPr>
        <w:spacing w:after="120"/>
      </w:pPr>
      <w:r>
        <w:rPr>
          <w:rFonts w:ascii="Arial" w:cs="Arial" w:eastAsia="Arial" w:hAnsi="Arial"/>
          <w:b/>
          <w:bCs/>
          <w:sz w:val="22"/>
          <w:szCs w:val="22"/>
        </w:rPr>
        <w:t xml:space="preserve">4. Privacy Filtering: </w:t>
      </w:r>
      <w:r>
        <w:rPr>
          <w:rFonts w:ascii="Arial" w:cs="Arial" w:eastAsia="Arial" w:hAnsi="Arial"/>
          <w:sz w:val="22"/>
          <w:szCs w:val="22"/>
        </w:rPr>
        <w:t xml:space="preserve">For systems with privacy-preserving telemetry modes enabled (see Article 7), the SDK applies PII detection, data minimization, and differential privacy transformations before buffering.</w:t>
      </w:r>
    </w:p>
    <w:p>
      <w:pPr>
        <w:spacing w:after="120"/>
      </w:pPr>
      <w:r>
        <w:rPr>
          <w:rFonts w:ascii="Arial" w:cs="Arial" w:eastAsia="Arial" w:hAnsi="Arial"/>
          <w:b/>
          <w:bCs/>
          <w:sz w:val="22"/>
          <w:szCs w:val="22"/>
        </w:rPr>
        <w:t xml:space="preserve">5. Buffering: </w:t>
      </w:r>
      <w:r>
        <w:rPr>
          <w:rFonts w:ascii="Arial" w:cs="Arial" w:eastAsia="Arial" w:hAnsi="Arial"/>
          <w:sz w:val="22"/>
          <w:szCs w:val="22"/>
        </w:rPr>
        <w:t xml:space="preserve">Events are buffered locally in a persistent queue to survive transient network failures. The buffer is configurable (see Article 8) with default capacity for 24 hours of telemetry at peak volume.</w:t>
      </w:r>
    </w:p>
    <w:p>
      <w:pPr>
        <w:spacing w:after="120"/>
      </w:pPr>
      <w:r>
        <w:rPr>
          <w:rFonts w:ascii="Arial" w:cs="Arial" w:eastAsia="Arial" w:hAnsi="Arial"/>
          <w:b/>
          <w:bCs/>
          <w:sz w:val="22"/>
          <w:szCs w:val="22"/>
        </w:rPr>
        <w:t xml:space="preserve">6. Transmission: </w:t>
      </w:r>
      <w:r>
        <w:rPr>
          <w:rFonts w:ascii="Arial" w:cs="Arial" w:eastAsia="Arial" w:hAnsi="Arial"/>
          <w:sz w:val="22"/>
          <w:szCs w:val="22"/>
        </w:rPr>
        <w:t xml:space="preserve">Buffered events are transmitted to the ARA Platform via the configured integration method (REST, gRPC, or native binding transport). All transmissions use TLS 1.3 encryption.</w:t>
      </w:r>
    </w:p>
    <w:p>
      <w:pPr>
        <w:spacing w:after="120"/>
      </w:pPr>
      <w:r>
        <w:rPr>
          <w:rFonts w:ascii="Arial" w:cs="Arial" w:eastAsia="Arial" w:hAnsi="Arial"/>
          <w:b/>
          <w:bCs/>
          <w:sz w:val="22"/>
          <w:szCs w:val="22"/>
        </w:rPr>
        <w:t xml:space="preserve">7. Acknowledgment: </w:t>
      </w:r>
      <w:r>
        <w:rPr>
          <w:rFonts w:ascii="Arial" w:cs="Arial" w:eastAsia="Arial" w:hAnsi="Arial"/>
          <w:sz w:val="22"/>
          <w:szCs w:val="22"/>
        </w:rPr>
        <w:t xml:space="preserve">The platform acknowledges receipt of each batch. Unacknowledged batches are retried with exponential backoff. Events are removed from the local buffer only after platform acknowledgment.</w:t>
      </w:r>
    </w:p>
    <w:p>
      <w:pPr>
        <w:pStyle w:val="Heading2"/>
        <w:spacing w:before="280" w:after="160"/>
      </w:pPr>
      <w:r>
        <w:rPr>
          <w:rFonts w:ascii="Arial" w:cs="Arial" w:eastAsia="Arial" w:hAnsi="Arial"/>
          <w:b/>
          <w:bCs/>
          <w:color w:val="2C4A7C"/>
          <w:sz w:val="28"/>
          <w:szCs w:val="28"/>
        </w:rPr>
        <w:t xml:space="preserve">2.4 Security Architecture</w:t>
      </w:r>
    </w:p>
    <w:p>
      <w:pPr>
        <w:spacing w:after="120"/>
      </w:pPr>
      <w:r>
        <w:rPr>
          <w:rFonts w:ascii="Arial" w:cs="Arial" w:eastAsia="Arial" w:hAnsi="Arial"/>
          <w:sz w:val="22"/>
          <w:szCs w:val="22"/>
        </w:rPr>
        <w:t xml:space="preserve">The SDK’s security model operates on five principles:</w:t>
      </w:r>
    </w:p>
    <w:p>
      <w:pPr>
        <w:spacing w:after="120"/>
      </w:pPr>
      <w:r>
        <w:rPr>
          <w:rFonts w:ascii="Arial" w:cs="Arial" w:eastAsia="Arial" w:hAnsi="Arial"/>
          <w:b/>
          <w:bCs/>
          <w:sz w:val="22"/>
          <w:szCs w:val="22"/>
        </w:rPr>
        <w:t xml:space="preserve">Zero Trust Transmission: </w:t>
      </w:r>
      <w:r>
        <w:rPr>
          <w:rFonts w:ascii="Arial" w:cs="Arial" w:eastAsia="Arial" w:hAnsi="Arial"/>
          <w:sz w:val="22"/>
          <w:szCs w:val="22"/>
        </w:rPr>
        <w:t xml:space="preserve">All data in transit is encrypted with TLS 1.3. Mutual TLS (mTLS) is available and REQUIRED for Level 3 certifications.</w:t>
      </w:r>
    </w:p>
    <w:p>
      <w:pPr>
        <w:spacing w:after="120"/>
      </w:pPr>
      <w:r>
        <w:rPr>
          <w:rFonts w:ascii="Arial" w:cs="Arial" w:eastAsia="Arial" w:hAnsi="Arial"/>
          <w:b/>
          <w:bCs/>
          <w:sz w:val="22"/>
          <w:szCs w:val="22"/>
        </w:rPr>
        <w:t xml:space="preserve">Tamper-Evident Storage: </w:t>
      </w:r>
      <w:r>
        <w:rPr>
          <w:rFonts w:ascii="Arial" w:cs="Arial" w:eastAsia="Arial" w:hAnsi="Arial"/>
          <w:sz w:val="22"/>
          <w:szCs w:val="22"/>
        </w:rPr>
        <w:t xml:space="preserve">All telemetry data is hashed using SHA-256 at capture time. Hash chains link sequential events, making undetected modification computationally infeasible.</w:t>
      </w:r>
    </w:p>
    <w:p>
      <w:pPr>
        <w:spacing w:after="120"/>
      </w:pPr>
      <w:r>
        <w:rPr>
          <w:rFonts w:ascii="Arial" w:cs="Arial" w:eastAsia="Arial" w:hAnsi="Arial"/>
          <w:b/>
          <w:bCs/>
          <w:sz w:val="22"/>
          <w:szCs w:val="22"/>
        </w:rPr>
        <w:t xml:space="preserve">Least-Privilege Access: </w:t>
      </w:r>
      <w:r>
        <w:rPr>
          <w:rFonts w:ascii="Arial" w:cs="Arial" w:eastAsia="Arial" w:hAnsi="Arial"/>
          <w:sz w:val="22"/>
          <w:szCs w:val="22"/>
        </w:rPr>
        <w:t xml:space="preserve">SDK credentials grant write-only access to telemetry ingestion endpoints. The SDK cannot read, modify, or delete previously submitted telemetry.</w:t>
      </w:r>
    </w:p>
    <w:p>
      <w:pPr>
        <w:spacing w:after="120"/>
      </w:pPr>
      <w:r>
        <w:rPr>
          <w:rFonts w:ascii="Arial" w:cs="Arial" w:eastAsia="Arial" w:hAnsi="Arial"/>
          <w:b/>
          <w:bCs/>
          <w:sz w:val="22"/>
          <w:szCs w:val="22"/>
        </w:rPr>
        <w:t xml:space="preserve">Credential Isolation: </w:t>
      </w:r>
      <w:r>
        <w:rPr>
          <w:rFonts w:ascii="Arial" w:cs="Arial" w:eastAsia="Arial" w:hAnsi="Arial"/>
          <w:sz w:val="22"/>
          <w:szCs w:val="22"/>
        </w:rPr>
        <w:t xml:space="preserve">SDK authentication credentials are scoped to a single registered system and cannot be used to access telemetry from other systems.</w:t>
      </w:r>
    </w:p>
    <w:p>
      <w:pPr>
        <w:spacing w:after="120"/>
      </w:pPr>
      <w:r>
        <w:rPr>
          <w:rFonts w:ascii="Arial" w:cs="Arial" w:eastAsia="Arial" w:hAnsi="Arial"/>
          <w:b/>
          <w:bCs/>
          <w:sz w:val="22"/>
          <w:szCs w:val="22"/>
        </w:rPr>
        <w:t xml:space="preserve">Privacy by Design: </w:t>
      </w:r>
      <w:r>
        <w:rPr>
          <w:rFonts w:ascii="Arial" w:cs="Arial" w:eastAsia="Arial" w:hAnsi="Arial"/>
          <w:sz w:val="22"/>
          <w:szCs w:val="22"/>
        </w:rPr>
        <w:t xml:space="preserve">The SDK implements data minimization, PII detection, and configurable redaction at the point of capture, ensuring sensitive data is never transmitted when privacy-preserving modes are enabled.</w:t>
      </w:r>
    </w:p>
    <w:p>
      <w:r>
        <w:br w:type="page"/>
      </w:r>
    </w:p>
    <w:p>
      <w:pPr>
        <w:pStyle w:val="Heading1"/>
        <w:spacing w:before="360" w:after="200"/>
      </w:pPr>
      <w:r>
        <w:rPr>
          <w:rFonts w:ascii="Arial" w:cs="Arial" w:eastAsia="Arial" w:hAnsi="Arial"/>
          <w:b/>
          <w:bCs/>
          <w:color w:val="1B2A4A"/>
          <w:sz w:val="32"/>
          <w:szCs w:val="32"/>
        </w:rPr>
        <w:t xml:space="preserve">Article 3 — Integration Methods</w:t>
      </w:r>
    </w:p>
    <w:p>
      <w:pPr>
        <w:spacing w:after="120"/>
      </w:pPr>
      <w:r>
        <w:rPr>
          <w:rFonts w:ascii="Arial" w:cs="Arial" w:eastAsia="Arial" w:hAnsi="Arial"/>
          <w:sz w:val="22"/>
          <w:szCs w:val="22"/>
        </w:rPr>
        <w:t xml:space="preserve">The SDK provides five integration methods. All methods produce functionally identical telemetry streams. Selection is based on deployment environment, language ecosystem, and performance requirements.</w:t>
      </w:r>
    </w:p>
    <w:p>
      <w:pPr>
        <w:pStyle w:val="Heading2"/>
        <w:spacing w:before="280" w:after="160"/>
      </w:pPr>
      <w:r>
        <w:rPr>
          <w:rFonts w:ascii="Arial" w:cs="Arial" w:eastAsia="Arial" w:hAnsi="Arial"/>
          <w:b/>
          <w:bCs/>
          <w:color w:val="2C4A7C"/>
          <w:sz w:val="28"/>
          <w:szCs w:val="28"/>
        </w:rPr>
        <w:t xml:space="preserve">3.1 REST API</w:t>
      </w:r>
    </w:p>
    <w:p>
      <w:pPr>
        <w:spacing w:after="120"/>
      </w:pPr>
      <w:r>
        <w:rPr>
          <w:rFonts w:ascii="Arial" w:cs="Arial" w:eastAsia="Arial" w:hAnsi="Arial"/>
          <w:sz w:val="22"/>
          <w:szCs w:val="22"/>
        </w:rPr>
        <w:t xml:space="preserve">The REST API provides a stateless, HTTP-based integration suitable for any environment capable of making HTTPS requests. It is the most universally compatible integration method.</w:t>
      </w:r>
    </w:p>
    <w:p>
      <w:pPr>
        <w:spacing w:after="120"/>
      </w:pPr>
      <w:r>
        <w:rPr>
          <w:rFonts w:ascii="Arial" w:cs="Arial" w:eastAsia="Arial" w:hAnsi="Arial"/>
          <w:b/>
          <w:bCs/>
          <w:sz w:val="22"/>
          <w:szCs w:val="22"/>
        </w:rPr>
        <w:t xml:space="preserve">Base URL: </w:t>
      </w:r>
      <w:r>
        <w:rPr>
          <w:rFonts w:ascii="Arial" w:cs="Arial" w:eastAsia="Arial" w:hAnsi="Arial"/>
          <w:sz w:val="22"/>
          <w:szCs w:val="22"/>
        </w:rPr>
        <w:t xml:space="preserve">https://telemetry.ara-platform.org/v1</w:t>
      </w:r>
    </w:p>
    <w:p>
      <w:pPr>
        <w:spacing w:after="120"/>
      </w:pPr>
      <w:r>
        <w:rPr>
          <w:rFonts w:ascii="Arial" w:cs="Arial" w:eastAsia="Arial" w:hAnsi="Arial"/>
          <w:b/>
          <w:bCs/>
          <w:sz w:val="22"/>
          <w:szCs w:val="22"/>
        </w:rPr>
        <w:t xml:space="preserve">Authentication: </w:t>
      </w:r>
      <w:r>
        <w:rPr>
          <w:rFonts w:ascii="Arial" w:cs="Arial" w:eastAsia="Arial" w:hAnsi="Arial"/>
          <w:sz w:val="22"/>
          <w:szCs w:val="22"/>
        </w:rPr>
        <w:t xml:space="preserve">All requests SHALL include an Authorization header with a Bearer token (JWT) issued during system registration. Tokens are scoped to a single registered system and have configurable expiration (default: 1 hour, renewable).</w:t>
      </w:r>
    </w:p>
    <w:p>
      <w:pPr>
        <w:pStyle w:val="Heading3"/>
        <w:spacing w:before="200" w:after="120"/>
      </w:pPr>
      <w:r>
        <w:rPr>
          <w:rFonts w:ascii="Arial" w:cs="Arial" w:eastAsia="Arial" w:hAnsi="Arial"/>
          <w:b/>
          <w:bCs/>
          <w:color w:val="2C4A7C"/>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800"/>
        <w:gridCol w:w="3260"/>
      </w:tblGrid>
      <w:tr>
        <w:trPr>
          <w:tblHeader/>
        </w:trP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 Body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action traces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decision logs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boundary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drift signals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resource utilization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ResourceUtilization[]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 privacy events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 (batched)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societal impact events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SocietalImpactEvent[] (batched)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health check</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/v1/status/{systemId}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Multi-type batch submission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BatchPayload</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/v1/insurance/{systemId}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32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r>
    </w:tbl>
    <w:p>
      <w:pPr>
        <w:pStyle w:val="Heading3"/>
        <w:spacing w:before="200" w:after="120"/>
      </w:pPr>
      <w:r>
        <w:rPr>
          <w:rFonts w:ascii="Arial" w:cs="Arial" w:eastAsia="Arial" w:hAnsi="Arial"/>
          <w:b/>
          <w:bCs/>
          <w:color w:val="2C4A7C"/>
          <w:sz w:val="24"/>
          <w:szCs w:val="24"/>
        </w:rPr>
        <w:t xml:space="preserve">Batch Submission</w:t>
      </w:r>
    </w:p>
    <w:p>
      <w:pPr>
        <w:spacing w:after="120"/>
      </w:pPr>
      <w:r>
        <w:rPr>
          <w:rFonts w:ascii="Arial" w:cs="Arial" w:eastAsia="Arial" w:hAnsi="Arial"/>
          <w:sz w:val="22"/>
          <w:szCs w:val="22"/>
        </w:rPr>
        <w:t xml:space="preserve">The /v1/batch endpoint accepts mixed-type telemetry payloads, reducing HTTP overhead for systems generating multiple event types simultaneously. Each batch SHALL contain no more than 1,000 events and SHALL NOT exceed 5 MB compressed.</w:t>
      </w:r>
    </w:p>
    <w:p>
      <w:pPr>
        <w:pStyle w:val="Heading3"/>
        <w:spacing w:before="200" w:after="120"/>
      </w:pPr>
      <w:r>
        <w:rPr>
          <w:rFonts w:ascii="Arial" w:cs="Arial" w:eastAsia="Arial" w:hAnsi="Arial"/>
          <w:b/>
          <w:bCs/>
          <w:color w:val="2C4A7C"/>
          <w:sz w:val="24"/>
          <w:szCs w:val="24"/>
        </w:rPr>
        <w:t xml:space="preserve">Rate Limiting</w:t>
      </w:r>
    </w:p>
    <w:p>
      <w:pPr>
        <w:spacing w:after="120"/>
      </w:pPr>
      <w:r>
        <w:rPr>
          <w:rFonts w:ascii="Arial" w:cs="Arial" w:eastAsia="Arial" w:hAnsi="Arial"/>
          <w:sz w:val="22"/>
          <w:szCs w:val="22"/>
        </w:rPr>
        <w:t xml:space="preserve">The REST API enforces rate limits based on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Events per Second</w:t>
            </w:r>
          </w:p>
        </w:tc>
        <w:tc>
          <w:tcPr>
            <w:tcW w:type="dxa" w:w="30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Burst Allowance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 events burst (10s window)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 events/second</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2,500 events burst (10s window)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Continuous Assurance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2,000 events/second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 events burst (10s window)</w:t>
            </w:r>
          </w:p>
        </w:tc>
      </w:tr>
    </w:tbl>
    <w:p>
      <w:pPr>
        <w:pStyle w:val="Heading3"/>
        <w:spacing w:before="200" w:after="120"/>
      </w:pPr>
      <w:r>
        <w:rPr>
          <w:rFonts w:ascii="Arial" w:cs="Arial" w:eastAsia="Arial" w:hAnsi="Arial"/>
          <w:b/>
          <w:bCs/>
          <w:color w:val="2C4A7C"/>
          <w:sz w:val="24"/>
          <w:szCs w:val="24"/>
        </w:rPr>
        <w:t xml:space="preserve">Response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accepted and acknowledged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Accepted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Events queued for processing (async mode)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Bad Request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Schema validation failure; response body contains per-event errors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Unauthorized</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Invalid or expired bearer token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Forbidden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not authorized for this endpoint or certification expired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Conflict</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Duplicate event IDs detected; resubmission rejected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Too Many Requests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Rate limit exceeded; Retry-After header included</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503</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Service Unavailable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temporarily unavailable; SDK SHALL buffer and retry</w:t>
            </w:r>
          </w:p>
        </w:tc>
      </w:tr>
    </w:tbl>
    <w:p>
      <w:pPr>
        <w:pStyle w:val="Heading2"/>
        <w:spacing w:before="280" w:after="160"/>
      </w:pPr>
      <w:r>
        <w:rPr>
          <w:rFonts w:ascii="Arial" w:cs="Arial" w:eastAsia="Arial" w:hAnsi="Arial"/>
          <w:b/>
          <w:bCs/>
          <w:color w:val="2C4A7C"/>
          <w:sz w:val="28"/>
          <w:szCs w:val="28"/>
        </w:rPr>
        <w:t xml:space="preserve">3.2 gRPC Interface</w:t>
      </w:r>
    </w:p>
    <w:p>
      <w:pPr>
        <w:spacing w:after="120"/>
      </w:pPr>
      <w:r>
        <w:rPr>
          <w:rFonts w:ascii="Arial" w:cs="Arial" w:eastAsia="Arial" w:hAnsi="Arial"/>
          <w:sz w:val="22"/>
          <w:szCs w:val="22"/>
        </w:rPr>
        <w:t xml:space="preserve">The gRPC interface provides high-throughput, low-latency streaming suitable for systems generating large volumes of telemetry. It supports both unary and bidirectional streaming RPCs.</w:t>
      </w:r>
    </w:p>
    <w:p>
      <w:pPr>
        <w:pStyle w:val="Heading3"/>
        <w:spacing w:before="200" w:after="120"/>
      </w:pPr>
      <w:r>
        <w:rPr>
          <w:rFonts w:ascii="Arial" w:cs="Arial" w:eastAsia="Arial" w:hAnsi="Arial"/>
          <w:b/>
          <w:bCs/>
          <w:color w:val="2C4A7C"/>
          <w:sz w:val="24"/>
          <w:szCs w:val="24"/>
        </w:rPr>
        <w:t xml:space="preserve">Service Definition</w:t>
      </w:r>
    </w:p>
    <w:p>
      <w:pPr>
        <w:spacing w:after="120"/>
      </w:pPr>
      <w:r>
        <w:rPr>
          <w:rFonts w:ascii="Arial" w:cs="Arial" w:eastAsia="Arial" w:hAnsi="Arial"/>
          <w:sz w:val="22"/>
          <w:szCs w:val="22"/>
        </w:rPr>
        <w:t xml:space="preserve">The ARAtelemetry gRPC service includes unary RPCs for batched submission of each event type (SubmitTraces, SubmitDecisions, SubmitBoundaries, SubmitDrift, SubmitResources, SubmitPrivacy, SubmitSocietal, CheckIn), client streaming RPCs for continuous telemetry (StreamTraces, StreamAll), and bidirectional streaming (Monitor) for simultaneous telemetry and platform directives.</w:t>
      </w:r>
    </w:p>
    <w:p>
      <w:pPr>
        <w:pStyle w:val="Heading3"/>
        <w:spacing w:before="200" w:after="120"/>
      </w:pPr>
      <w:r>
        <w:rPr>
          <w:rFonts w:ascii="Arial" w:cs="Arial" w:eastAsia="Arial" w:hAnsi="Arial"/>
          <w:b/>
          <w:bCs/>
          <w:color w:val="2C4A7C"/>
          <w:sz w:val="24"/>
          <w:szCs w:val="24"/>
        </w:rPr>
        <w:t xml:space="preserve">Connection Management</w:t>
      </w:r>
    </w:p>
    <w:p>
      <w:pPr>
        <w:spacing w:after="120"/>
      </w:pPr>
      <w:r>
        <w:rPr>
          <w:rFonts w:ascii="Arial" w:cs="Arial" w:eastAsia="Arial" w:hAnsi="Arial"/>
          <w:sz w:val="22"/>
          <w:szCs w:val="22"/>
        </w:rPr>
        <w:t xml:space="preserve">gRPC connections SHALL use TLS 1.3 with ALPN negotiation for HTTP/2. Clients SHALL implement automatic reconnection with exponential backoff (initial delay 100ms, maximum delay 30s, jitter factor 0.2). Channel credentials are provided via the same JWT mechanism used by the REST API, transmitted as gRPC metadata on each call.</w:t>
      </w:r>
    </w:p>
    <w:p>
      <w:pPr>
        <w:pStyle w:val="Heading3"/>
        <w:spacing w:before="200" w:after="120"/>
      </w:pPr>
      <w:r>
        <w:rPr>
          <w:rFonts w:ascii="Arial" w:cs="Arial" w:eastAsia="Arial" w:hAnsi="Arial"/>
          <w:b/>
          <w:bCs/>
          <w:color w:val="2C4A7C"/>
          <w:sz w:val="24"/>
          <w:szCs w:val="24"/>
        </w:rPr>
        <w:t xml:space="preserve">Streaming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request-response per batch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Low-volume systems, periodic batch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4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sends continuous event stream; server acknowledges per-window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High-volume telemetry from single-process agents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streams telemetry; server streams directives (revalidation triggers, configuration updates)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 systems requiring real-time platform interaction</w:t>
            </w:r>
          </w:p>
        </w:tc>
      </w:tr>
    </w:tbl>
    <w:p>
      <w:pPr>
        <w:spacing w:after="120"/>
      </w:pPr>
      <w:r>
        <w:rPr>
          <w:rFonts w:ascii="Arial" w:cs="Arial" w:eastAsia="Arial" w:hAnsi="Arial"/>
          <w:sz w:val="22"/>
          <w:szCs w:val="22"/>
        </w:rPr>
        <w:t xml:space="preserve">The bidirectional Monitor RPC is RECOMMENDED for Level 2 Operational and REQUIRED for Level 3 Continuous Assurance certifications, as it enables the platform to issue revalidation triggers and configuration directives in real time.</w:t>
      </w:r>
    </w:p>
    <w:p>
      <w:pPr>
        <w:pStyle w:val="Heading2"/>
        <w:spacing w:before="280" w:after="160"/>
      </w:pPr>
      <w:r>
        <w:rPr>
          <w:rFonts w:ascii="Arial" w:cs="Arial" w:eastAsia="Arial" w:hAnsi="Arial"/>
          <w:b/>
          <w:bCs/>
          <w:color w:val="2C4A7C"/>
          <w:sz w:val="28"/>
          <w:szCs w:val="28"/>
        </w:rPr>
        <w:t xml:space="preserve">3.3 Native Language Bindings</w:t>
      </w:r>
    </w:p>
    <w:p>
      <w:pPr>
        <w:spacing w:after="120"/>
      </w:pPr>
      <w:r>
        <w:rPr>
          <w:rFonts w:ascii="Arial" w:cs="Arial" w:eastAsia="Arial" w:hAnsi="Arial"/>
          <w:sz w:val="22"/>
          <w:szCs w:val="22"/>
        </w:rPr>
        <w:t xml:space="preserve">The SDK provides idiomatic client libraries for five languages. Each binding wraps the gRPC or REST transport layer and provides language-native APIs for telemetry capture.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500"/>
        <w:gridCol w:w="2200"/>
        <w:gridCol w:w="2360"/>
      </w:tblGrid>
      <w:tr>
        <w:trPr>
          <w:tblHeader/>
        </w:trP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Language</w:t>
            </w:r>
          </w:p>
        </w:tc>
        <w:tc>
          <w:tcPr>
            <w:tcW w:type="dxa" w:w="1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Transport</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Async Support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3.10+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asyncio native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Node.js</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Node 18+</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Promise/async-await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Java 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CompletableFuture</w:t>
            </w:r>
          </w:p>
        </w:tc>
      </w:tr>
      <w:tr>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w:t>
            </w:r>
          </w:p>
        </w:tc>
        <w:tc>
          <w:tcPr>
            <w:tcW w:type="dxa" w:w="1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go.ara.dev/telemetry</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 1.21+</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goroutine native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ara-telemetry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Rust 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(default), REST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tokio async</w:t>
            </w:r>
          </w:p>
        </w:tc>
      </w:tr>
    </w:tbl>
    <w:p>
      <w:pPr>
        <w:pStyle w:val="Heading2"/>
        <w:spacing w:before="280" w:after="160"/>
      </w:pPr>
      <w:r>
        <w:rPr>
          <w:rFonts w:ascii="Arial" w:cs="Arial" w:eastAsia="Arial" w:hAnsi="Arial"/>
          <w:b/>
          <w:bCs/>
          <w:color w:val="2C4A7C"/>
          <w:sz w:val="28"/>
          <w:szCs w:val="28"/>
        </w:rPr>
        <w:t xml:space="preserve">3.4 Agent-to-Agent Handshake Protocol</w:t>
      </w:r>
    </w:p>
    <w:p>
      <w:pPr>
        <w:spacing w:after="120"/>
      </w:pPr>
      <w:r>
        <w:rPr>
          <w:rFonts w:ascii="Arial" w:cs="Arial" w:eastAsia="Arial" w:hAnsi="Arial"/>
          <w:sz w:val="22"/>
          <w:szCs w:val="22"/>
        </w:rPr>
        <w:t xml:space="preserve">For autonomous AI agents capable of programmatic interaction, the SDK supports an agent-to-agent handshake protocol. This enables AI agents to autonomously initiate SDK integration, negotiate telemetry parameters, and begin streaming telemetry without human configuration.</w:t>
      </w:r>
    </w:p>
    <w:p>
      <w:pPr>
        <w:pStyle w:val="Heading3"/>
        <w:spacing w:before="200" w:after="120"/>
      </w:pPr>
      <w:r>
        <w:rPr>
          <w:rFonts w:ascii="Arial" w:cs="Arial" w:eastAsia="Arial" w:hAnsi="Arial"/>
          <w:b/>
          <w:bCs/>
          <w:color w:val="2C4A7C"/>
          <w:sz w:val="24"/>
          <w:szCs w:val="24"/>
        </w:rPr>
        <w:t xml:space="preserve">Handshake Sequence</w:t>
      </w:r>
    </w:p>
    <w:p>
      <w:pPr>
        <w:spacing w:after="120"/>
      </w:pPr>
      <w:r>
        <w:rPr>
          <w:rFonts w:ascii="Arial" w:cs="Arial" w:eastAsia="Arial" w:hAnsi="Arial"/>
          <w:b/>
          <w:bCs/>
          <w:sz w:val="22"/>
          <w:szCs w:val="22"/>
        </w:rPr>
        <w:t xml:space="preserve">1. Discovery: </w:t>
      </w:r>
      <w:r>
        <w:rPr>
          <w:rFonts w:ascii="Arial" w:cs="Arial" w:eastAsia="Arial" w:hAnsi="Arial"/>
          <w:sz w:val="22"/>
          <w:szCs w:val="22"/>
        </w:rPr>
        <w:t xml:space="preserve">The agent queries the ARA Platform discovery endpoint (/.well-known/ara-telemetry) to obtain connection parameters, supported schemas, and authentication requirements.</w:t>
      </w:r>
    </w:p>
    <w:p>
      <w:pPr>
        <w:spacing w:after="120"/>
      </w:pPr>
      <w:r>
        <w:rPr>
          <w:rFonts w:ascii="Arial" w:cs="Arial" w:eastAsia="Arial" w:hAnsi="Arial"/>
          <w:b/>
          <w:bCs/>
          <w:sz w:val="22"/>
          <w:szCs w:val="22"/>
        </w:rPr>
        <w:t xml:space="preserve">2. Registration: </w:t>
      </w:r>
      <w:r>
        <w:rPr>
          <w:rFonts w:ascii="Arial" w:cs="Arial" w:eastAsia="Arial" w:hAnsi="Arial"/>
          <w:sz w:val="22"/>
          <w:szCs w:val="22"/>
        </w:rPr>
        <w:t xml:space="preserve">The agent presents its system registration credentials and requests telemetry channel provisioning.</w:t>
      </w:r>
    </w:p>
    <w:p>
      <w:pPr>
        <w:spacing w:after="120"/>
      </w:pPr>
      <w:r>
        <w:rPr>
          <w:rFonts w:ascii="Arial" w:cs="Arial" w:eastAsia="Arial" w:hAnsi="Arial"/>
          <w:b/>
          <w:bCs/>
          <w:sz w:val="22"/>
          <w:szCs w:val="22"/>
        </w:rPr>
        <w:t xml:space="preserve">3. Capability Negotiation: </w:t>
      </w:r>
      <w:r>
        <w:rPr>
          <w:rFonts w:ascii="Arial" w:cs="Arial" w:eastAsia="Arial" w:hAnsi="Arial"/>
          <w:sz w:val="22"/>
          <w:szCs w:val="22"/>
        </w:rPr>
        <w:t xml:space="preserve">The platform and agent negotiate telemetry parameters: schema version, transport protocol, compression, batch size, and streaming mode.</w:t>
      </w:r>
    </w:p>
    <w:p>
      <w:pPr>
        <w:spacing w:after="120"/>
      </w:pPr>
      <w:r>
        <w:rPr>
          <w:rFonts w:ascii="Arial" w:cs="Arial" w:eastAsia="Arial" w:hAnsi="Arial"/>
          <w:b/>
          <w:bCs/>
          <w:sz w:val="22"/>
          <w:szCs w:val="22"/>
        </w:rPr>
        <w:t xml:space="preserve">4. Channel Establishment: </w:t>
      </w:r>
      <w:r>
        <w:rPr>
          <w:rFonts w:ascii="Arial" w:cs="Arial" w:eastAsia="Arial" w:hAnsi="Arial"/>
          <w:sz w:val="22"/>
          <w:szCs w:val="22"/>
        </w:rPr>
        <w:t xml:space="preserve">A dedicated telemetry channel is provisioned with the negotiated parameters. The agent receives a channel token scoped to this session.</w:t>
      </w:r>
    </w:p>
    <w:p>
      <w:pPr>
        <w:spacing w:after="120"/>
      </w:pPr>
      <w:r>
        <w:rPr>
          <w:rFonts w:ascii="Arial" w:cs="Arial" w:eastAsia="Arial" w:hAnsi="Arial"/>
          <w:b/>
          <w:bCs/>
          <w:sz w:val="22"/>
          <w:szCs w:val="22"/>
        </w:rPr>
        <w:t xml:space="preserve">5. Continuous Operation: </w:t>
      </w:r>
      <w:r>
        <w:rPr>
          <w:rFonts w:ascii="Arial" w:cs="Arial" w:eastAsia="Arial" w:hAnsi="Arial"/>
          <w:sz w:val="22"/>
          <w:szCs w:val="22"/>
        </w:rPr>
        <w:t xml:space="preserve">The agent streams telemetry on the established channel. The platform streams directives (revalidation triggers, schema updates) back to the agent.</w:t>
      </w:r>
    </w:p>
    <w:p>
      <w:pPr>
        <w:spacing w:after="120"/>
        <w:ind w:left="360" w:right="360"/>
      </w:pPr>
      <w:r>
        <w:rPr>
          <w:rFonts w:ascii="Arial" w:cs="Arial" w:eastAsia="Arial" w:hAnsi="Arial"/>
          <w:i/>
          <w:iCs/>
          <w:color w:val="555555"/>
          <w:sz w:val="22"/>
          <w:szCs w:val="22"/>
        </w:rPr>
        <w:t xml:space="preserve">This protocol is specifically designed for the ‘agents certifying agents’ paradigm described in the ARA Standard. It enables certified AI agents to maintain their own certification by autonomously managing their telemetry integration.</w:t>
      </w:r>
    </w:p>
    <w:p>
      <w:pPr>
        <w:pStyle w:val="Heading2"/>
        <w:spacing w:before="280" w:after="160"/>
      </w:pPr>
      <w:r>
        <w:rPr>
          <w:rFonts w:ascii="Arial" w:cs="Arial" w:eastAsia="Arial" w:hAnsi="Arial"/>
          <w:b/>
          <w:bCs/>
          <w:color w:val="2C4A7C"/>
          <w:sz w:val="28"/>
          <w:szCs w:val="28"/>
        </w:rPr>
        <w:t xml:space="preserve">3.5 Integration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200"/>
        <w:gridCol w:w="24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REST</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gRPC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Native Binding</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sensitivity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Lowest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or native for latency-critical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Throughput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Good</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Excellent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 streaming for high-volume telemetry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Language constraints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Any with gRPC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Python, Node, Java, Go, 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 as universal fallback</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Bidirectional needs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(via gRPC)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gRPC/native for Level 2/3 platform directives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Supported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 for autonomous agent integration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Deployment simplicity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Simplest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Moderate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Language-specific</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REST for rapid prototyping and PoC</w:t>
            </w:r>
          </w:p>
        </w:tc>
      </w:tr>
    </w:tbl>
    <w:p>
      <w:r>
        <w:br w:type="page"/>
      </w:r>
    </w:p>
    <w:p>
      <w:pPr>
        <w:pStyle w:val="Heading1"/>
        <w:spacing w:before="360" w:after="200"/>
      </w:pPr>
      <w:r>
        <w:rPr>
          <w:rFonts w:ascii="Arial" w:cs="Arial" w:eastAsia="Arial" w:hAnsi="Arial"/>
          <w:b/>
          <w:bCs/>
          <w:color w:val="1B2A4A"/>
          <w:sz w:val="32"/>
          <w:szCs w:val="32"/>
        </w:rPr>
        <w:t xml:space="preserve">Article 4 — Data Schemas</w:t>
      </w:r>
    </w:p>
    <w:p>
      <w:pPr>
        <w:spacing w:after="120"/>
      </w:pPr>
      <w:r>
        <w:rPr>
          <w:rFonts w:ascii="Arial" w:cs="Arial" w:eastAsia="Arial" w:hAnsi="Arial"/>
          <w:sz w:val="22"/>
          <w:szCs w:val="22"/>
        </w:rPr>
        <w:t xml:space="preserve">The SDK defines seven canonical telemetry schemas. All telemetry submitted to the ARA Platform SHALL conform to one of these schemas. Schemas are versioned independently and the platform supports concurrent schema versions during migration periods.</w:t>
      </w:r>
    </w:p>
    <w:p>
      <w:pPr>
        <w:pStyle w:val="Heading2"/>
        <w:spacing w:before="280" w:after="160"/>
      </w:pPr>
      <w:r>
        <w:rPr>
          <w:rFonts w:ascii="Arial" w:cs="Arial" w:eastAsia="Arial" w:hAnsi="Arial"/>
          <w:b/>
          <w:bCs/>
          <w:color w:val="2C4A7C"/>
          <w:sz w:val="28"/>
          <w:szCs w:val="28"/>
        </w:rPr>
        <w:t xml:space="preserve">4.1 Action Trace Schema</w:t>
      </w:r>
    </w:p>
    <w:p>
      <w:pPr>
        <w:spacing w:after="120"/>
      </w:pPr>
      <w:r>
        <w:rPr>
          <w:rFonts w:ascii="Arial" w:cs="Arial" w:eastAsia="Arial" w:hAnsi="Arial"/>
          <w:sz w:val="22"/>
          <w:szCs w:val="22"/>
        </w:rPr>
        <w:t xml:space="preserve">Action traces record individual actions taken by the autonomous system. Every autonomous action that affects external state, consumes resources, or exercises delegated authority SHALL be captured as an action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 (e.g., '1.1')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capture time with millisecond precision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related events within a transaction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Sub-trace identifier for nested actions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parent_span_id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span for hierarchical traces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category: api_call, data_access, computation, communication, tool_invocation, physical_actuation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action_class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action classification per operational boundary spec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input context (redaction rules apply per 7.4)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outputs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output results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Why this action was selected over alternatives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Execution duration in milliseconds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outcome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Result: success, failure, timeout, partial,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error_details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Error classification and context (when outcome != success)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Whether action was within certified boundaries: within, approaching, 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resource_consumed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 consumed (API calls, tokens, compute)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privacy_flags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Privacy-relevant metadata: pii_detected, data_category, redaction_applied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event payload for tamper 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incorporating previous event’s integrity_hash</w:t>
            </w:r>
          </w:p>
        </w:tc>
      </w:tr>
    </w:tbl>
    <w:p>
      <w:pPr>
        <w:spacing w:after="120"/>
        <w:ind w:left="360" w:right="360"/>
      </w:pPr>
      <w:r>
        <w:rPr>
          <w:rFonts w:ascii="Arial" w:cs="Arial" w:eastAsia="Arial" w:hAnsi="Arial"/>
          <w:i/>
          <w:iCs/>
          <w:color w:val="555555"/>
          <w:sz w:val="22"/>
          <w:szCs w:val="22"/>
        </w:rPr>
        <w:t xml:space="preserve">ACR Alignment: The action trace schema directly supports ACR-10.01 (action logging with type, timestamp, input context, rationale, and outcome), ACR-10.05 (tamper-evident logging via integrity_hash and chain_hash), and ACR-12.01 (decision log maintenance).</w:t>
      </w:r>
    </w:p>
    <w:p>
      <w:pPr>
        <w:pStyle w:val="Heading2"/>
        <w:spacing w:before="280" w:after="160"/>
      </w:pPr>
      <w:r>
        <w:rPr>
          <w:rFonts w:ascii="Arial" w:cs="Arial" w:eastAsia="Arial" w:hAnsi="Arial"/>
          <w:b/>
          <w:bCs/>
          <w:color w:val="2C4A7C"/>
          <w:sz w:val="28"/>
          <w:szCs w:val="28"/>
        </w:rPr>
        <w:t xml:space="preserve">4.2 Decision Log Schema</w:t>
      </w:r>
    </w:p>
    <w:p>
      <w:pPr>
        <w:spacing w:after="120"/>
      </w:pPr>
      <w:r>
        <w:rPr>
          <w:rFonts w:ascii="Arial" w:cs="Arial" w:eastAsia="Arial" w:hAnsi="Arial"/>
          <w:sz w:val="22"/>
          <w:szCs w:val="22"/>
        </w:rPr>
        <w:t xml:space="preserve">Decision logs capture the decision-making process for autonomous decisions that select between alternatives, apply judgment, or exercise discretion. While action traces record what happened, decision logs record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000"/>
        <w:gridCol w:w="44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evaluation time (UTC)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linking to associated action traces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Category: classification, selection, routing, approval, escalation,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decision_context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Input state and environmental context at decision 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alternatives_considered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alternatives evaluated with confidence scores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selected_alternative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Identifier of the chosen alternative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selection_rationale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Explanation of why this alternative was selected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System’s confidence in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decision_rules_applied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Policy rules and constraints that influenced the decision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human_override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Whether a human overrode or modified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override_details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Override context (when human_override is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risk_assessment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evaluation associated with the decision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4.3 Boundary Event Schema</w:t>
      </w:r>
    </w:p>
    <w:p>
      <w:pPr>
        <w:spacing w:after="120"/>
      </w:pPr>
      <w:r>
        <w:rPr>
          <w:rFonts w:ascii="Arial" w:cs="Arial" w:eastAsia="Arial" w:hAnsi="Arial"/>
          <w:sz w:val="22"/>
          <w:szCs w:val="22"/>
        </w:rPr>
        <w:t xml:space="preserve">Boundary events record when the autonomous system approaches, reaches, or violates its certified operational boundaries. These events are critical for drift detection and policy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operational_scope, resource_limit, authority_boundary, temporal_constraint, geographic_constraint, interaction_limit, data_privacy_boundary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boundary in operational specification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approaching (&gt;80% threshold), reached, violation, recovered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threshold_value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defined boundary threshold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observed value at event time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proximity_pct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Percentage of threshold consumed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auto_response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System’s automatic response: none, throttled, restricted, halted, escalated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escalation_target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or system escalation destination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pStyle w:val="Heading2"/>
        <w:spacing w:before="280" w:after="160"/>
      </w:pPr>
      <w:r>
        <w:rPr>
          <w:rFonts w:ascii="Arial" w:cs="Arial" w:eastAsia="Arial" w:hAnsi="Arial"/>
          <w:b/>
          <w:bCs/>
          <w:color w:val="2C4A7C"/>
          <w:sz w:val="28"/>
          <w:szCs w:val="28"/>
        </w:rPr>
        <w:t xml:space="preserve">4.4 Drift Signal Schema</w:t>
      </w:r>
    </w:p>
    <w:p>
      <w:pPr>
        <w:spacing w:after="120"/>
      </w:pPr>
      <w:r>
        <w:rPr>
          <w:rFonts w:ascii="Arial" w:cs="Arial" w:eastAsia="Arial" w:hAnsi="Arial"/>
          <w:sz w:val="22"/>
          <w:szCs w:val="22"/>
        </w:rPr>
        <w:t xml:space="preserve">Drift signals report changes in the autonomous system’s behavioral distribution relative to its certified baseline. The SDK’s embedded anomaly detection generates drift signals; the platform’s Drift Detection Engine performs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output_distribution, decision_pattern, latency_profile, error_rate, resource_consumption, confidence_distribution, fairness_metric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metric exhibiting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baseline_value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baseline distribution or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current_value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observed distribution or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Statistical method: kl_divergence, ks_test, psi, z_score, iqr,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drift_magnitude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Quantified magnitude of drift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window_start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Start of the observation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window_end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 of the observation window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sample_count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observations in the window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recommended_action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SDK-suggested response based on severity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4.5 Resource Utilization Schema</w:t>
      </w:r>
    </w:p>
    <w:p>
      <w:pPr>
        <w:spacing w:after="120"/>
      </w:pPr>
      <w:r>
        <w:rPr>
          <w:rFonts w:ascii="Arial" w:cs="Arial" w:eastAsia="Arial" w:hAnsi="Arial"/>
          <w:sz w:val="22"/>
          <w:szCs w:val="22"/>
        </w:rPr>
        <w:t xml:space="preserve">Resource utilization events track the autonomous system’s consumption of computational, API, and operational resources. These events support capacity planning, cost monitoring, and detection of resource-based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compute_cpu, compute_gpu, memory, storage, network_bandwidth, api_calls, llm_tokens, custom</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resource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current_usage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utilization value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Unit of measurement (percent, bytes, calls,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limit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Configured or allocated limit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utilization_pct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Percentage of limit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period_seconds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Measurement period duration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Trend: increasing, stable, decreasing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bl>
    <w:p>
      <w:pPr>
        <w:pStyle w:val="Heading2"/>
        <w:spacing w:before="280" w:after="160"/>
      </w:pPr>
      <w:r>
        <w:rPr>
          <w:rFonts w:ascii="Arial" w:cs="Arial" w:eastAsia="Arial" w:hAnsi="Arial"/>
          <w:b/>
          <w:bCs/>
          <w:color w:val="2C4A7C"/>
          <w:sz w:val="28"/>
          <w:szCs w:val="28"/>
        </w:rPr>
        <w:t xml:space="preserve">4.6 Privacy Event Schema (Domain 5)</w:t>
      </w:r>
    </w:p>
    <w:p>
      <w:pPr>
        <w:spacing w:after="120"/>
      </w:pPr>
      <w:r>
        <w:rPr>
          <w:rFonts w:ascii="Arial" w:cs="Arial" w:eastAsia="Arial" w:hAnsi="Arial"/>
          <w:sz w:val="22"/>
          <w:szCs w:val="22"/>
        </w:rPr>
        <w:t xml:space="preserve">Privacy events capture data handling activities relevant to Domain 5 (Data Privacy and Information Protection). These events enable continuous monitoring of PII handling, consent management, cross-tenant isolation, and data breach detection. The privacy event schema provides the telemetry foundation for demonstrating compliance with ACRs 5.01 through 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pii_detection, pii_redaction, consent_event, data_flow, cross_tenant_access, breach_signal, data_subject_request, retention_action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pii_direct, pii_indirect, sensitive_pii, proprietary, public, system_internal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detection_method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the privacy event was detected (e.g., NER model, regex, classification model)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pii_types_detected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Specific PII types found: name, email, ssn, address, phone, biometric, financial, health</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Response: redacted, masked, blocked, logged, escalated, permitted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data_flow_source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Source system or component of data flow</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data_flow_destination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Destination system or component of data flow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Tenant identifier for cross-tenant isolation events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state: granted, withdrawn, not_required, pending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breach_severity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classification: suspected, confirmed, contained, resolved</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data_subject_count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data subjects affected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regulation_reference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regulation (e.g., GDPR Art. 17, CCPA 1798.105)</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privacy event schema directly supports ACR-5.09 (PII detection and prevention), ACR-5.06 (consent management), ACR-5.10 (cross-tenant isolation), ACR-5.12 (telemetry sanitization), ACR-5.24 (breach detection), and ACR-5.04 (data flow mapping).</w:t>
      </w:r>
    </w:p>
    <w:p>
      <w:pPr>
        <w:pStyle w:val="Heading2"/>
        <w:spacing w:before="280" w:after="160"/>
      </w:pPr>
      <w:r>
        <w:rPr>
          <w:rFonts w:ascii="Arial" w:cs="Arial" w:eastAsia="Arial" w:hAnsi="Arial"/>
          <w:b/>
          <w:bCs/>
          <w:color w:val="2C4A7C"/>
          <w:sz w:val="28"/>
          <w:szCs w:val="28"/>
        </w:rPr>
        <w:t xml:space="preserve">4.7 Societal Impact Event Schema (Domain 13)</w:t>
      </w:r>
    </w:p>
    <w:p>
      <w:pPr>
        <w:spacing w:after="120"/>
      </w:pPr>
      <w:r>
        <w:rPr>
          <w:rFonts w:ascii="Arial" w:cs="Arial" w:eastAsia="Arial" w:hAnsi="Arial"/>
          <w:sz w:val="22"/>
          <w:szCs w:val="22"/>
        </w:rPr>
        <w:t xml:space="preserve">Societal impact events capture activities relevant to Domain 13 (Societal Impact and Responsible Deployment). These events enable continuous monitoring of content safety guardrails, bias and fairness metrics, CBRN/cyber safety controls, and hallucination detection. The societal impact event schema provides the telemetry foundation for demonstrating compliance with ACRs 13.01 through 13.22.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4560"/>
      </w:tblGrid>
      <w:tr>
        <w:trPr>
          <w:tblHeader/>
        </w:trPr>
        <w:tc>
          <w:tcPr>
            <w:tcW w:type="dxa" w:w="2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event identifier</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schema_version</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version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 time (UTC)</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Correlation ID to triggering action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societal_event_type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Type: content_safety_violation, bias_metric, cbrn_guardrail_trigger, cyber_guardrail_trigger, hallucination_detection, harmful_content_block, fairness_evaluation, deepfake_detection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risk_category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cbrn, cyber, harmful_content, bias_fairness, misinformation, manipulation, hate_speech, ip_violation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informational, warning, critical, emergency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Reference to specific guardrail or control that triggered</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input_context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Sanitized context of the triggering input (no raw content)</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action_taken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Response: blocked, modified, flagged, escalated, permitted_with_warning</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confidence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affected_population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Demographic or population group affected (for bias events)</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fairness_metric_name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Specific fairness metric (e.g., demographic_parity, equalized_odds)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fairness_metric_value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Measured fairness metric value</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fairness_threshold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Configured fairness threshold</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hallucination_type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factual_error, unsupported_claim, fabricated_citation, contradictory_output</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groundedness_score</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Degree to which output is grounded in source material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for tamper detection</w:t>
            </w:r>
          </w:p>
        </w:tc>
      </w:tr>
      <w:tr>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chain link</w:t>
            </w:r>
          </w:p>
        </w:tc>
      </w:tr>
    </w:tbl>
    <w:p>
      <w:pPr>
        <w:spacing w:after="120"/>
        <w:ind w:left="360" w:right="360"/>
      </w:pPr>
      <w:r>
        <w:rPr>
          <w:rFonts w:ascii="Arial" w:cs="Arial" w:eastAsia="Arial" w:hAnsi="Arial"/>
          <w:i/>
          <w:iCs/>
          <w:color w:val="555555"/>
          <w:sz w:val="22"/>
          <w:szCs w:val="22"/>
        </w:rPr>
        <w:t xml:space="preserve">ACR Alignment: The societal impact event schema directly supports ACR-13.01 (CBRN guardrails), ACR-13.02 (cyber guardrails), ACR-13.04 (harmful content safeguards), ACR-13.06 (hallucination detection), ACR-13.09 (hate speech controls), ACR-13.10 (bias monitoring), and ACR-13.08 (deepfake detection).</w:t>
      </w:r>
    </w:p>
    <w:p>
      <w:pPr>
        <w:pStyle w:val="Heading2"/>
        <w:spacing w:before="280" w:after="160"/>
      </w:pPr>
      <w:r>
        <w:rPr>
          <w:rFonts w:ascii="Arial" w:cs="Arial" w:eastAsia="Arial" w:hAnsi="Arial"/>
          <w:b/>
          <w:bCs/>
          <w:color w:val="2C4A7C"/>
          <w:sz w:val="28"/>
          <w:szCs w:val="28"/>
        </w:rPr>
        <w:t xml:space="preserve">4.8 Schema Versioning</w:t>
      </w:r>
    </w:p>
    <w:p>
      <w:pPr>
        <w:spacing w:after="120"/>
      </w:pPr>
      <w:r>
        <w:rPr>
          <w:rFonts w:ascii="Arial" w:cs="Arial" w:eastAsia="Arial" w:hAnsi="Arial"/>
          <w:sz w:val="22"/>
          <w:szCs w:val="22"/>
        </w:rPr>
        <w:t xml:space="preserve">All schemas follow semantic versioning (MAJOR.MINOR). Major version changes indicate backward-incompatible changes requiring SDK upgrades. Minor version changes add optional fields and are backward-compatible. The platform SHALL support at least the two most recent major versions concurrently during migration periods (minimum 6 months overlap).</w:t>
      </w:r>
    </w:p>
    <w:p>
      <w:pPr>
        <w:spacing w:after="120"/>
      </w:pPr>
      <w:r>
        <w:rPr>
          <w:rFonts w:ascii="Arial" w:cs="Arial" w:eastAsia="Arial" w:hAnsi="Arial"/>
          <w:sz w:val="22"/>
          <w:szCs w:val="22"/>
        </w:rPr>
        <w:t xml:space="preserve">Schema versions are declared per-event in the schema_version field. The SDK SHALL reject events with unrecognized schema versions and log validation errors locally.</w:t>
      </w:r>
    </w:p>
    <w:p>
      <w:r>
        <w:br w:type="page"/>
      </w:r>
    </w:p>
    <w:p>
      <w:pPr>
        <w:pStyle w:val="Heading1"/>
        <w:spacing w:before="360" w:after="200"/>
      </w:pPr>
      <w:r>
        <w:rPr>
          <w:rFonts w:ascii="Arial" w:cs="Arial" w:eastAsia="Arial" w:hAnsi="Arial"/>
          <w:b/>
          <w:bCs/>
          <w:color w:val="1B2A4A"/>
          <w:sz w:val="32"/>
          <w:szCs w:val="32"/>
        </w:rPr>
        <w:t xml:space="preserve">Article 5 — Self-Serve Agent Check-In Protocol</w:t>
      </w:r>
    </w:p>
    <w:p>
      <w:pPr>
        <w:pStyle w:val="Heading2"/>
        <w:spacing w:before="280" w:after="160"/>
      </w:pPr>
      <w:r>
        <w:rPr>
          <w:rFonts w:ascii="Arial" w:cs="Arial" w:eastAsia="Arial" w:hAnsi="Arial"/>
          <w:b/>
          <w:bCs/>
          <w:color w:val="2C4A7C"/>
          <w:sz w:val="28"/>
          <w:szCs w:val="28"/>
        </w:rPr>
        <w:t xml:space="preserve">5.1 Protocol Overview</w:t>
      </w:r>
    </w:p>
    <w:p>
      <w:pPr>
        <w:spacing w:after="120"/>
      </w:pPr>
      <w:r>
        <w:rPr>
          <w:rFonts w:ascii="Arial" w:cs="Arial" w:eastAsia="Arial" w:hAnsi="Arial"/>
          <w:sz w:val="22"/>
          <w:szCs w:val="22"/>
        </w:rPr>
        <w:t xml:space="preserve">The self-serve agent check-in protocol enables certified autonomous systems to proactively report their operational state to the ARA Platform. This shifts compliance from a model where humans chase evidence to one where systems demonstrate compliance continuously.</w:t>
      </w:r>
    </w:p>
    <w:p>
      <w:pPr>
        <w:spacing w:after="120"/>
      </w:pPr>
      <w:r>
        <w:rPr>
          <w:rFonts w:ascii="Arial" w:cs="Arial" w:eastAsia="Arial" w:hAnsi="Arial"/>
          <w:sz w:val="22"/>
          <w:szCs w:val="22"/>
        </w:rPr>
        <w:t xml:space="preserve">Check-in is not a simple heartbeat. It is a structured assertion of operational state, configuration integrity, and behavioral compliance that the platform validates against the system’s certified baseline.</w:t>
      </w:r>
    </w:p>
    <w:p>
      <w:pPr>
        <w:pStyle w:val="Heading2"/>
        <w:spacing w:before="280" w:after="160"/>
      </w:pPr>
      <w:r>
        <w:rPr>
          <w:rFonts w:ascii="Arial" w:cs="Arial" w:eastAsia="Arial" w:hAnsi="Arial"/>
          <w:b/>
          <w:bCs/>
          <w:color w:val="2C4A7C"/>
          <w:sz w:val="28"/>
          <w:szCs w:val="28"/>
        </w:rPr>
        <w:t xml:space="preserve">5.2 Check-In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Unique check-in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timestamp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time (UTC)</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certification reference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system_version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deployed system version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current system 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active model weights (ML/LLM systems)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operational_status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 operational, degraded, maintenance,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system_profile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Certified system profile: foundational, standard, advanced, comprehensive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uptime_seconds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Seconds since last restart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telemetry_status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health: events_buffered, last_successful_transmit, error_count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boundary status: violations_count, approaching_count, last_violation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drift status: active_warnings, active_criticals, last_detection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resource_summary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resource status: utilization by type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privacy_summary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Aggregate privacy status: pii_detections, redactions, active_breaches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societal_summary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societal impact: guardrail_triggers, bias_alerts, blocked_outputs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change_log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changes since last check-in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SHA-256 hash of the check-in payload</w:t>
            </w:r>
          </w:p>
        </w:tc>
      </w:tr>
    </w:tbl>
    <w:p>
      <w:pPr>
        <w:pStyle w:val="Heading2"/>
        <w:spacing w:before="280" w:after="160"/>
      </w:pPr>
      <w:r>
        <w:rPr>
          <w:rFonts w:ascii="Arial" w:cs="Arial" w:eastAsia="Arial" w:hAnsi="Arial"/>
          <w:b/>
          <w:bCs/>
          <w:color w:val="2C4A7C"/>
          <w:sz w:val="28"/>
          <w:szCs w:val="28"/>
        </w:rPr>
        <w:t xml:space="preserve">5.3 Check-In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Configurable (default: 5 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levels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check-in at fixed intervals. Minimum: 1 hour (Level 1), 15 minutes (Level 2), 5 minutes (Level 3).</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Event-Triggered</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material change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check-in triggered by configuration changes, model updates, version deployments, or boundary violations.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Streaming (embedded in telemetry)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state continuously maintained as metadata on the telemetry stream.</w:t>
            </w:r>
          </w:p>
        </w:tc>
      </w:tr>
    </w:tbl>
    <w:p>
      <w:pPr>
        <w:pStyle w:val="Heading2"/>
        <w:spacing w:before="280" w:after="160"/>
      </w:pPr>
      <w:r>
        <w:rPr>
          <w:rFonts w:ascii="Arial" w:cs="Arial" w:eastAsia="Arial" w:hAnsi="Arial"/>
          <w:b/>
          <w:bCs/>
          <w:color w:val="2C4A7C"/>
          <w:sz w:val="28"/>
          <w:szCs w:val="28"/>
        </w:rPr>
        <w:t xml:space="preserve">5.4 Health Status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Current status: active, warning, suspended, expired, revoked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compliance_score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(0-100)</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Current real-time compliance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 compliance issues requiring attention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directives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directives: revalidation_required, config_update_required, sdk_upgrade_required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next_reassessment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Scheduled reassessment date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revalidation_triggers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requiring revalidation based on detected changes</w:t>
            </w:r>
          </w:p>
        </w:tc>
      </w:tr>
    </w:tbl>
    <w:p>
      <w:pPr>
        <w:pStyle w:val="Heading2"/>
        <w:spacing w:before="280" w:after="160"/>
      </w:pPr>
      <w:r>
        <w:rPr>
          <w:rFonts w:ascii="Arial" w:cs="Arial" w:eastAsia="Arial" w:hAnsi="Arial"/>
          <w:b/>
          <w:bCs/>
          <w:color w:val="2C4A7C"/>
          <w:sz w:val="28"/>
          <w:szCs w:val="28"/>
        </w:rPr>
        <w:t xml:space="preserve">5.5 Revalidation Triggers</w:t>
      </w:r>
    </w:p>
    <w:p>
      <w:pPr>
        <w:spacing w:after="120"/>
      </w:pPr>
      <w:r>
        <w:rPr>
          <w:rFonts w:ascii="Arial" w:cs="Arial" w:eastAsia="Arial" w:hAnsi="Arial"/>
          <w:sz w:val="22"/>
          <w:szCs w:val="22"/>
        </w:rPr>
        <w:t xml:space="preserve">The platform MAY issue revalidation triggers in the check-in response when material changes are detected. Triggers specify which ACRs require re-evaluation and the deadline for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Revalidation Scope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Deadline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 change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version changed from 2.3.1 to 2.4.0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ACRs in domains affected by code changes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48 hours (Level 1), 24 hours (Level 2), 4 hours (Level 3)</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 change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widened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1 ACRs + affected behavioral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Model update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LLM fine-tuned or weights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Domains 2, 7, 8, 9 (Decision, Behavioral, Adversarial,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drift signal confirmed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ACRs in the drifting domain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(Level 3), 12 hours (Level 2), 48 hours (Level 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Operational boundary breached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 + relevant operational domain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incident</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exposure or breach detected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5 ACRs + affected operational domains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hours (all levels)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safety trigger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CBRN or bias guardrail failure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Domain 13 ACRs + Domain 2 (Decision Integrity)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Immediate (all levels)</w:t>
            </w:r>
          </w:p>
        </w:tc>
      </w:tr>
    </w:tbl>
    <w:p>
      <w:r>
        <w:br w:type="page"/>
      </w:r>
    </w:p>
    <w:p>
      <w:pPr>
        <w:pStyle w:val="Heading1"/>
        <w:spacing w:before="360" w:after="200"/>
      </w:pPr>
      <w:r>
        <w:rPr>
          <w:rFonts w:ascii="Arial" w:cs="Arial" w:eastAsia="Arial" w:hAnsi="Arial"/>
          <w:b/>
          <w:bCs/>
          <w:color w:val="1B2A4A"/>
          <w:sz w:val="32"/>
          <w:szCs w:val="32"/>
        </w:rPr>
        <w:t xml:space="preserve">Article 6 — Continuous Assurance Platform Integration</w:t>
      </w:r>
    </w:p>
    <w:p>
      <w:pPr>
        <w:pStyle w:val="Heading2"/>
        <w:spacing w:before="280" w:after="160"/>
      </w:pPr>
      <w:r>
        <w:rPr>
          <w:rFonts w:ascii="Arial" w:cs="Arial" w:eastAsia="Arial" w:hAnsi="Arial"/>
          <w:b/>
          <w:bCs/>
          <w:color w:val="2C4A7C"/>
          <w:sz w:val="28"/>
          <w:szCs w:val="28"/>
        </w:rPr>
        <w:t xml:space="preserve">6.1 Internal Integration</w:t>
      </w:r>
    </w:p>
    <w:p>
      <w:pPr>
        <w:spacing w:after="120"/>
      </w:pPr>
      <w:r>
        <w:rPr>
          <w:rFonts w:ascii="Arial" w:cs="Arial" w:eastAsia="Arial" w:hAnsi="Arial"/>
          <w:sz w:val="22"/>
          <w:szCs w:val="22"/>
        </w:rPr>
        <w:t xml:space="preserve">Internal integration connects the SDK directly to the autonomous system’s runtime environment. This is the standard integration pattern for single-organization deployments.</w:t>
      </w:r>
    </w:p>
    <w:p>
      <w:pPr>
        <w:spacing w:after="120"/>
      </w:pPr>
      <w:r>
        <w:rPr>
          <w:rFonts w:ascii="Arial" w:cs="Arial" w:eastAsia="Arial" w:hAnsi="Arial"/>
          <w:b/>
          <w:bCs/>
          <w:sz w:val="22"/>
          <w:szCs w:val="22"/>
        </w:rPr>
        <w:t xml:space="preserve">Connection Lifecycle: </w:t>
      </w:r>
      <w:r>
        <w:rPr>
          <w:rFonts w:ascii="Arial" w:cs="Arial" w:eastAsia="Arial" w:hAnsi="Arial"/>
          <w:sz w:val="22"/>
          <w:szCs w:val="22"/>
        </w:rPr>
        <w:t xml:space="preserve">The SDK establishes a persistent connection to the CAP upon system startup. This connection is maintained throughout the system’s operational lifetime. If the connection is interrupted, the SDK buffers events locally and reconnects automatically. The maximum buffer duration is configurable (default: 24 hours). Events exceeding the buffer duration are persisted to local storage with integrity hashes for later reconciliation.</w:t>
      </w:r>
    </w:p>
    <w:p>
      <w:pPr>
        <w:spacing w:after="120"/>
      </w:pPr>
      <w:r>
        <w:rPr>
          <w:rFonts w:ascii="Arial" w:cs="Arial" w:eastAsia="Arial" w:hAnsi="Arial"/>
          <w:b/>
          <w:bCs/>
          <w:sz w:val="22"/>
          <w:szCs w:val="22"/>
        </w:rPr>
        <w:t xml:space="preserve">Telemetry Channels: </w:t>
      </w:r>
      <w:r>
        <w:rPr>
          <w:rFonts w:ascii="Arial" w:cs="Arial" w:eastAsia="Arial" w:hAnsi="Arial"/>
          <w:sz w:val="22"/>
          <w:szCs w:val="22"/>
        </w:rPr>
        <w:t xml:space="preserve">Internal integration uses dedicated telemetry channels per event type (traces, decisions, boundaries, drift, resources, privacy, societal). Channels operate independently; failure on one channel does not affect others. Each channel maintains its own buffer, retry state, and acknowledgment tracking.</w:t>
      </w:r>
    </w:p>
    <w:p>
      <w:pPr>
        <w:spacing w:after="120"/>
      </w:pPr>
      <w:r>
        <w:rPr>
          <w:rFonts w:ascii="Arial" w:cs="Arial" w:eastAsia="Arial" w:hAnsi="Arial"/>
          <w:b/>
          <w:bCs/>
          <w:sz w:val="22"/>
          <w:szCs w:val="22"/>
        </w:rPr>
        <w:t xml:space="preserve">Platform Directives: </w:t>
      </w:r>
      <w:r>
        <w:rPr>
          <w:rFonts w:ascii="Arial" w:cs="Arial" w:eastAsia="Arial" w:hAnsi="Arial"/>
          <w:sz w:val="22"/>
          <w:szCs w:val="22"/>
        </w:rPr>
        <w:t xml:space="preserve">The CAP sends directives to the SDK via a reverse channel (gRPC server-streaming or WebSocket for REST). Directives include revalidation triggers, configuration update requests, schema migration notices, and emergency halt commands. The SDK SHALL process all directives within 30 seconds of receipt.</w:t>
      </w:r>
    </w:p>
    <w:p>
      <w:pPr>
        <w:pStyle w:val="Heading2"/>
        <w:spacing w:before="280" w:after="160"/>
      </w:pPr>
      <w:r>
        <w:rPr>
          <w:rFonts w:ascii="Arial" w:cs="Arial" w:eastAsia="Arial" w:hAnsi="Arial"/>
          <w:b/>
          <w:bCs/>
          <w:color w:val="2C4A7C"/>
          <w:sz w:val="28"/>
          <w:szCs w:val="28"/>
        </w:rPr>
        <w:t xml:space="preserve">6.2 Multi-Party Integration</w:t>
      </w:r>
    </w:p>
    <w:p>
      <w:pPr>
        <w:spacing w:after="120"/>
      </w:pPr>
      <w:r>
        <w:rPr>
          <w:rFonts w:ascii="Arial" w:cs="Arial" w:eastAsia="Arial" w:hAnsi="Arial"/>
          <w:sz w:val="22"/>
          <w:szCs w:val="22"/>
        </w:rPr>
        <w:t xml:space="preserve">Multi-party integration enables monitoring of autonomous systems operating across organizational boundaries. This is the integration pattern for settlement platforms, multi-agent orchestration, supply chain coordination, and cross-company exception resolution.</w:t>
      </w:r>
    </w:p>
    <w:p>
      <w:pPr>
        <w:spacing w:after="120"/>
      </w:pPr>
      <w:r>
        <w:rPr>
          <w:rFonts w:ascii="Arial" w:cs="Arial" w:eastAsia="Arial" w:hAnsi="Arial"/>
          <w:sz w:val="22"/>
          <w:szCs w:val="22"/>
        </w:rPr>
        <w:t xml:space="preserve">In multi-party mode, each organization deploys its own SDK instance connected to its autonomous system. The CAP provides a shared assurance layer that monitors the interaction boundary between parties without exposing proprietary operational data.</w:t>
      </w:r>
    </w:p>
    <w:p>
      <w:pPr>
        <w:spacing w:after="120"/>
      </w:pPr>
      <w:r>
        <w:rPr>
          <w:rFonts w:ascii="Arial" w:cs="Arial" w:eastAsia="Arial" w:hAnsi="Arial"/>
          <w:b/>
          <w:bCs/>
          <w:sz w:val="22"/>
          <w:szCs w:val="22"/>
        </w:rPr>
        <w:t xml:space="preserve">Data Isolation: </w:t>
      </w:r>
      <w:r>
        <w:rPr>
          <w:rFonts w:ascii="Arial" w:cs="Arial" w:eastAsia="Arial" w:hAnsi="Arial"/>
          <w:sz w:val="22"/>
          <w:szCs w:val="22"/>
        </w:rPr>
        <w:t xml:space="preserve">Each party’s internal telemetry is visible only to that party and the CAP’s compliance engine. No party can access another party’s raw telemetry.</w:t>
      </w:r>
    </w:p>
    <w:p>
      <w:pPr>
        <w:spacing w:after="120"/>
      </w:pPr>
      <w:r>
        <w:rPr>
          <w:rFonts w:ascii="Arial" w:cs="Arial" w:eastAsia="Arial" w:hAnsi="Arial"/>
          <w:b/>
          <w:bCs/>
          <w:sz w:val="22"/>
          <w:szCs w:val="22"/>
        </w:rPr>
        <w:t xml:space="preserve">Interaction Boundary Monitoring: </w:t>
      </w:r>
      <w:r>
        <w:rPr>
          <w:rFonts w:ascii="Arial" w:cs="Arial" w:eastAsia="Arial" w:hAnsi="Arial"/>
          <w:sz w:val="22"/>
          <w:szCs w:val="22"/>
        </w:rPr>
        <w:t xml:space="preserve">The CAP monitors the shared interaction surface (API calls between parties, shared data exchanges, coordinated decisions) and generates cross-party compliance signals.</w:t>
      </w:r>
    </w:p>
    <w:p>
      <w:pPr>
        <w:spacing w:after="120"/>
      </w:pPr>
      <w:r>
        <w:rPr>
          <w:rFonts w:ascii="Arial" w:cs="Arial" w:eastAsia="Arial" w:hAnsi="Arial"/>
          <w:b/>
          <w:bCs/>
          <w:sz w:val="22"/>
          <w:szCs w:val="22"/>
        </w:rPr>
        <w:t xml:space="preserve">Verified Compliance Signals: </w:t>
      </w:r>
      <w:r>
        <w:rPr>
          <w:rFonts w:ascii="Arial" w:cs="Arial" w:eastAsia="Arial" w:hAnsi="Arial"/>
          <w:sz w:val="22"/>
          <w:szCs w:val="22"/>
        </w:rPr>
        <w:t xml:space="preserve">Each party receives verified compliance signals about their counterparties’ certification status, boundary adherence, and behavioral reliability. These signals are cryptographically signed by the CAP.</w:t>
      </w:r>
    </w:p>
    <w:p>
      <w:pPr>
        <w:pStyle w:val="Heading2"/>
        <w:spacing w:before="280" w:after="160"/>
      </w:pPr>
      <w:r>
        <w:rPr>
          <w:rFonts w:ascii="Arial" w:cs="Arial" w:eastAsia="Arial" w:hAnsi="Arial"/>
          <w:b/>
          <w:bCs/>
          <w:color w:val="2C4A7C"/>
          <w:sz w:val="28"/>
          <w:szCs w:val="28"/>
        </w:rPr>
        <w:t xml:space="preserve">6.3 Telemetry Ingestion Pipeline</w:t>
      </w:r>
    </w:p>
    <w:p>
      <w:pPr>
        <w:spacing w:after="120"/>
      </w:pPr>
      <w:r>
        <w:rPr>
          <w:rFonts w:ascii="Arial" w:cs="Arial" w:eastAsia="Arial" w:hAnsi="Arial"/>
          <w:sz w:val="22"/>
          <w:szCs w:val="22"/>
        </w:rPr>
        <w:t xml:space="preserve">The CAP’s ingestion pipeline processes telemetry through the following stages:</w:t>
      </w:r>
    </w:p>
    <w:p>
      <w:pPr>
        <w:spacing w:after="120"/>
      </w:pPr>
      <w:r>
        <w:rPr>
          <w:rFonts w:ascii="Arial" w:cs="Arial" w:eastAsia="Arial" w:hAnsi="Arial"/>
          <w:b/>
          <w:bCs/>
          <w:sz w:val="22"/>
          <w:szCs w:val="22"/>
        </w:rPr>
        <w:t xml:space="preserve">1. Reception: </w:t>
      </w:r>
      <w:r>
        <w:rPr>
          <w:rFonts w:ascii="Arial" w:cs="Arial" w:eastAsia="Arial" w:hAnsi="Arial"/>
          <w:sz w:val="22"/>
          <w:szCs w:val="22"/>
        </w:rPr>
        <w:t xml:space="preserve">Events arrive via REST or gRPC endpoints. Load balancers distribute across ingestion nodes. Each event is assigned a platform-side receipt timestamp.</w:t>
      </w:r>
    </w:p>
    <w:p>
      <w:pPr>
        <w:spacing w:after="120"/>
      </w:pPr>
      <w:r>
        <w:rPr>
          <w:rFonts w:ascii="Arial" w:cs="Arial" w:eastAsia="Arial" w:hAnsi="Arial"/>
          <w:b/>
          <w:bCs/>
          <w:sz w:val="22"/>
          <w:szCs w:val="22"/>
        </w:rPr>
        <w:t xml:space="preserve">2. Validation: </w:t>
      </w:r>
      <w:r>
        <w:rPr>
          <w:rFonts w:ascii="Arial" w:cs="Arial" w:eastAsia="Arial" w:hAnsi="Arial"/>
          <w:sz w:val="22"/>
          <w:szCs w:val="22"/>
        </w:rPr>
        <w:t xml:space="preserve">Schema validation, integrity hash verification, and duplicate detection. Invalid events are rejected with diagnostic error codes.</w:t>
      </w:r>
    </w:p>
    <w:p>
      <w:pPr>
        <w:spacing w:after="120"/>
      </w:pPr>
      <w:r>
        <w:rPr>
          <w:rFonts w:ascii="Arial" w:cs="Arial" w:eastAsia="Arial" w:hAnsi="Arial"/>
          <w:b/>
          <w:bCs/>
          <w:sz w:val="22"/>
          <w:szCs w:val="22"/>
        </w:rPr>
        <w:t xml:space="preserve">3. Enrichment: </w:t>
      </w:r>
      <w:r>
        <w:rPr>
          <w:rFonts w:ascii="Arial" w:cs="Arial" w:eastAsia="Arial" w:hAnsi="Arial"/>
          <w:sz w:val="22"/>
          <w:szCs w:val="22"/>
        </w:rPr>
        <w:t xml:space="preserve">Events are enriched with platform metadata: system certification context, applicable ACR mappings, domain classification, risk weight, and enterprise risk dimension assignment.</w:t>
      </w:r>
    </w:p>
    <w:p>
      <w:pPr>
        <w:spacing w:after="120"/>
      </w:pPr>
      <w:r>
        <w:rPr>
          <w:rFonts w:ascii="Arial" w:cs="Arial" w:eastAsia="Arial" w:hAnsi="Arial"/>
          <w:b/>
          <w:bCs/>
          <w:sz w:val="22"/>
          <w:szCs w:val="22"/>
        </w:rPr>
        <w:t xml:space="preserve">4. Routing: </w:t>
      </w:r>
      <w:r>
        <w:rPr>
          <w:rFonts w:ascii="Arial" w:cs="Arial" w:eastAsia="Arial" w:hAnsi="Arial"/>
          <w:sz w:val="22"/>
          <w:szCs w:val="22"/>
        </w:rPr>
        <w:t xml:space="preserve">Enriched events are routed to downstream consumers: Drift Detection Engine, Scoring Engine, Alerting System, Insurance Data Feed, and archival storage. Routing is event-type-aware.</w:t>
      </w:r>
    </w:p>
    <w:p>
      <w:pPr>
        <w:spacing w:after="120"/>
      </w:pPr>
      <w:r>
        <w:rPr>
          <w:rFonts w:ascii="Arial" w:cs="Arial" w:eastAsia="Arial" w:hAnsi="Arial"/>
          <w:b/>
          <w:bCs/>
          <w:sz w:val="22"/>
          <w:szCs w:val="22"/>
        </w:rPr>
        <w:t xml:space="preserve">5. Storage: </w:t>
      </w:r>
      <w:r>
        <w:rPr>
          <w:rFonts w:ascii="Arial" w:cs="Arial" w:eastAsia="Arial" w:hAnsi="Arial"/>
          <w:sz w:val="22"/>
          <w:szCs w:val="22"/>
        </w:rPr>
        <w:t xml:space="preserve">Events are stored in tamper-evident, append-only storage with configurable retention periods (minimum: certification period + 2 years).</w:t>
      </w:r>
    </w:p>
    <w:p>
      <w:pPr>
        <w:pStyle w:val="Heading2"/>
        <w:spacing w:before="280" w:after="160"/>
      </w:pPr>
      <w:r>
        <w:rPr>
          <w:rFonts w:ascii="Arial" w:cs="Arial" w:eastAsia="Arial" w:hAnsi="Arial"/>
          <w:b/>
          <w:bCs/>
          <w:color w:val="2C4A7C"/>
          <w:sz w:val="28"/>
          <w:szCs w:val="28"/>
        </w:rPr>
        <w:t xml:space="preserve">6.4 Real-Time Alerting</w:t>
      </w:r>
    </w:p>
    <w:p>
      <w:pPr>
        <w:spacing w:after="120"/>
      </w:pPr>
      <w:r>
        <w:rPr>
          <w:rFonts w:ascii="Arial" w:cs="Arial" w:eastAsia="Arial" w:hAnsi="Arial"/>
          <w:sz w:val="22"/>
          <w:szCs w:val="22"/>
        </w:rPr>
        <w:t xml:space="preserve">The CAP generates real-time alerts based on telemetry analysis. Alerts are classified by severity and routed to configured 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Examples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Response</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Informational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(informational severity), resource utilization &gt;70%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Logged, no action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only</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 (warning severity), boundary approaching, check-in overdue, fairness metric approaching threshold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score reduction, investigation recommended</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Critical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(critical severity), boundary violation, blocking ACR failure, CBRN guardrail trigger, PII breach detected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 downgraded to 'warning', revalidation required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Dashboard + email + webhook</w:t>
            </w:r>
          </w:p>
        </w:tc>
      </w:tr>
      <w:tr>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Multiple boundary violations, system halt failure, tamper detection, confirmed data breach, repeated CBRN bypass attempts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suspended pending investigation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Dashboard + email + webhook + SMS</w:t>
            </w:r>
          </w:p>
        </w:tc>
      </w:tr>
    </w:tbl>
    <w:p>
      <w:pPr>
        <w:pStyle w:val="Heading2"/>
        <w:spacing w:before="280" w:after="160"/>
      </w:pPr>
      <w:r>
        <w:rPr>
          <w:rFonts w:ascii="Arial" w:cs="Arial" w:eastAsia="Arial" w:hAnsi="Arial"/>
          <w:b/>
          <w:bCs/>
          <w:color w:val="2C4A7C"/>
          <w:sz w:val="28"/>
          <w:szCs w:val="28"/>
        </w:rPr>
        <w:t xml:space="preserve">6.5 Compliance Dashboard Data Feeds</w:t>
      </w:r>
    </w:p>
    <w:p>
      <w:pPr>
        <w:spacing w:after="120"/>
      </w:pPr>
      <w:r>
        <w:rPr>
          <w:rFonts w:ascii="Arial" w:cs="Arial" w:eastAsia="Arial" w:hAnsi="Arial"/>
          <w:sz w:val="22"/>
          <w:szCs w:val="22"/>
        </w:rPr>
        <w:t xml:space="preserve">The SDK and CAP together provide data feeds for the real-time compliance dashboard. The dashboard is accessible to system operators, management, AVBs, and auditors (with role-based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Feed</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compliance score, active issues, certification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(sub-second)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Per-domain compliance scores with trend indicators (15 domains)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5 minutes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Individual ACR pass/fail/conditional status (398 ACRs)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Indicators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signals with magnitude and severity</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Status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proximity and violation history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Events</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rate, redaction coverage, breach status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Guardrail trigger rate, bias metrics, content safety status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Health</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connectivity, buffer status, event throughput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60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Insurance Feed</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Risk-relevant event summary for insurer consumption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Audit Trail</w:t>
            </w:r>
          </w:p>
        </w:tc>
        <w:tc>
          <w:tcPr>
            <w:tcW w:type="dxa" w:w="4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decisions, revalidation history, human reviews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w:t>
            </w:r>
          </w:p>
        </w:tc>
      </w:tr>
    </w:tbl>
    <w:p>
      <w:pPr>
        <w:pStyle w:val="Heading2"/>
        <w:spacing w:before="280" w:after="160"/>
      </w:pPr>
      <w:r>
        <w:rPr>
          <w:rFonts w:ascii="Arial" w:cs="Arial" w:eastAsia="Arial" w:hAnsi="Arial"/>
          <w:b/>
          <w:bCs/>
          <w:color w:val="2C4A7C"/>
          <w:sz w:val="28"/>
          <w:szCs w:val="28"/>
        </w:rPr>
        <w:t xml:space="preserve">6.6 Insurance Data Feed Specification</w:t>
      </w:r>
    </w:p>
    <w:p>
      <w:pPr>
        <w:spacing w:after="120"/>
      </w:pPr>
      <w:r>
        <w:rPr>
          <w:rFonts w:ascii="Arial" w:cs="Arial" w:eastAsia="Arial" w:hAnsi="Arial"/>
          <w:sz w:val="22"/>
          <w:szCs w:val="22"/>
        </w:rPr>
        <w:t xml:space="preserve">The insurance data feed provides a standardized interface for sharing real-time certification health signals with partner insurers. This enables insurance providers to incorporate autonomous system reliability data into underwriting, continuous monitoring, and claims processing.</w:t>
      </w:r>
    </w:p>
    <w:p>
      <w:pPr>
        <w:pStyle w:val="Heading3"/>
        <w:spacing w:before="200" w:after="120"/>
      </w:pPr>
      <w:r>
        <w:rPr>
          <w:rFonts w:ascii="Arial" w:cs="Arial" w:eastAsia="Arial" w:hAnsi="Arial"/>
          <w:b/>
          <w:bCs/>
          <w:color w:val="2C4A7C"/>
          <w:sz w:val="24"/>
          <w:szCs w:val="24"/>
        </w:rPr>
        <w:t xml:space="preserve">6.6.1 Feed Architecture</w:t>
      </w:r>
    </w:p>
    <w:p>
      <w:pPr>
        <w:spacing w:after="120"/>
      </w:pPr>
      <w:r>
        <w:rPr>
          <w:rFonts w:ascii="Arial" w:cs="Arial" w:eastAsia="Arial" w:hAnsi="Arial"/>
          <w:sz w:val="22"/>
          <w:szCs w:val="22"/>
        </w:rPr>
        <w:t xml:space="preserve">The insurance data feed operates as a read-only, pull-based API endpoint. Authorized insurance partners receive API credentials scoped exclusively to the insurance feed for their insured systems. The feed provides aggregated risk signals derived from telemetry analysis; raw telemetry data is never exposed to insurance partners.</w:t>
      </w:r>
    </w:p>
    <w:p>
      <w:pPr>
        <w:pStyle w:val="Heading3"/>
        <w:spacing w:before="200" w:after="120"/>
      </w:pPr>
      <w:r>
        <w:rPr>
          <w:rFonts w:ascii="Arial" w:cs="Arial" w:eastAsia="Arial" w:hAnsi="Arial"/>
          <w:b/>
          <w:bCs/>
          <w:color w:val="2C4A7C"/>
          <w:sz w:val="24"/>
          <w:szCs w:val="24"/>
        </w:rPr>
        <w:t xml:space="preserve">6.6.2 Insurance Event Taxonomy</w:t>
      </w:r>
    </w:p>
    <w:p>
      <w:pPr>
        <w:spacing w:after="120"/>
      </w:pPr>
      <w:r>
        <w:rPr>
          <w:rFonts w:ascii="Arial" w:cs="Arial" w:eastAsia="Arial" w:hAnsi="Arial"/>
          <w:sz w:val="22"/>
          <w:szCs w:val="22"/>
        </w:rPr>
        <w:t xml:space="preserve">The insurance data feed classifies events into a standardized risk-relevant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Signal</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Fields</w:t>
            </w:r>
          </w:p>
        </w:tc>
        <w:tc>
          <w:tcPr>
            <w:tcW w:type="dxa" w:w="2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Update Frequency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Overall certification status and compliance score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certification_status, compliance_score, system_profile, certification_level, days_since_certification, revalidation_count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Incidents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Operational boundary violations and near-misses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incident_count, violation_severity_distribution, mean_time_to_recovery, boundary_type_distribution</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Behavioral drift from certified baseline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active_drift_count, severity_distribution, drift_domains, mean_drift_magnitude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uptime and degradation history</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uptime_pct_30d, degradation_incidents, mean_time_between_failures, planned_maintenance_hours</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Hourly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Incidents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events and breach signals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pii_detection_rate, breach_count, breach_severity, data_subject_impact_count, mean_time_to_containment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 event (batched every 15 min)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Safety</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and fairness events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guardrail_trigger_rate, cbrn_block_count, bias_alert_count, hallucination_rate, content_block_rate</w:t>
            </w:r>
          </w:p>
        </w:tc>
        <w:tc>
          <w:tcPr>
            <w:tcW w:type="dxa" w:w="2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Every 15 minutes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History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 triggers and outcomes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revalidation_count_90d, pass_rate, mean_time_to_revalidate, failure_domains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Daily</w:t>
            </w:r>
          </w:p>
        </w:tc>
      </w:tr>
    </w:tbl>
    <w:p>
      <w:pPr>
        <w:pStyle w:val="Heading3"/>
        <w:spacing w:before="200" w:after="120"/>
      </w:pPr>
      <w:r>
        <w:rPr>
          <w:rFonts w:ascii="Arial" w:cs="Arial" w:eastAsia="Arial" w:hAnsi="Arial"/>
          <w:b/>
          <w:bCs/>
          <w:color w:val="2C4A7C"/>
          <w:sz w:val="24"/>
          <w:szCs w:val="24"/>
        </w:rPr>
        <w:t xml:space="preserve">6.6.3 Claims-Relevant Incident Data</w:t>
      </w:r>
    </w:p>
    <w:p>
      <w:pPr>
        <w:spacing w:after="120"/>
      </w:pPr>
      <w:r>
        <w:rPr>
          <w:rFonts w:ascii="Arial" w:cs="Arial" w:eastAsia="Arial" w:hAnsi="Arial"/>
          <w:sz w:val="22"/>
          <w:szCs w:val="22"/>
        </w:rPr>
        <w:t xml:space="preserve">When an insured system experiences an incident that may give rise to a claim, the insurance data feed provides enhanced incident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Globally unique incident identifier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detection time (UTC)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incident_type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Type: boundary_violation, certification_suspension, data_breach, system_failure, societal_harm_event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minor, moderate, major, critical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affected_domains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List of ARA domains involved in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affected_acrs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List of specific ACRs that were non-compliant at incident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system_state_at_incident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Snapshot of compliance scores, active drift signals, and boundary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root_cause_classification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Preliminary root cause: model_drift, config_error, adversarial_attack, operational_failure, privacy_breach, content_safety_failure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mitigation_actions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Actions taken to contain and resolve the incident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resolution_timestamp</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(ISO 8601)</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Incident resolution time (if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human_review_status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Status: pending, in_progress, completed, waived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certification_impact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Impact on certification: none, warning_issued, suspended, revoked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integrity_hash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the incident record for tamper detection</w:t>
            </w:r>
          </w:p>
        </w:tc>
      </w:tr>
    </w:tbl>
    <w:p>
      <w:pPr>
        <w:pStyle w:val="Heading3"/>
        <w:spacing w:before="200" w:after="120"/>
      </w:pPr>
      <w:r>
        <w:rPr>
          <w:rFonts w:ascii="Arial" w:cs="Arial" w:eastAsia="Arial" w:hAnsi="Arial"/>
          <w:b/>
          <w:bCs/>
          <w:color w:val="2C4A7C"/>
          <w:sz w:val="24"/>
          <w:szCs w:val="24"/>
        </w:rPr>
        <w:t xml:space="preserve">6.6.4 Insurance API Authentication</w:t>
      </w:r>
    </w:p>
    <w:p>
      <w:pPr>
        <w:spacing w:after="120"/>
      </w:pPr>
      <w:r>
        <w:rPr>
          <w:rFonts w:ascii="Arial" w:cs="Arial" w:eastAsia="Arial" w:hAnsi="Arial"/>
          <w:sz w:val="22"/>
          <w:szCs w:val="22"/>
        </w:rPr>
        <w:t xml:space="preserve">Insurance partners authenticate using dedicated API credentials separate from system SDK credentials. Insurance credentials are issued by ARAF upon execution of an insurance data sharing agreement between the system operator and the insurance partner. Credentials are read-only, scoped to specific insured systems, and expire annually (renewable). All insurance API access is logged in the system’s audit trail.</w:t>
      </w:r>
    </w:p>
    <w:p>
      <w:pPr>
        <w:pStyle w:val="Heading3"/>
        <w:spacing w:before="200" w:after="120"/>
      </w:pPr>
      <w:r>
        <w:rPr>
          <w:rFonts w:ascii="Arial" w:cs="Arial" w:eastAsia="Arial" w:hAnsi="Arial"/>
          <w:b/>
          <w:bCs/>
          <w:color w:val="2C4A7C"/>
          <w:sz w:val="24"/>
          <w:szCs w:val="24"/>
        </w:rPr>
        <w:t xml:space="preserve">6.6.5 Standardized Export Format</w:t>
      </w:r>
    </w:p>
    <w:p>
      <w:pPr>
        <w:spacing w:after="120"/>
      </w:pPr>
      <w:r>
        <w:rPr>
          <w:rFonts w:ascii="Arial" w:cs="Arial" w:eastAsia="Arial" w:hAnsi="Arial"/>
          <w:sz w:val="22"/>
          <w:szCs w:val="22"/>
        </w:rPr>
        <w:t xml:space="preserve">The insurance data feed supports two export formats:</w:t>
      </w:r>
    </w:p>
    <w:p>
      <w:pPr>
        <w:spacing w:after="120"/>
      </w:pPr>
      <w:r>
        <w:rPr>
          <w:rFonts w:ascii="Arial" w:cs="Arial" w:eastAsia="Arial" w:hAnsi="Arial"/>
          <w:b/>
          <w:bCs/>
          <w:sz w:val="22"/>
          <w:szCs w:val="22"/>
        </w:rPr>
        <w:t xml:space="preserve">JSON API: </w:t>
      </w:r>
      <w:r>
        <w:rPr>
          <w:rFonts w:ascii="Arial" w:cs="Arial" w:eastAsia="Arial" w:hAnsi="Arial"/>
          <w:sz w:val="22"/>
          <w:szCs w:val="22"/>
        </w:rPr>
        <w:t xml:space="preserve">Real-time pull-based API returning JSON responses conforming to the schemas above. Supports filtering by date range, event category, and severity.</w:t>
      </w:r>
    </w:p>
    <w:p>
      <w:pPr>
        <w:spacing w:after="120"/>
      </w:pPr>
      <w:r>
        <w:rPr>
          <w:rFonts w:ascii="Arial" w:cs="Arial" w:eastAsia="Arial" w:hAnsi="Arial"/>
          <w:b/>
          <w:bCs/>
          <w:sz w:val="22"/>
          <w:szCs w:val="22"/>
        </w:rPr>
        <w:t xml:space="preserve">CSV Batch Export: </w:t>
      </w:r>
      <w:r>
        <w:rPr>
          <w:rFonts w:ascii="Arial" w:cs="Arial" w:eastAsia="Arial" w:hAnsi="Arial"/>
          <w:sz w:val="22"/>
          <w:szCs w:val="22"/>
        </w:rPr>
        <w:t xml:space="preserve">Periodic batch export (daily, weekly, monthly) in CSV format for integration with insurance data warehouses and actuarial systems. Exports include all events within the specified period with full field coverage.</w:t>
      </w:r>
    </w:p>
    <w:p>
      <w:pPr>
        <w:spacing w:after="120"/>
      </w:pPr>
      <w:r>
        <w:rPr>
          <w:rFonts w:ascii="Arial" w:cs="Arial" w:eastAsia="Arial" w:hAnsi="Arial"/>
          <w:sz w:val="22"/>
          <w:szCs w:val="22"/>
        </w:rPr>
        <w:t xml:space="preserve">Both formats include the system’s current certification snapshot (status, level, profile, compliance score, active issues) as header metadata.</w:t>
      </w:r>
    </w:p>
    <w:p>
      <w:r>
        <w:br w:type="page"/>
      </w:r>
    </w:p>
    <w:p>
      <w:pPr>
        <w:pStyle w:val="Heading1"/>
        <w:spacing w:before="360" w:after="200"/>
      </w:pPr>
      <w:r>
        <w:rPr>
          <w:rFonts w:ascii="Arial" w:cs="Arial" w:eastAsia="Arial" w:hAnsi="Arial"/>
          <w:b/>
          <w:bCs/>
          <w:color w:val="1B2A4A"/>
          <w:sz w:val="32"/>
          <w:szCs w:val="32"/>
        </w:rPr>
        <w:t xml:space="preserve">Article 7 — Security and Access Controls</w:t>
      </w:r>
    </w:p>
    <w:p>
      <w:pPr>
        <w:pStyle w:val="Heading2"/>
        <w:spacing w:before="280" w:after="160"/>
      </w:pPr>
      <w:r>
        <w:rPr>
          <w:rFonts w:ascii="Arial" w:cs="Arial" w:eastAsia="Arial" w:hAnsi="Arial"/>
          <w:b/>
          <w:bCs/>
          <w:color w:val="2C4A7C"/>
          <w:sz w:val="28"/>
          <w:szCs w:val="28"/>
        </w:rPr>
        <w:t xml:space="preserve">7.1 Authentication</w:t>
      </w:r>
    </w:p>
    <w:p>
      <w:pPr>
        <w:spacing w:after="120"/>
      </w:pPr>
      <w:r>
        <w:rPr>
          <w:rFonts w:ascii="Arial" w:cs="Arial" w:eastAsia="Arial" w:hAnsi="Arial"/>
          <w:sz w:val="22"/>
          <w:szCs w:val="22"/>
        </w:rPr>
        <w:t xml:space="preserve">The SDK authenticates to the ARA Platform using JSON Web Tokens (JWT) issued during system registration. Authentication requirements vary by certification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1 Foundation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2 Operational</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 3 Continuous Assurance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 +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Token expiration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 hour (configurable)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 minutes (configurable)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 minutes (non-configurable)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Token refresh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(background)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Automatic with key rotation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Key algorithm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RS256 or ES256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ES256 with HSM-backed keys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certificate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required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 (mTLS)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IP allowlisting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Recommended</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r>
    </w:tbl>
    <w:p>
      <w:pPr>
        <w:pStyle w:val="Heading2"/>
        <w:spacing w:before="280" w:after="160"/>
      </w:pPr>
      <w:r>
        <w:rPr>
          <w:rFonts w:ascii="Arial" w:cs="Arial" w:eastAsia="Arial" w:hAnsi="Arial"/>
          <w:b/>
          <w:bCs/>
          <w:color w:val="2C4A7C"/>
          <w:sz w:val="28"/>
          <w:szCs w:val="28"/>
        </w:rPr>
        <w:t xml:space="preserve">7.2 Authorization Model</w:t>
      </w:r>
    </w:p>
    <w:p>
      <w:pPr>
        <w:spacing w:after="120"/>
      </w:pPr>
      <w:r>
        <w:rPr>
          <w:rFonts w:ascii="Arial" w:cs="Arial" w:eastAsia="Arial" w:hAnsi="Arial"/>
          <w:sz w:val="22"/>
          <w:szCs w:val="22"/>
        </w:rPr>
        <w:t xml:space="preserve">SDK credentials are scoped to a single registered system with write-only permissions. The authorization model enforces the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500"/>
        <w:gridCol w:w="17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Credential</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Operator</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AVB Auditor</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ARAF Admin</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Insurance Partner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own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Read other systems'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 (with cause)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Modify telemetry</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 (append-only)</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Delete telemetry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 (retention-bound)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View compliance dashboard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 (during eval)</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Issue revalidation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Read insurance data feed</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r>
    </w:tbl>
    <w:p>
      <w:pPr>
        <w:pStyle w:val="Heading2"/>
        <w:spacing w:before="280" w:after="160"/>
      </w:pPr>
      <w:r>
        <w:rPr>
          <w:rFonts w:ascii="Arial" w:cs="Arial" w:eastAsia="Arial" w:hAnsi="Arial"/>
          <w:b/>
          <w:bCs/>
          <w:color w:val="2C4A7C"/>
          <w:sz w:val="28"/>
          <w:szCs w:val="28"/>
        </w:rPr>
        <w:t xml:space="preserve">7.3 Encryption</w:t>
      </w:r>
    </w:p>
    <w:p>
      <w:pPr>
        <w:spacing w:after="120"/>
      </w:pPr>
      <w:r>
        <w:rPr>
          <w:rFonts w:ascii="Arial" w:cs="Arial" w:eastAsia="Arial" w:hAnsi="Arial"/>
          <w:b/>
          <w:bCs/>
          <w:sz w:val="22"/>
          <w:szCs w:val="22"/>
        </w:rPr>
        <w:t xml:space="preserve">In Transit: </w:t>
      </w:r>
      <w:r>
        <w:rPr>
          <w:rFonts w:ascii="Arial" w:cs="Arial" w:eastAsia="Arial" w:hAnsi="Arial"/>
          <w:sz w:val="22"/>
          <w:szCs w:val="22"/>
        </w:rPr>
        <w:t xml:space="preserve">All telemetry data SHALL be encrypted using TLS 1.3. The SDK SHALL reject connections that negotiate lower TLS versions. For gRPC, ALPN negotiation for HTTP/2 over TLS is mandatory. Cipher suites are restricted to AEAD constructions (AES-256-GCM, ChaCha20-Poly1305).</w:t>
      </w:r>
    </w:p>
    <w:p>
      <w:pPr>
        <w:spacing w:after="120"/>
      </w:pPr>
      <w:r>
        <w:rPr>
          <w:rFonts w:ascii="Arial" w:cs="Arial" w:eastAsia="Arial" w:hAnsi="Arial"/>
          <w:b/>
          <w:bCs/>
          <w:sz w:val="22"/>
          <w:szCs w:val="22"/>
        </w:rPr>
        <w:t xml:space="preserve">At Rest: </w:t>
      </w:r>
      <w:r>
        <w:rPr>
          <w:rFonts w:ascii="Arial" w:cs="Arial" w:eastAsia="Arial" w:hAnsi="Arial"/>
          <w:sz w:val="22"/>
          <w:szCs w:val="22"/>
        </w:rPr>
        <w:t xml:space="preserve">Telemetry stored in the platform’s archival layer is encrypted using AES-256-GCM with keys managed through the platform’s key management service. Encryption keys are rotated quarterly (minimum) and on-demand after security incidents.</w:t>
      </w:r>
    </w:p>
    <w:p>
      <w:pPr>
        <w:spacing w:after="120"/>
      </w:pPr>
      <w:r>
        <w:rPr>
          <w:rFonts w:ascii="Arial" w:cs="Arial" w:eastAsia="Arial" w:hAnsi="Arial"/>
          <w:b/>
          <w:bCs/>
          <w:sz w:val="22"/>
          <w:szCs w:val="22"/>
        </w:rPr>
        <w:t xml:space="preserve">Local Buffer: </w:t>
      </w:r>
      <w:r>
        <w:rPr>
          <w:rFonts w:ascii="Arial" w:cs="Arial" w:eastAsia="Arial" w:hAnsi="Arial"/>
          <w:sz w:val="22"/>
          <w:szCs w:val="22"/>
        </w:rPr>
        <w:t xml:space="preserve">The SDK’s local event buffer SHALL be encrypted at rest using a key derived from the system’s registration credentials. Buffer encryption uses AES-256-GCM. If the system terminates abnormally, the encrypted buffer persists and is reconciled on restart.</w:t>
      </w:r>
    </w:p>
    <w:p>
      <w:pPr>
        <w:pStyle w:val="Heading2"/>
        <w:spacing w:before="280" w:after="160"/>
      </w:pPr>
      <w:r>
        <w:rPr>
          <w:rFonts w:ascii="Arial" w:cs="Arial" w:eastAsia="Arial" w:hAnsi="Arial"/>
          <w:b/>
          <w:bCs/>
          <w:color w:val="2C4A7C"/>
          <w:sz w:val="28"/>
          <w:szCs w:val="28"/>
        </w:rPr>
        <w:t xml:space="preserve">7.4 Telemetry Data Integrity</w:t>
      </w:r>
    </w:p>
    <w:p>
      <w:pPr>
        <w:spacing w:after="120"/>
      </w:pPr>
      <w:r>
        <w:rPr>
          <w:rFonts w:ascii="Arial" w:cs="Arial" w:eastAsia="Arial" w:hAnsi="Arial"/>
          <w:sz w:val="22"/>
          <w:szCs w:val="22"/>
        </w:rPr>
        <w:t xml:space="preserve">Every telemetry event includes two integrity fields:</w:t>
      </w:r>
    </w:p>
    <w:p>
      <w:pPr>
        <w:spacing w:after="120"/>
      </w:pPr>
      <w:r>
        <w:rPr>
          <w:rFonts w:ascii="Arial" w:cs="Arial" w:eastAsia="Arial" w:hAnsi="Arial"/>
          <w:b/>
          <w:bCs/>
          <w:sz w:val="22"/>
          <w:szCs w:val="22"/>
        </w:rPr>
        <w:t xml:space="preserve">integrity_hash: </w:t>
      </w:r>
      <w:r>
        <w:rPr>
          <w:rFonts w:ascii="Arial" w:cs="Arial" w:eastAsia="Arial" w:hAnsi="Arial"/>
          <w:sz w:val="22"/>
          <w:szCs w:val="22"/>
        </w:rPr>
        <w:t xml:space="preserve">SHA-256 hash computed over the event payload (excluding the integrity_hash and chain_hash fields themselves). This enables detection of individual event tampering.</w:t>
      </w:r>
    </w:p>
    <w:p>
      <w:pPr>
        <w:spacing w:after="120"/>
      </w:pPr>
      <w:r>
        <w:rPr>
          <w:rFonts w:ascii="Arial" w:cs="Arial" w:eastAsia="Arial" w:hAnsi="Arial"/>
          <w:b/>
          <w:bCs/>
          <w:sz w:val="22"/>
          <w:szCs w:val="22"/>
        </w:rPr>
        <w:t xml:space="preserve">chain_hash: </w:t>
      </w:r>
      <w:r>
        <w:rPr>
          <w:rFonts w:ascii="Arial" w:cs="Arial" w:eastAsia="Arial" w:hAnsi="Arial"/>
          <w:sz w:val="22"/>
          <w:szCs w:val="22"/>
        </w:rPr>
        <w:t xml:space="preserve">SHA-256 hash computed over the concatenation of the current event’s integrity_hash and the previous event’s chain_hash. This creates a sequential hash chain that makes insertion, deletion, or reordering of events detectable.</w:t>
      </w:r>
    </w:p>
    <w:p>
      <w:pPr>
        <w:spacing w:after="120"/>
      </w:pPr>
      <w:r>
        <w:rPr>
          <w:rFonts w:ascii="Arial" w:cs="Arial" w:eastAsia="Arial" w:hAnsi="Arial"/>
          <w:sz w:val="22"/>
          <w:szCs w:val="22"/>
        </w:rPr>
        <w:t xml:space="preserve">The platform independently verifies both hashes upon ingestion. Hash verification failures are logged as security events and trigger immediate investigation. Systems with persistent hash verification failures will have their certification suspended.</w:t>
      </w:r>
    </w:p>
    <w:p>
      <w:pPr>
        <w:spacing w:after="120"/>
      </w:pPr>
      <w:r>
        <w:rPr>
          <w:rFonts w:ascii="Arial" w:cs="Arial" w:eastAsia="Arial" w:hAnsi="Arial"/>
          <w:b/>
          <w:bCs/>
          <w:sz w:val="22"/>
          <w:szCs w:val="22"/>
        </w:rPr>
        <w:t xml:space="preserve">Data Redaction: </w:t>
      </w:r>
      <w:r>
        <w:rPr>
          <w:rFonts w:ascii="Arial" w:cs="Arial" w:eastAsia="Arial" w:hAnsi="Arial"/>
          <w:sz w:val="22"/>
          <w:szCs w:val="22"/>
        </w:rPr>
        <w:t xml:space="preserve">Certain telemetry fields may contain sensitive information (PII, credentials, proprietary business logic). The SDK provides configurable redaction rules that hash or mask sensitive field values before transmission. Redaction is applied at capture time and is irreversible. Redaction rules SHALL be documented in the system’s certification evidence.</w:t>
      </w:r>
    </w:p>
    <w:p>
      <w:pPr>
        <w:pStyle w:val="Heading2"/>
        <w:spacing w:before="280" w:after="160"/>
      </w:pPr>
      <w:r>
        <w:rPr>
          <w:rFonts w:ascii="Arial" w:cs="Arial" w:eastAsia="Arial" w:hAnsi="Arial"/>
          <w:b/>
          <w:bCs/>
          <w:color w:val="2C4A7C"/>
          <w:sz w:val="28"/>
          <w:szCs w:val="28"/>
        </w:rPr>
        <w:t xml:space="preserve">7.5 Privacy-Preserving Telemetry Modes</w:t>
      </w:r>
    </w:p>
    <w:p>
      <w:pPr>
        <w:spacing w:after="120"/>
      </w:pPr>
      <w:r>
        <w:rPr>
          <w:rFonts w:ascii="Arial" w:cs="Arial" w:eastAsia="Arial" w:hAnsi="Arial"/>
          <w:sz w:val="22"/>
          <w:szCs w:val="22"/>
        </w:rPr>
        <w:t xml:space="preserve">The SDK provides three privacy-preserving telemetry modes that enable organizations to maintain ARA compliance while meeting stringent data privacy requirements. These modes are configured per-system and can be combined.</w:t>
      </w:r>
    </w:p>
    <w:p>
      <w:pPr>
        <w:pStyle w:val="Heading3"/>
        <w:spacing w:before="200" w:after="120"/>
      </w:pPr>
      <w:r>
        <w:rPr>
          <w:rFonts w:ascii="Arial" w:cs="Arial" w:eastAsia="Arial" w:hAnsi="Arial"/>
          <w:b/>
          <w:bCs/>
          <w:color w:val="2C4A7C"/>
          <w:sz w:val="24"/>
          <w:szCs w:val="24"/>
        </w:rPr>
        <w:t xml:space="preserve">7.5.1 Data Minimization Mode</w:t>
      </w:r>
    </w:p>
    <w:p>
      <w:pPr>
        <w:spacing w:after="120"/>
      </w:pPr>
      <w:r>
        <w:rPr>
          <w:rFonts w:ascii="Arial" w:cs="Arial" w:eastAsia="Arial" w:hAnsi="Arial"/>
          <w:sz w:val="22"/>
          <w:szCs w:val="22"/>
        </w:rPr>
        <w:t xml:space="preserve">When enabled, the SDK automatically strips all optional fields from telemetry events, transmitting only the minimum required fields per schema. Input and output context objects are replaced with structural summaries (field counts, data types, size) rather than actual content. This mode reduces the risk of inadvertent sensitive data transmission while maintaining compliance with all mandatory ACR monitoring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w:t>
            </w:r>
          </w:p>
        </w:tc>
        <w:tc>
          <w:tcPr>
            <w:tcW w:type="dxa" w:w="4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ARA_SDK_PRIVACY_MINIMIZATION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Strip all optional fields; replace content with structural summaries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ARA_SDK_PRIVACY_MINIMIZATION_LEVEL</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 strict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 retain optional metadata fields. Strict: mandatory fields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ARA_SDK_PRIVACY_INPUT_REDACTION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How input context is handled: hash (SHA-256), summary (structure only), or omit entirely</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ARA_SDK_PRIVACY_OUTPUT_REDACTION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 summary | omit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How output context is handled</w:t>
            </w:r>
          </w:p>
        </w:tc>
      </w:tr>
    </w:tbl>
    <w:p>
      <w:pPr>
        <w:pStyle w:val="Heading3"/>
        <w:spacing w:before="200" w:after="120"/>
      </w:pPr>
      <w:r>
        <w:rPr>
          <w:rFonts w:ascii="Arial" w:cs="Arial" w:eastAsia="Arial" w:hAnsi="Arial"/>
          <w:b/>
          <w:bCs/>
          <w:color w:val="2C4A7C"/>
          <w:sz w:val="24"/>
          <w:szCs w:val="24"/>
        </w:rPr>
        <w:t xml:space="preserve">7.5.2 Local-Only Processing Mode</w:t>
      </w:r>
    </w:p>
    <w:p>
      <w:pPr>
        <w:spacing w:after="120"/>
      </w:pPr>
      <w:r>
        <w:rPr>
          <w:rFonts w:ascii="Arial" w:cs="Arial" w:eastAsia="Arial" w:hAnsi="Arial"/>
          <w:sz w:val="22"/>
          <w:szCs w:val="22"/>
        </w:rPr>
        <w:t xml:space="preserve">Local-only processing mode enables the SDK to perform privacy-sensitive analysis (PII detection, content classification, bias evaluation) entirely within the autonomous system’s local environment. Only aggregate results and compliance signals are transmitted to the platform. Raw data never leaves the local environment.</w:t>
      </w:r>
    </w:p>
    <w:p>
      <w:pPr>
        <w:spacing w:after="120"/>
      </w:pPr>
      <w:r>
        <w:rPr>
          <w:rFonts w:ascii="Arial" w:cs="Arial" w:eastAsia="Arial" w:hAnsi="Arial"/>
          <w:sz w:val="22"/>
          <w:szCs w:val="22"/>
        </w:rPr>
        <w:t xml:space="preserve">This mode is designed for systems processing highly sensitive data (healthcare, financial, government) where data residency requirements prohibit transmission of raw operational data to external platforms. The SDK’s local analysis engine performs PII detection using on-device NER models, content safety classification, and basic drift detection locally. Compliance signals derived from local analysis are cryptographically signed and transmitted as attestations rather than raw evidence.</w:t>
      </w:r>
    </w:p>
    <w:p>
      <w:pPr>
        <w:pStyle w:val="Heading3"/>
        <w:spacing w:before="200" w:after="120"/>
      </w:pPr>
      <w:r>
        <w:rPr>
          <w:rFonts w:ascii="Arial" w:cs="Arial" w:eastAsia="Arial" w:hAnsi="Arial"/>
          <w:b/>
          <w:bCs/>
          <w:color w:val="2C4A7C"/>
          <w:sz w:val="24"/>
          <w:szCs w:val="24"/>
        </w:rPr>
        <w:t xml:space="preserve">7.5.3 Differential Privacy Mode</w:t>
      </w:r>
    </w:p>
    <w:p>
      <w:pPr>
        <w:spacing w:after="120"/>
      </w:pPr>
      <w:r>
        <w:rPr>
          <w:rFonts w:ascii="Arial" w:cs="Arial" w:eastAsia="Arial" w:hAnsi="Arial"/>
          <w:sz w:val="22"/>
          <w:szCs w:val="22"/>
        </w:rPr>
        <w:t xml:space="preserve">Differential privacy mode applies calibrated noise to aggregate telemetry metrics before transmission, providing formal privacy guarantees while maintaining statistical utility for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budget per reporting period (lower = more privacy, less utility)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noise_mechanism</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gaussian</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Noise addition mechanism: gaussian (continuous metrics), laplace (count queries)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reporting_period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Aggregation period in seconds before applying differential privacy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composition_method</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advanced</w:t>
            </w:r>
          </w:p>
        </w:tc>
        <w:tc>
          <w:tcPr>
            <w:tcW w:type="dxa" w:w="5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budget composition: basic (conservative), advanced (tighter bounds)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minimum_sample_size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Minimum events in aggregation window before reporting (suppresses small counts)</w:t>
            </w:r>
          </w:p>
        </w:tc>
      </w:tr>
    </w:tbl>
    <w:p>
      <w:pPr>
        <w:spacing w:after="120"/>
      </w:pPr>
      <w:r>
        <w:rPr>
          <w:rFonts w:ascii="Arial" w:cs="Arial" w:eastAsia="Arial" w:hAnsi="Arial"/>
          <w:sz w:val="22"/>
          <w:szCs w:val="22"/>
        </w:rPr>
        <w:t xml:space="preserve">Differential privacy mode is RECOMMENDED for systems that report aggregate metrics (drift signals, resource utilization trends, fairness metrics) where individual event privacy is a concern. It is NOT suitable for event-level telemetry required for Level 3 Continuous Assurance certifications.</w:t>
      </w:r>
    </w:p>
    <w:p>
      <w:pPr>
        <w:pStyle w:val="Heading2"/>
        <w:spacing w:before="280" w:after="160"/>
      </w:pPr>
      <w:r>
        <w:rPr>
          <w:rFonts w:ascii="Arial" w:cs="Arial" w:eastAsia="Arial" w:hAnsi="Arial"/>
          <w:b/>
          <w:bCs/>
          <w:color w:val="2C4A7C"/>
          <w:sz w:val="28"/>
          <w:szCs w:val="28"/>
        </w:rPr>
        <w:t xml:space="preserve">7.6 Key Management</w:t>
      </w:r>
    </w:p>
    <w:p>
      <w:pPr>
        <w:spacing w:after="120"/>
      </w:pPr>
      <w:r>
        <w:rPr>
          <w:rFonts w:ascii="Arial" w:cs="Arial" w:eastAsia="Arial" w:hAnsi="Arial"/>
          <w:sz w:val="22"/>
          <w:szCs w:val="22"/>
        </w:rPr>
        <w:t xml:space="preserve">SDK authentication credentials SHALL be managed according to the following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7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Storage</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Keys SHALL NOT be stored in source code, environment variables (production), or unencrypted configuration files. Approved storage: secret managers (AWS Secrets Manager, HashiCorp Vault, Azure Key Vault, GCP Secret Manager), HSMs, or platform-native credential stores.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Rotation</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 keys SHALL be rotated at minimum every 90 days (Level 1), 30 days (Level 2), or 7 days (Level 3). Rotation SHALL be automated.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Revocation</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Compromised keys SHALL be revocable immediately via the platform API. Revocation takes effect within 60 seconds.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Scope</w:t>
            </w:r>
          </w:p>
        </w:tc>
        <w:tc>
          <w:tcPr>
            <w:tcW w:type="dxa" w:w="7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key SHALL be scoped to a single registered system. Cross-system key sharing is a blocking certification violation.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w:t>
            </w:r>
          </w:p>
        </w:tc>
        <w:tc>
          <w:tcPr>
            <w:tcW w:type="dxa" w:w="7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key creation, rotation, and revocation events SHALL be logged in the system’s audit trail.</w:t>
            </w:r>
          </w:p>
        </w:tc>
      </w:tr>
    </w:tbl>
    <w:p>
      <w:pPr>
        <w:pStyle w:val="Heading2"/>
        <w:spacing w:before="280" w:after="160"/>
      </w:pPr>
      <w:r>
        <w:rPr>
          <w:rFonts w:ascii="Arial" w:cs="Arial" w:eastAsia="Arial" w:hAnsi="Arial"/>
          <w:b/>
          <w:bCs/>
          <w:color w:val="2C4A7C"/>
          <w:sz w:val="28"/>
          <w:szCs w:val="28"/>
        </w:rPr>
        <w:t xml:space="preserve">7.7 Audit Logging</w:t>
      </w:r>
    </w:p>
    <w:p>
      <w:pPr>
        <w:spacing w:after="120"/>
      </w:pPr>
      <w:r>
        <w:rPr>
          <w:rFonts w:ascii="Arial" w:cs="Arial" w:eastAsia="Arial" w:hAnsi="Arial"/>
          <w:sz w:val="22"/>
          <w:szCs w:val="22"/>
        </w:rPr>
        <w:t xml:space="preserve">The SDK SHALL maintain a local audit log of all SDK operations independent of the telemetry stream. This audit log captures: SDK startup/shutdown, connection establishment and disconnection, authentication events, transmission failures and retries, configuration changes, schema validation failures, privacy mode changes, and security events. The audit log SHALL be retained for the same duration as telemetry data and SHALL be available for AVB inspection during evaluation.</w:t>
      </w:r>
    </w:p>
    <w:p>
      <w:r>
        <w:br w:type="page"/>
      </w:r>
    </w:p>
    <w:p>
      <w:pPr>
        <w:pStyle w:val="Heading1"/>
        <w:spacing w:before="360" w:after="200"/>
      </w:pPr>
      <w:r>
        <w:rPr>
          <w:rFonts w:ascii="Arial" w:cs="Arial" w:eastAsia="Arial" w:hAnsi="Arial"/>
          <w:b/>
          <w:bCs/>
          <w:color w:val="1B2A4A"/>
          <w:sz w:val="32"/>
          <w:szCs w:val="32"/>
        </w:rPr>
        <w:t xml:space="preserve">Article 8 — Configuration Reference</w:t>
      </w:r>
    </w:p>
    <w:p>
      <w:pPr>
        <w:pStyle w:val="Heading2"/>
        <w:spacing w:before="280" w:after="160"/>
      </w:pPr>
      <w:r>
        <w:rPr>
          <w:rFonts w:ascii="Arial" w:cs="Arial" w:eastAsia="Arial" w:hAnsi="Arial"/>
          <w:b/>
          <w:bCs/>
          <w:color w:val="2C4A7C"/>
          <w:sz w:val="28"/>
          <w:szCs w:val="28"/>
        </w:rPr>
        <w:t xml:space="preserve">8.1 SDK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Registered system identifier issued during platform registration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api_key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Authentication credential (JWT or API key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telemetry.ara-platform.org:443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telemetry endpoint</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Transport protocol: grpc, rest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tls_enabled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TLS encryption (SHALL be true in production)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mutual TLS (REQUIRED for Level 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mtls_cert_path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client certificate for mTLS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mtls_key_path</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Path to client private key for mTLS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events in local buffer before oldest are persisted to disk</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buffer_max_duration_hours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hours to retain buffered events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buffer_persist_path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/var/ara/buffer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Local path for persistent buffer storage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Number of events per transmission batch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Maximum interval between batch transmissions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retry_max_attempts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attempts for failed transmissions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retry_initial_delay_ms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retry delay (exponential backoff)</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retry_max_delay_ms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Maximum retry delay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checkin_mode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periodic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mode: periodic, event_triggered, continuous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checkin_interval_seconds</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300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Interval for periodic check-in (seconds)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redaction_rules_path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null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Path to redaction rules configuration file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privacy_minimization</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disabled</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Data minimization mode: disabled, standard, strict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privacy_local_only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local-only processing mode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privacy_differential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differential privacy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privacy_budget_epsilon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 budget per reporting period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pii_detection_enabled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automatic PII detection in telemetry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pii_detection_model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default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model: default, healthcare, financial, custom</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insurance_feed_enabled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Enable insurance data feed generation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log_level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info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logging level: debug, info, warn, error</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log_output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stdout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Log output destination: stdout, stderr, file path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metrics_enabled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boolean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Enable SDK internal metrics collection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metrics_port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9090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Port for SDK metrics endpoint (Prometheus format)</w:t>
            </w:r>
          </w:p>
        </w:tc>
      </w:tr>
    </w:tbl>
    <w:p>
      <w:pPr>
        <w:pStyle w:val="Heading2"/>
        <w:spacing w:before="280" w:after="160"/>
      </w:pPr>
      <w:r>
        <w:rPr>
          <w:rFonts w:ascii="Arial" w:cs="Arial" w:eastAsia="Arial" w:hAnsi="Arial"/>
          <w:b/>
          <w:bCs/>
          <w:color w:val="2C4A7C"/>
          <w:sz w:val="28"/>
          <w:szCs w:val="28"/>
        </w:rPr>
        <w:t xml:space="preserve">8.2 Environment Variables</w:t>
      </w:r>
    </w:p>
    <w:p>
      <w:pPr>
        <w:spacing w:after="120"/>
      </w:pPr>
      <w:r>
        <w:rPr>
          <w:rFonts w:ascii="Arial" w:cs="Arial" w:eastAsia="Arial" w:hAnsi="Arial"/>
          <w:sz w:val="22"/>
          <w:szCs w:val="22"/>
        </w:rPr>
        <w:t xml:space="preserve">All configuration parameters can be set via environment variables using the prefix ARA_SDK_. Environment variables override file-based configuration. Configuration precedence (highest to lowest): Environment variables, configuration file, constructor arguments, defaults.</w:t>
      </w:r>
    </w:p>
    <w:p>
      <w:pPr>
        <w:pStyle w:val="Heading2"/>
        <w:spacing w:before="280" w:after="160"/>
      </w:pPr>
      <w:r>
        <w:rPr>
          <w:rFonts w:ascii="Arial" w:cs="Arial" w:eastAsia="Arial" w:hAnsi="Arial"/>
          <w:b/>
          <w:bCs/>
          <w:color w:val="2C4A7C"/>
          <w:sz w:val="28"/>
          <w:szCs w:val="28"/>
        </w:rPr>
        <w:t xml:space="preserve">8.3 Runtime Tuning</w:t>
      </w:r>
    </w:p>
    <w:p>
      <w:pPr>
        <w:spacing w:after="120"/>
      </w:pPr>
      <w:r>
        <w:rPr>
          <w:rFonts w:ascii="Arial" w:cs="Arial" w:eastAsia="Arial" w:hAnsi="Arial"/>
          <w:sz w:val="22"/>
          <w:szCs w:val="22"/>
        </w:rPr>
        <w:t xml:space="preserve">For high-throughput environments, the following tuning parameters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High-Throughput Recommendation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batch_size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Larger batches reduce HTTP/gRPC overhead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batch_interval_ms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250-500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More frequent flushes reduce latency at cost of overhead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buffer_max_events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500000-1000000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for systems with burst patterns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grpc_max_concurrent_streams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100</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500-1000</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Per-connection stream limit for gRPC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grpc_keepalive_time_ms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60000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30000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More aggressive keepalive for unstable networks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compression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gzip or snappy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Reduces bandwidth at cost of CPU</w:t>
            </w:r>
          </w:p>
        </w:tc>
      </w:tr>
    </w:tbl>
    <w:p>
      <w:pPr>
        <w:pStyle w:val="Heading2"/>
        <w:spacing w:before="280" w:after="160"/>
      </w:pPr>
      <w:r>
        <w:rPr>
          <w:rFonts w:ascii="Arial" w:cs="Arial" w:eastAsia="Arial" w:hAnsi="Arial"/>
          <w:b/>
          <w:bCs/>
          <w:color w:val="2C4A7C"/>
          <w:sz w:val="28"/>
          <w:szCs w:val="28"/>
        </w:rPr>
        <w:t xml:space="preserve">8.4 Logging Configuration</w:t>
      </w:r>
    </w:p>
    <w:p>
      <w:pPr>
        <w:spacing w:after="120"/>
      </w:pPr>
      <w:r>
        <w:rPr>
          <w:rFonts w:ascii="Arial" w:cs="Arial" w:eastAsia="Arial" w:hAnsi="Arial"/>
          <w:sz w:val="22"/>
          <w:szCs w:val="22"/>
        </w:rPr>
        <w:t xml:space="preserve">The SDK’s internal logging is separate from the telemetry stream. SDK logs are structured (JSON) and include: timestamp, log level, component (buffer, transport, validator, auth, privacy, societal), message, and optional context fields. The SDK SHALL NOT log sensitive telemetry payload content at any log level. Debug-level logging MAY include event metadata (IDs, types, sizes) but SHALL NOT include event content.</w:t>
      </w:r>
    </w:p>
    <w:p>
      <w:r>
        <w:br w:type="page"/>
      </w:r>
    </w:p>
    <w:p>
      <w:pPr>
        <w:pStyle w:val="Heading1"/>
        <w:spacing w:before="360" w:after="200"/>
      </w:pPr>
      <w:r>
        <w:rPr>
          <w:rFonts w:ascii="Arial" w:cs="Arial" w:eastAsia="Arial" w:hAnsi="Arial"/>
          <w:b/>
          <w:bCs/>
          <w:color w:val="1B2A4A"/>
          <w:sz w:val="32"/>
          <w:szCs w:val="32"/>
        </w:rPr>
        <w:t xml:space="preserve">Article 9 — Multi-Party Integration Specifications</w:t>
      </w:r>
    </w:p>
    <w:p>
      <w:pPr>
        <w:pStyle w:val="Heading2"/>
        <w:spacing w:before="280" w:after="160"/>
      </w:pPr>
      <w:r>
        <w:rPr>
          <w:rFonts w:ascii="Arial" w:cs="Arial" w:eastAsia="Arial" w:hAnsi="Arial"/>
          <w:b/>
          <w:bCs/>
          <w:color w:val="2C4A7C"/>
          <w:sz w:val="28"/>
          <w:szCs w:val="28"/>
        </w:rPr>
        <w:t xml:space="preserve">9.1 Cross-Organization Architecture</w:t>
      </w:r>
    </w:p>
    <w:p>
      <w:pPr>
        <w:spacing w:after="120"/>
      </w:pPr>
      <w:r>
        <w:rPr>
          <w:rFonts w:ascii="Arial" w:cs="Arial" w:eastAsia="Arial" w:hAnsi="Arial"/>
          <w:sz w:val="22"/>
          <w:szCs w:val="22"/>
        </w:rPr>
        <w:t xml:space="preserve">Multi-party integration addresses the assurance challenges of autonomous systems that operate across organizational boundaries. In these deployments, reliability cannot be established by monitoring a single system in isolation; the interaction surface between parties creates its own reliability risks.</w:t>
      </w:r>
    </w:p>
    <w:p>
      <w:pPr>
        <w:spacing w:after="120"/>
      </w:pPr>
      <w:r>
        <w:rPr>
          <w:rFonts w:ascii="Arial" w:cs="Arial" w:eastAsia="Arial" w:hAnsi="Arial"/>
          <w:sz w:val="22"/>
          <w:szCs w:val="22"/>
        </w:rPr>
        <w:t xml:space="preserve">The ARA multi-party architecture defines three roles:</w:t>
      </w:r>
    </w:p>
    <w:p>
      <w:pPr>
        <w:spacing w:after="120"/>
      </w:pPr>
      <w:r>
        <w:rPr>
          <w:rFonts w:ascii="Arial" w:cs="Arial" w:eastAsia="Arial" w:hAnsi="Arial"/>
          <w:b/>
          <w:bCs/>
          <w:sz w:val="22"/>
          <w:szCs w:val="22"/>
        </w:rPr>
        <w:t xml:space="preserve">Participating Party: </w:t>
      </w:r>
      <w:r>
        <w:rPr>
          <w:rFonts w:ascii="Arial" w:cs="Arial" w:eastAsia="Arial" w:hAnsi="Arial"/>
          <w:sz w:val="22"/>
          <w:szCs w:val="22"/>
        </w:rPr>
        <w:t xml:space="preserve">An organization operating a certified autonomous system that interacts with other parties’ systems. Each party deploys its own SDK instance and maintains its own certification.</w:t>
      </w:r>
    </w:p>
    <w:p>
      <w:pPr>
        <w:spacing w:after="120"/>
      </w:pPr>
      <w:r>
        <w:rPr>
          <w:rFonts w:ascii="Arial" w:cs="Arial" w:eastAsia="Arial" w:hAnsi="Arial"/>
          <w:b/>
          <w:bCs/>
          <w:sz w:val="22"/>
          <w:szCs w:val="22"/>
        </w:rPr>
        <w:t xml:space="preserve">Interaction Boundary: </w:t>
      </w:r>
      <w:r>
        <w:rPr>
          <w:rFonts w:ascii="Arial" w:cs="Arial" w:eastAsia="Arial" w:hAnsi="Arial"/>
          <w:sz w:val="22"/>
          <w:szCs w:val="22"/>
        </w:rPr>
        <w:t xml:space="preserve">The defined interface between parties’ systems (APIs, data exchanges, shared resources, coordinated decisions). The boundary is the object of cross-party monitoring.</w:t>
      </w:r>
    </w:p>
    <w:p>
      <w:pPr>
        <w:spacing w:after="120"/>
      </w:pPr>
      <w:r>
        <w:rPr>
          <w:rFonts w:ascii="Arial" w:cs="Arial" w:eastAsia="Arial" w:hAnsi="Arial"/>
          <w:b/>
          <w:bCs/>
          <w:sz w:val="22"/>
          <w:szCs w:val="22"/>
        </w:rPr>
        <w:t xml:space="preserve">Neutral Assurance Layer: </w:t>
      </w:r>
      <w:r>
        <w:rPr>
          <w:rFonts w:ascii="Arial" w:cs="Arial" w:eastAsia="Arial" w:hAnsi="Arial"/>
          <w:sz w:val="22"/>
          <w:szCs w:val="22"/>
        </w:rPr>
        <w:t xml:space="preserve">The ARA CAP operating as a trusted intermediary that monitors the interaction boundary and provides each party with verified compliance signals about their counterparties.</w:t>
      </w:r>
    </w:p>
    <w:p>
      <w:pPr>
        <w:pStyle w:val="Heading2"/>
        <w:spacing w:before="280" w:after="160"/>
      </w:pPr>
      <w:r>
        <w:rPr>
          <w:rFonts w:ascii="Arial" w:cs="Arial" w:eastAsia="Arial" w:hAnsi="Arial"/>
          <w:b/>
          <w:bCs/>
          <w:color w:val="2C4A7C"/>
          <w:sz w:val="28"/>
          <w:szCs w:val="28"/>
        </w:rPr>
        <w:t xml:space="preserve">9.2 Party Registration and Identity</w:t>
      </w:r>
    </w:p>
    <w:p>
      <w:pPr>
        <w:spacing w:after="120"/>
      </w:pPr>
      <w:r>
        <w:rPr>
          <w:rFonts w:ascii="Arial" w:cs="Arial" w:eastAsia="Arial" w:hAnsi="Arial"/>
          <w:sz w:val="22"/>
          <w:szCs w:val="22"/>
        </w:rPr>
        <w:t xml:space="preserve">Each party in a multi-party deployment SHALL register independently with the ARA Platform. Party registration includes: organization identity verification, system registration for each participating autonomous system, interaction boundary definition (jointly declared by all parties), and data sharing agreements specifying what compliance signals are shared with counterparties.</w:t>
      </w:r>
    </w:p>
    <w:p>
      <w:pPr>
        <w:spacing w:after="120"/>
      </w:pPr>
      <w:r>
        <w:rPr>
          <w:rFonts w:ascii="Arial" w:cs="Arial" w:eastAsia="Arial" w:hAnsi="Arial"/>
          <w:sz w:val="22"/>
          <w:szCs w:val="22"/>
        </w:rPr>
        <w:t xml:space="preserve">Party identities are cryptographically bound to their SDK instances. Cross-party compliance signals include the issuing party’s verified identity, preventing impersonation or spoofing of compliance status.</w:t>
      </w:r>
    </w:p>
    <w:p>
      <w:pPr>
        <w:pStyle w:val="Heading2"/>
        <w:spacing w:before="280" w:after="160"/>
      </w:pPr>
      <w:r>
        <w:rPr>
          <w:rFonts w:ascii="Arial" w:cs="Arial" w:eastAsia="Arial" w:hAnsi="Arial"/>
          <w:b/>
          <w:bCs/>
          <w:color w:val="2C4A7C"/>
          <w:sz w:val="28"/>
          <w:szCs w:val="28"/>
        </w:rPr>
        <w:t xml:space="preserve">9.3 Shared Assurance Context</w:t>
      </w:r>
    </w:p>
    <w:p>
      <w:pPr>
        <w:spacing w:after="120"/>
      </w:pPr>
      <w:r>
        <w:rPr>
          <w:rFonts w:ascii="Arial" w:cs="Arial" w:eastAsia="Arial" w:hAnsi="Arial"/>
          <w:sz w:val="22"/>
          <w:szCs w:val="22"/>
        </w:rPr>
        <w:t xml:space="preserve">The shared assurance context is the set of compliance signals that parties make visible to their counterparties. This is configurable per-party and per-interaction: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Visibility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Certification Status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Active/warning/suspended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Certification Level</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1/2/3 designation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Foundational/Standard/Advanced/Comprehensive designation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Domain Scores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Aggregate compliance scores by domain (15 domains)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boundary adherence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at the interaction boundary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Alerts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drift warnings/criticals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privacy and PII handling compliance 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Visible if opted-in by party</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Revalidation Status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Active revalidation in progress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Always visible to registered counterparties</w:t>
            </w:r>
          </w:p>
        </w:tc>
      </w:tr>
    </w:tbl>
    <w:p>
      <w:pPr>
        <w:spacing w:after="120"/>
      </w:pPr>
      <w:r>
        <w:rPr>
          <w:rFonts w:ascii="Arial" w:cs="Arial" w:eastAsia="Arial" w:hAnsi="Arial"/>
          <w:sz w:val="22"/>
          <w:szCs w:val="22"/>
        </w:rPr>
        <w:t xml:space="preserve">Parties SHALL NOT be able to access raw telemetry, individual ACR results, internal configuration, or proprietary operational data of their counterparties through the multi-party integration.</w:t>
      </w:r>
    </w:p>
    <w:p>
      <w:pPr>
        <w:pStyle w:val="Heading2"/>
        <w:spacing w:before="280" w:after="160"/>
      </w:pPr>
      <w:r>
        <w:rPr>
          <w:rFonts w:ascii="Arial" w:cs="Arial" w:eastAsia="Arial" w:hAnsi="Arial"/>
          <w:b/>
          <w:bCs/>
          <w:color w:val="2C4A7C"/>
          <w:sz w:val="28"/>
          <w:szCs w:val="28"/>
        </w:rPr>
        <w:t xml:space="preserve">9.4 Interaction Boundary Monitoring</w:t>
      </w:r>
    </w:p>
    <w:p>
      <w:pPr>
        <w:spacing w:after="120"/>
      </w:pPr>
      <w:r>
        <w:rPr>
          <w:rFonts w:ascii="Arial" w:cs="Arial" w:eastAsia="Arial" w:hAnsi="Arial"/>
          <w:sz w:val="22"/>
          <w:szCs w:val="22"/>
        </w:rPr>
        <w:t xml:space="preserve">The CAP monitors interaction boundaries by correlating telemetry from both sides of the boundary. This requires each party’s SDK to tag events that involve cross-party interaction with the following additional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000"/>
        <w:gridCol w:w="46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interaction_id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(UUID)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Shared identifier for the cross-party interaction (agreed by both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counterparty_id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Registered identity of the counterparty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boundary_role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 (enum)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This system’s role: initiator, responder, observer</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boundary_protocol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Protocol used for the interaction (API endpoint, message queue, shared database)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boundary_data_hash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of data exchanged at the boundary (for correlation without exposing content)</w:t>
            </w:r>
          </w:p>
        </w:tc>
      </w:tr>
    </w:tbl>
    <w:p>
      <w:pPr>
        <w:pStyle w:val="Heading2"/>
        <w:spacing w:before="280" w:after="160"/>
      </w:pPr>
      <w:r>
        <w:rPr>
          <w:rFonts w:ascii="Arial" w:cs="Arial" w:eastAsia="Arial" w:hAnsi="Arial"/>
          <w:b/>
          <w:bCs/>
          <w:color w:val="2C4A7C"/>
          <w:sz w:val="28"/>
          <w:szCs w:val="28"/>
        </w:rPr>
        <w:t xml:space="preserve">9.5 Data Isolation and Privacy</w:t>
      </w:r>
    </w:p>
    <w:p>
      <w:pPr>
        <w:spacing w:after="120"/>
      </w:pPr>
      <w:r>
        <w:rPr>
          <w:rFonts w:ascii="Arial" w:cs="Arial" w:eastAsia="Arial" w:hAnsi="Arial"/>
          <w:sz w:val="22"/>
          <w:szCs w:val="22"/>
        </w:rPr>
        <w:t xml:space="preserve">Multi-party data isolation is enforced at the platform level through cryptographic access controls. Each party’s telemetry is encrypted with party-specific keys. The CAP’s compliance engine processes telemetry in isolated execution contexts. Cross-party compliance signals are generated from aggregate analysis, not raw data access. Audit logs record all cross-party signal generation and delivery.</w:t>
      </w:r>
    </w:p>
    <w:p>
      <w:pPr>
        <w:spacing w:after="120"/>
      </w:pPr>
      <w:r>
        <w:rPr>
          <w:rFonts w:ascii="Arial" w:cs="Arial" w:eastAsia="Arial" w:hAnsi="Arial"/>
          <w:sz w:val="22"/>
          <w:szCs w:val="22"/>
        </w:rPr>
        <w:t xml:space="preserve">The multi-party architecture is designed to provide assurance without trust. Each party receives verified signals from a neutral platform without requiring access to, or trust in, the other party’s internal operations.</w:t>
      </w:r>
    </w:p>
    <w:p>
      <w:r>
        <w:br w:type="page"/>
      </w:r>
    </w:p>
    <w:p>
      <w:pPr>
        <w:pStyle w:val="Heading1"/>
        <w:spacing w:before="360" w:after="200"/>
      </w:pPr>
      <w:r>
        <w:rPr>
          <w:rFonts w:ascii="Arial" w:cs="Arial" w:eastAsia="Arial" w:hAnsi="Arial"/>
          <w:b/>
          <w:bCs/>
          <w:color w:val="1B2A4A"/>
          <w:sz w:val="32"/>
          <w:szCs w:val="32"/>
        </w:rPr>
        <w:t xml:space="preserve">Article 10 — Operational Guidance</w:t>
      </w:r>
    </w:p>
    <w:p>
      <w:pPr>
        <w:pStyle w:val="Heading2"/>
        <w:spacing w:before="280" w:after="160"/>
      </w:pPr>
      <w:r>
        <w:rPr>
          <w:rFonts w:ascii="Arial" w:cs="Arial" w:eastAsia="Arial" w:hAnsi="Arial"/>
          <w:b/>
          <w:bCs/>
          <w:color w:val="2C4A7C"/>
          <w:sz w:val="28"/>
          <w:szCs w:val="28"/>
        </w:rPr>
        <w:t xml:space="preserve">10.1 Deployment Patterns</w:t>
      </w:r>
    </w:p>
    <w:p>
      <w:pPr>
        <w:spacing w:after="120"/>
      </w:pPr>
      <w:r>
        <w:rPr>
          <w:rFonts w:ascii="Arial" w:cs="Arial" w:eastAsia="Arial" w:hAnsi="Arial"/>
          <w:sz w:val="22"/>
          <w:szCs w:val="22"/>
        </w:rPr>
        <w:t xml:space="preserve">The SDK supports deployment across cloud, on-premises, hybrid, and edge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Recommended Pattern</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Considerations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Cloud (single region)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In-Process or Sidecar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Standard deployment; low-latency to platform endpoints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Cloud (multi-region)</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Sidecar with regional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Regional gateway reduces cross-region latency; replicates to central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On-premises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handles outbound connectivity; buffer for network restrictions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(In-Process + Gateway)</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In-process for cloud components; gateway for on-prem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 IoT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Gateway (centralized)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Edge devices report to local gateway; gateway aggregates and transmits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Air-gapped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with batch export</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Gateway collects telemetry; periodic batch export via secure transfer</w:t>
            </w:r>
          </w:p>
        </w:tc>
      </w:tr>
    </w:tbl>
    <w:p>
      <w:pPr>
        <w:pStyle w:val="Heading2"/>
        <w:spacing w:before="280" w:after="160"/>
      </w:pPr>
      <w:r>
        <w:rPr>
          <w:rFonts w:ascii="Arial" w:cs="Arial" w:eastAsia="Arial" w:hAnsi="Arial"/>
          <w:b/>
          <w:bCs/>
          <w:color w:val="2C4A7C"/>
          <w:sz w:val="28"/>
          <w:szCs w:val="28"/>
        </w:rPr>
        <w:t xml:space="preserve">10.2 High Availability</w:t>
      </w:r>
    </w:p>
    <w:p>
      <w:pPr>
        <w:spacing w:after="120"/>
      </w:pPr>
      <w:r>
        <w:rPr>
          <w:rFonts w:ascii="Arial" w:cs="Arial" w:eastAsia="Arial" w:hAnsi="Arial"/>
          <w:sz w:val="22"/>
          <w:szCs w:val="22"/>
        </w:rPr>
        <w:t xml:space="preserve">The SDK is designed to operate reliably even when the platform is temporarily unavailable. High availability mechanisms include:</w:t>
      </w:r>
    </w:p>
    <w:p>
      <w:pPr>
        <w:spacing w:after="120"/>
      </w:pPr>
      <w:r>
        <w:rPr>
          <w:rFonts w:ascii="Arial" w:cs="Arial" w:eastAsia="Arial" w:hAnsi="Arial"/>
          <w:b/>
          <w:bCs/>
          <w:sz w:val="22"/>
          <w:szCs w:val="22"/>
        </w:rPr>
        <w:t xml:space="preserve">Local Buffering: </w:t>
      </w:r>
      <w:r>
        <w:rPr>
          <w:rFonts w:ascii="Arial" w:cs="Arial" w:eastAsia="Arial" w:hAnsi="Arial"/>
          <w:sz w:val="22"/>
          <w:szCs w:val="22"/>
        </w:rPr>
        <w:t xml:space="preserve">Events are buffered locally during platform outages. The buffer survives process restarts (disk-backed) and SDK upgrades. Buffer integrity is maintained via the same hash chain used for telemetry events.</w:t>
      </w:r>
    </w:p>
    <w:p>
      <w:pPr>
        <w:spacing w:after="120"/>
      </w:pPr>
      <w:r>
        <w:rPr>
          <w:rFonts w:ascii="Arial" w:cs="Arial" w:eastAsia="Arial" w:hAnsi="Arial"/>
          <w:b/>
          <w:bCs/>
          <w:sz w:val="22"/>
          <w:szCs w:val="22"/>
        </w:rPr>
        <w:t xml:space="preserve">Graceful Degradation: </w:t>
      </w:r>
      <w:r>
        <w:rPr>
          <w:rFonts w:ascii="Arial" w:cs="Arial" w:eastAsia="Arial" w:hAnsi="Arial"/>
          <w:sz w:val="22"/>
          <w:szCs w:val="22"/>
        </w:rPr>
        <w:t xml:space="preserve">The SDK SHALL NOT cause the autonomous system to fail if the platform is unreachable. Telemetry capture continues locally. The SDK reports its connectivity status via the metrics endpoint.</w:t>
      </w:r>
    </w:p>
    <w:p>
      <w:pPr>
        <w:spacing w:after="120"/>
      </w:pPr>
      <w:r>
        <w:rPr>
          <w:rFonts w:ascii="Arial" w:cs="Arial" w:eastAsia="Arial" w:hAnsi="Arial"/>
          <w:b/>
          <w:bCs/>
          <w:sz w:val="22"/>
          <w:szCs w:val="22"/>
        </w:rPr>
        <w:t xml:space="preserve">Reconciliation: </w:t>
      </w:r>
      <w:r>
        <w:rPr>
          <w:rFonts w:ascii="Arial" w:cs="Arial" w:eastAsia="Arial" w:hAnsi="Arial"/>
          <w:sz w:val="22"/>
          <w:szCs w:val="22"/>
        </w:rPr>
        <w:t xml:space="preserve">When connectivity is restored, the SDK transmits buffered events in chronological order. The platform reconciles buffered events with its timeline and recomputes compliance scores retroactively.</w:t>
      </w:r>
    </w:p>
    <w:p>
      <w:pPr>
        <w:pStyle w:val="Heading2"/>
        <w:spacing w:before="280" w:after="160"/>
      </w:pPr>
      <w:r>
        <w:rPr>
          <w:rFonts w:ascii="Arial" w:cs="Arial" w:eastAsia="Arial" w:hAnsi="Arial"/>
          <w:b/>
          <w:bCs/>
          <w:color w:val="2C4A7C"/>
          <w:sz w:val="28"/>
          <w:szCs w:val="28"/>
        </w:rPr>
        <w:t xml:space="preserve">10.3 Performance Considerations</w:t>
      </w:r>
    </w:p>
    <w:p>
      <w:pPr>
        <w:spacing w:after="120"/>
      </w:pPr>
      <w:r>
        <w:rPr>
          <w:rFonts w:ascii="Arial" w:cs="Arial" w:eastAsia="Arial" w:hAnsi="Arial"/>
          <w:sz w:val="22"/>
          <w:szCs w:val="22"/>
        </w:rPr>
        <w:t xml:space="preserve">The SDK is designed for minimal performance impact on the autonomous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CPU overhead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&lt;2% of system CPU at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metrics; validated during certification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Memory footprint</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&lt;50 MB base + 1 KB per buffered event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Process memory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Latency impact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&lt;1ms per instrumentation point (P99)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internal timing; excludes network transmission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bandwidth</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&lt;100 KB/s sustained (typical); configurable</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interface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Startup time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&lt;500ms to first event capture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SDK initialization timing</w:t>
            </w:r>
          </w:p>
        </w:tc>
      </w:tr>
    </w:tbl>
    <w:p>
      <w:pPr>
        <w:pStyle w:val="Heading2"/>
        <w:spacing w:before="280" w:after="160"/>
      </w:pPr>
      <w:r>
        <w:rPr>
          <w:rFonts w:ascii="Arial" w:cs="Arial" w:eastAsia="Arial" w:hAnsi="Arial"/>
          <w:b/>
          <w:bCs/>
          <w:color w:val="2C4A7C"/>
          <w:sz w:val="28"/>
          <w:szCs w:val="28"/>
        </w:rPr>
        <w:t xml:space="preserve">10.4 Versioning and Upgrades</w:t>
      </w:r>
    </w:p>
    <w:p>
      <w:pPr>
        <w:spacing w:after="120"/>
      </w:pPr>
      <w:r>
        <w:rPr>
          <w:rFonts w:ascii="Arial" w:cs="Arial" w:eastAsia="Arial" w:hAnsi="Arial"/>
          <w:sz w:val="22"/>
          <w:szCs w:val="22"/>
        </w:rPr>
        <w:t xml:space="preserve">SDK versions follow semantic versioning (MAJOR.MINOR.PATCH). The platform guarantees backward compatibility within a major version.</w:t>
      </w:r>
    </w:p>
    <w:p>
      <w:pPr>
        <w:spacing w:after="120"/>
      </w:pPr>
      <w:r>
        <w:rPr>
          <w:rFonts w:ascii="Arial" w:cs="Arial" w:eastAsia="Arial" w:hAnsi="Arial"/>
          <w:b/>
          <w:bCs/>
          <w:sz w:val="22"/>
          <w:szCs w:val="22"/>
        </w:rPr>
        <w:t xml:space="preserve">Patch Updates (x.x.PATCH): </w:t>
      </w:r>
      <w:r>
        <w:rPr>
          <w:rFonts w:ascii="Arial" w:cs="Arial" w:eastAsia="Arial" w:hAnsi="Arial"/>
          <w:sz w:val="22"/>
          <w:szCs w:val="22"/>
        </w:rPr>
        <w:t xml:space="preserve">Bug fixes only. Drop-in replacement with no configuration changes. Zero downtime upgrade supported.</w:t>
      </w:r>
    </w:p>
    <w:p>
      <w:pPr>
        <w:spacing w:after="120"/>
      </w:pPr>
      <w:r>
        <w:rPr>
          <w:rFonts w:ascii="Arial" w:cs="Arial" w:eastAsia="Arial" w:hAnsi="Arial"/>
          <w:b/>
          <w:bCs/>
          <w:sz w:val="22"/>
          <w:szCs w:val="22"/>
        </w:rPr>
        <w:t xml:space="preserve">Minor Updates (x.MINOR.x): </w:t>
      </w:r>
      <w:r>
        <w:rPr>
          <w:rFonts w:ascii="Arial" w:cs="Arial" w:eastAsia="Arial" w:hAnsi="Arial"/>
          <w:sz w:val="22"/>
          <w:szCs w:val="22"/>
        </w:rPr>
        <w:t xml:space="preserve">New features and optional schema fields. Drop-in replacement. New features require explicit opt-in via configuration.</w:t>
      </w:r>
    </w:p>
    <w:p>
      <w:pPr>
        <w:spacing w:after="120"/>
      </w:pPr>
      <w:r>
        <w:rPr>
          <w:rFonts w:ascii="Arial" w:cs="Arial" w:eastAsia="Arial" w:hAnsi="Arial"/>
          <w:b/>
          <w:bCs/>
          <w:sz w:val="22"/>
          <w:szCs w:val="22"/>
        </w:rPr>
        <w:t xml:space="preserve">Major Updates (MAJOR.x.x): </w:t>
      </w:r>
      <w:r>
        <w:rPr>
          <w:rFonts w:ascii="Arial" w:cs="Arial" w:eastAsia="Arial" w:hAnsi="Arial"/>
          <w:sz w:val="22"/>
          <w:szCs w:val="22"/>
        </w:rPr>
        <w:t xml:space="preserve">Potentially breaking changes. Migration guide provided. Minimum 6-month overlap period where both old and new major versions are supported. Revalidation of monitoring-related ACRs (Domain 10) is required after major version upgrade.</w:t>
      </w:r>
    </w:p>
    <w:p>
      <w:pPr>
        <w:pStyle w:val="Heading2"/>
        <w:spacing w:before="280" w:after="160"/>
      </w:pPr>
      <w:r>
        <w:rPr>
          <w:rFonts w:ascii="Arial" w:cs="Arial" w:eastAsia="Arial" w:hAnsi="Arial"/>
          <w:b/>
          <w:bCs/>
          <w:color w:val="2C4A7C"/>
          <w:sz w:val="28"/>
          <w:szCs w:val="28"/>
        </w:rPr>
        <w:t xml:space="preserve">10.5 Troubleshooting</w:t>
      </w:r>
    </w:p>
    <w:p>
      <w:pPr>
        <w:spacing w:after="120"/>
      </w:pPr>
      <w:r>
        <w:rPr>
          <w:rFonts w:ascii="Arial" w:cs="Arial" w:eastAsia="Arial" w:hAnsi="Arial"/>
          <w:sz w:val="22"/>
          <w:szCs w:val="22"/>
        </w:rPr>
        <w:t xml:space="preserve">Common issues and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Resolution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buffering but not transmitting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Network connectivity or authentication failure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 ARA_SDK_ENDPOINT reachability; verify API key validity; check TLS certificate chain</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 errors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SDK/platform schema version mismatch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schema_version in events matches platform-supported versions; upgrade SDK if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 buffer utilization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Platform ingestion slower than event generation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Increase batch_size; enable compression; verify rate limit tier matches certification level</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Hash chain verification failures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 ordering disruption (concurrent writes)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Ensure single-writer per hash chain; use SDK’s built-in sequencing; check for clock skew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response: revalidation_required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Material change detected by platform</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change_log in check-in payload; initiate revalidation for specified ACRs within deadline</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Certificate mismatch or expiration</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client certificate matches registered system; check certificate expiration; ensure CA chain is 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false positives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model miscalibrated for domain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Tune pii_detection_model parameter; use custom model for specialized domains; adjust sensitivity thresholds</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feed data gaps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Feed generation interval misaligned with event volume</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Verify insurance_feed_enabled is true; check event throughput meets minimum sample sizes</w:t>
            </w:r>
          </w:p>
        </w:tc>
      </w:tr>
    </w:tbl>
    <w:p>
      <w:r>
        <w:br w:type="page"/>
      </w:r>
    </w:p>
    <w:p>
      <w:pPr>
        <w:pStyle w:val="Heading1"/>
        <w:spacing w:before="360" w:after="200"/>
      </w:pPr>
      <w:r>
        <w:rPr>
          <w:rFonts w:ascii="Arial" w:cs="Arial" w:eastAsia="Arial" w:hAnsi="Arial"/>
          <w:b/>
          <w:bCs/>
          <w:color w:val="1B2A4A"/>
          <w:sz w:val="32"/>
          <w:szCs w:val="32"/>
        </w:rPr>
        <w:t xml:space="preserve">Appendix A — API Quick Reference</w:t>
      </w:r>
    </w:p>
    <w:p>
      <w:pPr>
        <w:pStyle w:val="Heading2"/>
        <w:spacing w:before="280" w:after="160"/>
      </w:pPr>
      <w:r>
        <w:rPr>
          <w:rFonts w:ascii="Arial" w:cs="Arial" w:eastAsia="Arial" w:hAnsi="Arial"/>
          <w:b/>
          <w:bCs/>
          <w:color w:val="2C4A7C"/>
          <w:sz w:val="28"/>
          <w:szCs w:val="28"/>
        </w:rPr>
        <w:t xml:space="preserve">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200"/>
        <w:gridCol w:w="1500"/>
        <w:gridCol w:w="1700"/>
        <w:gridCol w:w="21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/v1/traces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ActionTrace[]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/v1/decisions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DecisionLog[]</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/v1/drift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DriftSignal[]</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/v1/resources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ResourceUtil[]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/v1/privacy</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PrivacyEvent[]</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/v1/societal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SocietalEvent[]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max 1000, 5 MB</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/v1/batch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BatchPayload</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Ack</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types; max 1000 total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/v1/checkin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HealthStatus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/v1/health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PlatformHealth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Platform health check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/v1/status/{id}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Bearer JWT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CertStatus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certification status</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/v1/insurance/{id}</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JWT</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200: InsuranceFeed</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/.well-known/ara-telemetry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200: DiscoveryDoc</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Agent-to-agent discovery</w:t>
            </w:r>
          </w:p>
        </w:tc>
      </w:tr>
    </w:tbl>
    <w:p>
      <w:pPr>
        <w:pStyle w:val="Heading2"/>
        <w:spacing w:before="280" w:after="160"/>
      </w:pPr>
      <w:r>
        <w:rPr>
          <w:rFonts w:ascii="Arial" w:cs="Arial" w:eastAsia="Arial" w:hAnsi="Arial"/>
          <w:b/>
          <w:bCs/>
          <w:color w:val="2C4A7C"/>
          <w:sz w:val="28"/>
          <w:szCs w:val="28"/>
        </w:rPr>
        <w:t xml:space="preserve">gRPC Service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RPC</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Request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SubmitDecisions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DecisionsBatch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BoundariesBatch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SubmitDrift</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SubmitResources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ResourcesBatch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SubmitPrivacy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PrivacyBatch</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SubmitSocietal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SocietalBatch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Batched submission</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Unary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CheckInPayload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HealthStatus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Agent check-in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StreamTraces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ActionTrace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traces</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StreamAll</w:t>
            </w:r>
          </w:p>
        </w:tc>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Client streaming</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stream Ack</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Mixed telemetry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Bidirectional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TelemetryEvent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stream PlatformDirective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2/3</w:t>
            </w:r>
          </w:p>
        </w:tc>
      </w:tr>
    </w:tbl>
    <w:p>
      <w:r>
        <w:br w:type="page"/>
      </w:r>
    </w:p>
    <w:p>
      <w:pPr>
        <w:pStyle w:val="Heading1"/>
        <w:spacing w:before="360" w:after="200"/>
      </w:pPr>
      <w:r>
        <w:rPr>
          <w:rFonts w:ascii="Arial" w:cs="Arial" w:eastAsia="Arial" w:hAnsi="Arial"/>
          <w:b/>
          <w:bCs/>
          <w:color w:val="1B2A4A"/>
          <w:sz w:val="32"/>
          <w:szCs w:val="32"/>
        </w:rPr>
        <w:t xml:space="preserve">Appendix B — Schema Quick Reference</w:t>
      </w:r>
    </w:p>
    <w:p>
      <w:pPr>
        <w:spacing w:after="120"/>
      </w:pPr>
      <w:r>
        <w:rPr>
          <w:rFonts w:ascii="Arial" w:cs="Arial" w:eastAsia="Arial" w:hAnsi="Arial"/>
          <w:sz w:val="22"/>
          <w:szCs w:val="22"/>
        </w:rPr>
        <w:t xml:space="preserve">Summary of required fields per schema (all fields listed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1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5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Fields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action_type, action_class, inputs, outputs, duration_ms, outcome, boundary_status,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Record every autonomous action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trace_id, decision_type, decision_context, alternatives_considered, selected_alternative, selection_rationale, confidence_score, decision_rules_applied, human_override,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Record why decisions were made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boundary_type, boundary_id, boundary_status, threshold_value, current_value, proximity_pct, auto_response,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operational boundary status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drift_type, metric_name, baseline_value, current_value, detection_method, drift_magnitude, severity, window_start, window_end, sample_count,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Report behavioral drift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resource_type, resource_id, current_usage, unit, period_seconds, integrity_hash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Track resource consumption</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privacy_event_type, data_category, detection_method, action_taken, integrity_hash, chain_hash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Track data privacy compliance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w:t>
            </w:r>
          </w:p>
        </w:tc>
        <w:tc>
          <w:tcPr>
            <w:tcW w:type="dxa" w:w="5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event_id, schema_version, timestamp, system_id, societal_event_type, risk_category, severity, guardrail_id, action_taken, confidence_score, integrity_hash, chain_hash</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Monitor societal safety controls</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5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system_id, checkin_id, timestamp, certification_id, system_version, config_hash, operational_status, system_profile, uptime_seconds, telemetry_status, boundary_summary, drift_summary, resource_summary, privacy_summary, societal_summary, integrity_hash</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Proactive compliance assertion</w:t>
            </w:r>
          </w:p>
        </w:tc>
      </w:tr>
    </w:tbl>
    <w:p>
      <w:r>
        <w:br w:type="page"/>
      </w:r>
    </w:p>
    <w:p>
      <w:pPr>
        <w:pStyle w:val="Heading1"/>
        <w:spacing w:before="360" w:after="200"/>
      </w:pPr>
      <w:r>
        <w:rPr>
          <w:rFonts w:ascii="Arial" w:cs="Arial" w:eastAsia="Arial" w:hAnsi="Arial"/>
          <w:b/>
          <w:bCs/>
          <w:color w:val="1B2A4A"/>
          <w:sz w:val="32"/>
          <w:szCs w:val="32"/>
        </w:rPr>
        <w:t xml:space="preserve">Appendix C — ACR-to-SDK Mapping</w:t>
      </w:r>
    </w:p>
    <w:p>
      <w:pPr>
        <w:spacing w:after="120"/>
      </w:pPr>
      <w:r>
        <w:rPr>
          <w:rFonts w:ascii="Arial" w:cs="Arial" w:eastAsia="Arial" w:hAnsi="Arial"/>
          <w:sz w:val="22"/>
          <w:szCs w:val="22"/>
        </w:rPr>
        <w:t xml:space="preserve">This appendix maps the ACRs most directly supported by SDK integration to specific SDK capabilities. This is not exhaustive; many ACRs benefit from SDK telemetry indirectly.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SDK Component</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Telemetry Schema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Machine-readable operational boundary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Runtime boundary enforcement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violation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ACR-2.01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logic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trace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ACR-2.05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scoring for decisions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Confidence field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 documentation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User consent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Consent event logging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and prevention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 event streaming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data isolation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Cross-tenant isolation telemetry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sanitization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PII redaction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Training data extraction resistance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Extraction attempt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ACR-5.24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breach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Breach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Privacy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ACR-6.01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Error detail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(error_details)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ACR-6.10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 under failure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Outcome tracking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Action Trace (outcome)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ACR-7.01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consistency under normal load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baselining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ACR-7.15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under resource constraints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monitoring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Resource Utilization</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ACR-9.01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Output distribution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detection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ACR-9.05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alerting with configurable thresholds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logging with full context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Tamper-evident logging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Hash chain integrity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 (integrity_hash, chain_hash)</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logging with consistent schema</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Schema validation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ACR-10.15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anomaly alerts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Anomaly detection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Drift Signal + Alert routing</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ACR-10.20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data retention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Buffer + platform storage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Configuration (retention)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ACR-11.01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escalation pathways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Escalation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Boundary Event (auto_response: escalated)</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ACR-12.01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maintenance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 capture</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ACR-12.05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Comprehensive event capture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All schemas</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content guardrails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CBRN guardrail trigger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safety guardrails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 guardrail trigger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Harmful content safeguards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Hallucination detection signals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ACR-13.08</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and watermarking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Deepfake detection events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Hate speech and harassment controls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Content safety violation events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ACR-13.10</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 and fairness monitoring</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Bias/fairness metric streaming</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Adversarial red-team 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Red-team result telemetry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ACR-14.01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control documentation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Version tracking in check-in</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Check-In (system_version, config_hash)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ACR-14.10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management procedures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Change detection and reporting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 (change_log)</w:t>
            </w:r>
          </w:p>
        </w:tc>
      </w:tr>
    </w:tbl>
    <w:p>
      <w:r>
        <w:br w:type="page"/>
      </w:r>
    </w:p>
    <w:p>
      <w:pPr>
        <w:pStyle w:val="Heading1"/>
        <w:spacing w:before="360" w:after="200"/>
      </w:pPr>
      <w:r>
        <w:rPr>
          <w:rFonts w:ascii="Arial" w:cs="Arial" w:eastAsia="Arial" w:hAnsi="Arial"/>
          <w:b/>
          <w:bCs/>
          <w:color w:val="1B2A4A"/>
          <w:sz w:val="32"/>
          <w:szCs w:val="32"/>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Action Trace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 single autonomous action including inputs, outputs, timing, and outcome.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Reliability Assurance Foundation. The independent standards body governing ARA certification.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Boundary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operational boundary approach, reach, violation, or recovery.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Always-on monitoring service for post-certification compliance.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Chain Hash</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Sequential hash linking consecutive telemetry events to detect insertion, deletion, or reordering.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Check-In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Structured assertion of operational state submitted by an autonomous system to the ARA Platform.</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Decision Log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an autonomous decision including alternatives, rationale, and confidence.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Drift Signal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indicating behavioral deviation from certified baseline.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Human-in-the-Loop. Human participation in governance, review, and certification decision-making.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Integrity Hash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SHA-256 hash of a telemetry event payload for individual tamper detection.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Insurance Data Feed</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Standardized API providing risk-relevant certification signals to partner insurance providers.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mTLS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Mutual TLS. Two-way certificate authentication required for Level 3 certifications.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Multi-Party Integration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 capability for monitoring autonomous systems operating across organizational boundaries.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 Detection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identification of personally identifiable information in telemetry data streams.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Privacy Event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record of data privacy activities including PII detection, consent, and breach signals.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Revalidation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Re-evaluation of specific ACRs triggered by material system changes.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 Development Kit. The Behavioral Telemetry SDK documented in this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Societal Impact Event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Telemetry record of content safety, bias, and responsible deployment control activities.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 of system complexity determining applicable ACRs: Foundational, Standard, Advanced, Comprehensive.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ARAF-ARA-SDK-2026-002</w:t>
    </w:r>
    <w:r>
      <w:rPr>
        <w:rFonts w:ascii="Arial" w:cs="Arial" w:eastAsia="Arial" w:hAnsi="Arial"/>
        <w:color w:val="888888"/>
        <w:sz w:val="18"/>
        <w:szCs w:val="18"/>
      </w:rPr>
      <w:t xml:space="preserve">	Behavioral Telemetry SDK Reference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2026-03-02T21:07:14.966Z</dcterms:created>
  <dcterms:modified xsi:type="dcterms:W3CDTF">2026-03-02T21:07:14.967Z</dcterms:modified>
</cp:coreProperties>
</file>

<file path=docProps/custom.xml><?xml version="1.0" encoding="utf-8"?>
<Properties xmlns="http://schemas.openxmlformats.org/officeDocument/2006/custom-properties" xmlns:vt="http://schemas.openxmlformats.org/officeDocument/2006/docPropsVTypes"/>
</file>