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28"/>
          <w:szCs w:val="28"/>
        </w:rPr>
        <w:t xml:space="preserve">AUTONOMOUS RELIABILITY ASSURANCE FOUNDATION</w:t>
      </w:r>
    </w:p>
    <w:p>
      <w:pPr>
        <w:spacing w:before="60" w:after="60"/>
        <w:jc w:val="center"/>
      </w:pPr>
      <w:r>
        <w:rPr>
          <w:rFonts w:ascii="Arial" w:cs="Arial" w:eastAsia="Arial" w:hAnsi="Arial"/>
          <w:color w:val="444444"/>
          <w:sz w:val="24"/>
          <w:szCs w:val="24"/>
        </w:rPr>
        <w:t xml:space="preserve">ARAF ARA Standard Suite</w:t>
      </w:r>
    </w:p>
    <w:p>
      <w:pPr>
        <w:spacing w:before="60" w:after="360"/>
        <w:jc w:val="center"/>
      </w:pPr>
      <w:r>
        <w:rPr>
          <w:rFonts w:ascii="Arial" w:cs="Arial" w:eastAsia="Arial" w:hAnsi="Arial"/>
          <w:i/>
          <w:iCs/>
          <w:color w:val="444444"/>
          <w:sz w:val="22"/>
          <w:szCs w:val="22"/>
        </w:rPr>
        <w:t xml:space="preserve">Master Continuation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624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ARAF Suite Master Continuation Reference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Version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v2.0 — Supersedes Session 4 Continuation Reference (prior draft)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4,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Architecture 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 All decisions in Section 7 are confirmed. Do not re-open.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Suite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v1.1 in-place update. All changes are v1.1, not a v1.2 bump.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Target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398 existing ACRs + 12 new ACRs (Platform Cert &amp; Two-Axis Model) = 410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 4, 5, 6 — structured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This Document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Upload at the start of EVERY session (4, 5, 6). Single source of truth.</w:t>
            </w:r>
          </w:p>
        </w:tc>
      </w:tr>
    </w:tbl>
    <w:p>
      <w:pPr>
        <w:spacing w:before="60" w:after="60"/>
      </w:pPr>
      <w:r>
        <w:t xml:space="preserve"/>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20"/>
                <w:szCs w:val="20"/>
              </w:rPr>
              <w:t xml:space="preserve">⚠ WHAT CHANGED FROM SESSION 4 REF v1.0: </w:t>
            </w:r>
            <w:r>
              <w:rPr>
                <w:rFonts w:ascii="Arial" w:cs="Arial" w:eastAsia="Arial" w:hAnsi="Arial"/>
                <w:sz w:val="20"/>
                <w:szCs w:val="20"/>
              </w:rPr>
              <w:t xml:space="preserve">Retiring M1–M4 monitoring tier model. Retiring 'Level 3 Continuous Assurance' nomenclature. Implementing Two-Axis Certification (Evaluation Level × Assurance Class). Implementing Platform Certification pathway. Adding 12 new ACRs. Removing GOV Art. 7.5 and replacing with Foreword acknowledgment.</w:t>
            </w:r>
          </w:p>
        </w:tc>
      </w:tr>
    </w:tbl>
    <w:p>
      <w:r>
        <w:br w:type="page"/>
      </w:r>
    </w:p>
    <w:p>
      <w:pPr>
        <w:pStyle w:val="Heading1"/>
        <w:spacing w:before="360" w:after="120"/>
      </w:pPr>
      <w:r>
        <w:rPr>
          <w:rFonts w:ascii="Arial" w:cs="Arial" w:eastAsia="Arial" w:hAnsi="Arial"/>
          <w:b/>
          <w:bCs/>
          <w:color w:val="1F3864"/>
          <w:sz w:val="28"/>
          <w:szCs w:val="28"/>
        </w:rPr>
        <w:t xml:space="preserve">1. Why This Architecture</w:t>
      </w:r>
    </w:p>
    <w:p>
      <w:pPr>
        <w:spacing w:before="60" w:after="60"/>
      </w:pPr>
      <w:r>
        <w:rPr>
          <w:rFonts w:ascii="Arial" w:cs="Arial" w:eastAsia="Arial" w:hAnsi="Arial"/>
          <w:sz w:val="20"/>
          <w:szCs w:val="20"/>
        </w:rPr>
        <w:t xml:space="preserve">Every durable global standard separates three things that are genuinely different: the evaluation (what was assessed, by whom, against what criteria), the certification (the formal status that results), and the assurance maintenance (the ongoing obligation that keeps the certification valid). ISO 27001, ISO 13485, Common Criteria, and CMMI all make this separation explicit. They do so because these three things have different owners, different cadences, and different failure modes. Collapsing them produces a standard that is either unenforceable or over-specified.</w:t>
      </w:r>
    </w:p>
    <w:p>
      <w:pPr>
        <w:spacing w:before="60" w:after="60"/>
      </w:pPr>
      <w:r>
        <w:t xml:space="preserve"/>
      </w:r>
    </w:p>
    <w:p>
      <w:pPr>
        <w:spacing w:before="60" w:after="60"/>
      </w:pPr>
      <w:r>
        <w:rPr>
          <w:rFonts w:ascii="Arial" w:cs="Arial" w:eastAsia="Arial" w:hAnsi="Arial"/>
          <w:sz w:val="20"/>
          <w:szCs w:val="20"/>
        </w:rPr>
        <w:t xml:space="preserve">The ARA Standard v1.1 as drafted conflates evaluation rigor with monitoring intensity. 'Level 3 Continuous Assurance' names a monitoring modality, not an evaluation level. A system evaluated with high rigor may need only periodic monitoring. A system needing 24/7 monitoring may have been evaluated at a foundational level. These are orthogonal dimensions, not a single spectrum.</w:t>
      </w:r>
    </w:p>
    <w:p>
      <w:pPr>
        <w:spacing w:before="60" w:after="60"/>
      </w:pPr>
      <w:r>
        <w:t xml:space="preserve"/>
      </w:r>
    </w:p>
    <w:p>
      <w:pPr>
        <w:spacing w:before="60" w:after="60"/>
      </w:pPr>
      <w:r>
        <w:rPr>
          <w:rFonts w:ascii="Arial" w:cs="Arial" w:eastAsia="Arial" w:hAnsi="Arial"/>
          <w:sz w:val="20"/>
          <w:szCs w:val="20"/>
        </w:rPr>
        <w:t xml:space="preserve">The two-axis model resolves this correctly and is the architecture that a serious standards body would build. It is also commercially superior: vendors can certify platforms pre-deployment, customers add an Assurance Class appropriate to their risk profile, and the CAPO layer becomes essential infrastructure rather than an optional add-on.</w:t>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The added complexity is in the specification, not in the credential. The market sees a badge that reads 'Level 2 / Class C.' The standards community sees a framework that is technically defensible at a global level.</w:t>
            </w:r>
          </w:p>
        </w:tc>
      </w:tr>
    </w:tbl>
    <w:p>
      <w:r>
        <w:br w:type="page"/>
      </w:r>
    </w:p>
    <w:p>
      <w:pPr>
        <w:pStyle w:val="Heading1"/>
        <w:spacing w:before="360" w:after="120"/>
      </w:pPr>
      <w:r>
        <w:rPr>
          <w:rFonts w:ascii="Arial" w:cs="Arial" w:eastAsia="Arial" w:hAnsi="Arial"/>
          <w:b/>
          <w:bCs/>
          <w:color w:val="1F3864"/>
          <w:sz w:val="28"/>
          <w:szCs w:val="28"/>
        </w:rPr>
        <w:t xml:space="preserve">2. The Two-Axis Model — Locked Architecture</w:t>
      </w:r>
    </w:p>
    <w:p>
      <w:pPr>
        <w:spacing w:before="60" w:after="60"/>
      </w:pPr>
      <w:r>
        <w:rPr>
          <w:rFonts w:ascii="Arial" w:cs="Arial" w:eastAsia="Arial" w:hAnsi="Arial"/>
          <w:sz w:val="20"/>
          <w:szCs w:val="20"/>
        </w:rPr>
        <w:t xml:space="preserve">Every ARA certification is defined by two independent dimensions:</w:t>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AXIS 1 — EVALUATION LEVEL
What was assessed and with what rigor. Applies to both Platform Certifications and Deployment Certifications.
• Level 1 Foundation — Core ACR coverage against the applicable system profile. Documentation and self-attestation evidence accepted. Lower-autonomy systems.
• Level 2 Operational — Full ACR coverage for the applicable profile. Evidence-based evaluation with independent validation. Production-context or reference-environment evaluation.
• Level 3 Comprehensive — Full ACR coverage plus adversarial testing, independent evidence validation, and supply chain review. Required for high-consequence deployments. (Previously named 'Level 3 Continuous Assurance' — renamed globally.)</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AXIS 2 — ASSURANCE CLASS
How the certification is maintained over time. Applies to Deployment Certifications only. Determined by Risk Classification. Not applicable to Platform Certifications.
• Class A — Periodic — Annual or biannual re-evaluation. No continuous CAPO monitoring required. Event-triggered revalidation only. Low-autonomy, low-consequence deployments.
• Class B — Monitored — Active CAPO connection required. Minimum monthly telemetry batch delivery. Event-triggered revalidation. Most operational business systems.
• Class C — Continuously Assured — Persistent CAPO connection required. Real-time telemetry stream. SLA-bound alerting. Required for high-autonomy, high-consequence, or regulated deployments. Life-safety systems are Class C without exception.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Certification Expression</w:t>
            </w:r>
          </w:p>
        </w:tc>
        <w:tc>
          <w:tcPr>
            <w:tcW w:type="dxa" w:w="3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What It Means</w:t>
            </w:r>
          </w:p>
        </w:tc>
        <w:tc>
          <w:tcPr>
            <w:tcW w:type="dxa" w:w="3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Example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 Deployment Certified Level 1 / Class 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Foundational evaluation; periodic re-assessment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Internal scheduling agent, low-stakes recommendation tool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ARA Deployment Certified Level 2 / Class 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operational evaluation; monthly CAPO telemetry; event-triggered revalidation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Customer-facing support agent, logistics optimization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 Deployment Certified Level 2 / Class 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operational evaluation; persistent CAPO monitoring; real-time alerting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 services agent, high-volume autonomous procurement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ARA Deployment Certified Level 3 / Class C</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Comprehensive evaluation incl. adversarial testing; 24/7 persistent monitoring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Clinical decision AI, autonomous vehicle fleet, critical infrastructure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ARA Platform Certified Level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operational evaluation in reference environment; no Assurance 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Agentic platform vendor, robotics product — pre-deployment certification</w:t>
            </w:r>
          </w:p>
        </w:tc>
      </w:tr>
    </w:tbl>
    <w:p>
      <w:r>
        <w:br w:type="page"/>
      </w:r>
    </w:p>
    <w:p>
      <w:pPr>
        <w:pStyle w:val="Heading1"/>
        <w:spacing w:before="360" w:after="120"/>
      </w:pPr>
      <w:r>
        <w:rPr>
          <w:rFonts w:ascii="Arial" w:cs="Arial" w:eastAsia="Arial" w:hAnsi="Arial"/>
          <w:b/>
          <w:bCs/>
          <w:color w:val="1F3864"/>
          <w:sz w:val="28"/>
          <w:szCs w:val="28"/>
        </w:rPr>
        <w:t xml:space="preserve">3. Platform Certification</w:t>
      </w:r>
    </w:p>
    <w:p>
      <w:pPr>
        <w:spacing w:before="60" w:after="60"/>
      </w:pPr>
      <w:r>
        <w:rPr>
          <w:rFonts w:ascii="Arial" w:cs="Arial" w:eastAsia="Arial" w:hAnsi="Arial"/>
          <w:sz w:val="20"/>
          <w:szCs w:val="20"/>
        </w:rPr>
        <w:t xml:space="preserve">Platform Certification is an Evaluation Level designation without an Assurance Class. There is no live deployment to monitor, so Assurance Class does not apply. A Platform Cert says: 'This technology was evaluated at this level of rigor in a controlled reference environment.' When a customer deploys, the Deployment Certification inherits the platform's ACR coverage and adds an Assurance Class based on their operational risk profile.</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3.1 Who Can Obtain Platform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Entity Type</w:t>
            </w:r>
          </w:p>
        </w:tc>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c>
          <w:tcPr>
            <w:tcW w:type="dxa" w:w="45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Agentic platform vendor (sells AI agent 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primary use case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 commercial differentiator; enables pre-deployment certification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Autonomous system product company (robotics, vehicles)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Product-level cert before fleet or customer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 model provider (autonomous use 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scoped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Scoped to autonomous use cases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Enterprise self-build (internal agents)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 Deployment Cert instead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distributable product; goes directly to Deployment Cert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Consulting / implementation 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client gets Deployment Cert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See Section 3.4 for Certified Technology Partner designation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CAPO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 separate accreditation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CAPO accreditation is GOV Art. 4 process</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3.2 Reference Environment Requirements</w:t>
      </w:r>
    </w:p>
    <w:p>
      <w:pPr>
        <w:pStyle w:val="ListParagraph"/>
        <w:numPr>
          <w:ilvl w:val="0"/>
          <w:numId w:val="2"/>
        </w:numPr>
        <w:spacing w:before="40" w:after="40"/>
      </w:pPr>
      <w:r>
        <w:rPr>
          <w:rFonts w:ascii="Arial" w:cs="Arial" w:eastAsia="Arial" w:hAnsi="Arial"/>
          <w:sz w:val="20"/>
          <w:szCs w:val="20"/>
        </w:rPr>
        <w:t xml:space="preserve">Platform deployed in functional state capable of executing all in-scope ACRs</w:t>
      </w:r>
    </w:p>
    <w:p>
      <w:pPr>
        <w:pStyle w:val="ListParagraph"/>
        <w:numPr>
          <w:ilvl w:val="0"/>
          <w:numId w:val="2"/>
        </w:numPr>
        <w:spacing w:before="40" w:after="40"/>
      </w:pPr>
      <w:r>
        <w:rPr>
          <w:rFonts w:ascii="Arial" w:cs="Arial" w:eastAsia="Arial" w:hAnsi="Arial"/>
          <w:sz w:val="20"/>
          <w:szCs w:val="20"/>
        </w:rPr>
        <w:t xml:space="preserve">Full infrastructure, configuration, model version, and dependency versions documented</w:t>
      </w:r>
    </w:p>
    <w:p>
      <w:pPr>
        <w:pStyle w:val="ListParagraph"/>
        <w:numPr>
          <w:ilvl w:val="0"/>
          <w:numId w:val="2"/>
        </w:numPr>
        <w:spacing w:before="40" w:after="40"/>
      </w:pPr>
      <w:r>
        <w:rPr>
          <w:rFonts w:ascii="Arial" w:cs="Arial" w:eastAsia="Arial" w:hAnsi="Arial"/>
          <w:sz w:val="20"/>
          <w:szCs w:val="20"/>
        </w:rPr>
        <w:t xml:space="preserve">Simulated or synthetic telemetry acceptable; AVB specifies minimum fidelity requirements per new ACR-REF.01 through ACR-REF.05</w:t>
      </w:r>
    </w:p>
    <w:p>
      <w:pPr>
        <w:pStyle w:val="ListParagraph"/>
        <w:numPr>
          <w:ilvl w:val="0"/>
          <w:numId w:val="2"/>
        </w:numPr>
        <w:spacing w:before="40" w:after="40"/>
      </w:pPr>
      <w:r>
        <w:rPr>
          <w:rFonts w:ascii="Arial" w:cs="Arial" w:eastAsia="Arial" w:hAnsi="Arial"/>
          <w:sz w:val="20"/>
          <w:szCs w:val="20"/>
        </w:rPr>
        <w:t xml:space="preserve">Vendor maintains reference environment documentation as a condition of certification validity</w:t>
      </w:r>
    </w:p>
    <w:p>
      <w:pPr>
        <w:pStyle w:val="ListParagraph"/>
        <w:numPr>
          <w:ilvl w:val="0"/>
          <w:numId w:val="2"/>
        </w:numPr>
        <w:spacing w:before="40" w:after="40"/>
      </w:pPr>
      <w:r>
        <w:rPr>
          <w:rFonts w:ascii="Arial" w:cs="Arial" w:eastAsia="Arial" w:hAnsi="Arial"/>
          <w:sz w:val="20"/>
          <w:szCs w:val="20"/>
        </w:rPr>
        <w:t xml:space="preserve">Material platform changes (new model version, architectural change) trigger re-evaluation per new ACR-REF.04</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3.3 Certification Inheritance at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ACR Category</w:t>
            </w:r>
          </w:p>
        </w:tc>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Inheritance</w:t>
            </w:r>
          </w:p>
        </w:tc>
        <w:tc>
          <w:tcPr>
            <w:tcW w:type="dxa" w:w="45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Customer Obligation at Deployment Cert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Platform-evaluated ACRs (config matches reference env)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Inherited — no re-evaluation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 configuration matches Platform Cert reference environment; AVB attests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Configuration-dependent ACRs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Partial — delta evaluation only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AVB evaluates configuration delta against Platform Cert 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Deployment-context ACRs (data flows, integrations, ops 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inherited — full evaluation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Outside platform scope by definition; full evaluation required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gaps (standard updated since Platform Cert)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Not inherited — gap analysis required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Vendor and customer jointly responsible; AVB identifies and evaluates gaps</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3.4 Certified Technology Partner (CTP) Registry</w:t>
      </w:r>
    </w:p>
    <w:p>
      <w:pPr>
        <w:spacing w:before="60" w:after="60"/>
      </w:pPr>
      <w:r>
        <w:rPr>
          <w:rFonts w:ascii="Arial" w:cs="Arial" w:eastAsia="Arial" w:hAnsi="Arial"/>
          <w:sz w:val="20"/>
          <w:szCs w:val="20"/>
        </w:rPr>
        <w:t xml:space="preserve">Consulting and implementation firms that help clients achieve ARA certification are not eligible for Platform or Deployment Certification. The appropriate designation is Certified Technology Partner (CTP): a lightweight registry entry, not a certification. Requirements: demonstrated history of successful ARA engagements, ARAF-trained staff, ARAF code of conduct adherence.</w:t>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20"/>
                <w:szCs w:val="20"/>
              </w:rPr>
              <w:t xml:space="preserve">⚠ DEFERRED — CTP REGISTRY: </w:t>
            </w:r>
            <w:r>
              <w:rPr>
                <w:rFonts w:ascii="Arial" w:cs="Arial" w:eastAsia="Arial" w:hAnsi="Arial"/>
                <w:sz w:val="20"/>
                <w:szCs w:val="20"/>
              </w:rPr>
              <w:t xml:space="preserve">CTP registry is defined in this document and in GOV Art. 10.4 (see below) but deferred to post-adoption operational build. Session 4 adds Art. 10.4 as a placeholder definition in GOV. The registry is built operationally after adoption.
GOV ART. 10.4 PLACEHOLDER TEXT (use verbatim):
'10.4 Certified Technology Partner (CTP) Registry
The ARAF CTP Registry recognizes consulting and implementation organizations that demonstrate competency in supporting ARA certification engagements. CTP status is a registry designation, not a certification, and does not confer evaluation authority or certification rights.
Requirements for CTP designation: (a) Demonstrated history of at least three successful ARA certification engagements as a supporting consultant or integrator; (b) At least two staff members who have completed ARAF-recognized ARA implementation training; (c) Signed adherence to the ARAF Code of Conduct and confidentiality requirements; (d) Annual renewal with continued engagement history.
The CTP registry will be publicly accessible through the ARAF website. ARAF will establish the registry operationally following the adoption of the ARA Standard v1.1. Organizations meeting the requirements above may express interest through the ARAF Ecosystem Development Office for priority registration upon launch.'</w:t>
            </w:r>
          </w:p>
        </w:tc>
      </w:tr>
    </w:tbl>
    <w:p>
      <w:r>
        <w:br w:type="page"/>
      </w:r>
    </w:p>
    <w:p>
      <w:pPr>
        <w:pStyle w:val="Heading1"/>
        <w:spacing w:before="360" w:after="120"/>
      </w:pPr>
      <w:r>
        <w:rPr>
          <w:rFonts w:ascii="Arial" w:cs="Arial" w:eastAsia="Arial" w:hAnsi="Arial"/>
          <w:b/>
          <w:bCs/>
          <w:color w:val="1F3864"/>
          <w:sz w:val="28"/>
          <w:szCs w:val="28"/>
        </w:rPr>
        <w:t xml:space="preserve">4. Risk Classification — Assurance Class Assignment</w:t>
      </w:r>
    </w:p>
    <w:p>
      <w:pPr>
        <w:spacing w:before="60" w:after="60"/>
      </w:pPr>
      <w:r>
        <w:rPr>
          <w:rFonts w:ascii="Arial" w:cs="Arial" w:eastAsia="Arial" w:hAnsi="Arial"/>
          <w:sz w:val="20"/>
          <w:szCs w:val="20"/>
        </w:rPr>
        <w:t xml:space="preserve">Risk Classification is conducted by the accredited AVB as part of Deployment Certification. It determines the required Assurance Class and is documented in the evaluation report. Certified organizations may appeal to the ARAF Technical Standards Board.</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4.1 Classification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Factor</w:t>
            </w:r>
          </w:p>
        </w:tc>
        <w:tc>
          <w:tcPr>
            <w:tcW w:type="dxa" w:w="69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Degree of Autonomy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Extent to which the system makes and executes decisions without human review, approval, or override. Primary factor — high autonomy alone can drive Class C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Consequence Severity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Potential harm to people, organizations, or critical systems if the system behaves incorrectly. Primary factor — life-safety consequences require Class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Reversibility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actions taken by the system can be undone within an operationally meaningful timeframe. High weight — irreversible actions elevate class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Breadth of Impact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 of people, systems, or transactions affected by a single autonomous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 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system operates in a regulated domain (healthcare, finance, critical infrastructure, aviation). Regulated domains require Class B minimum; safety-critical regulated domains require Class 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Dependency Criticality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Whether other autonomous systems or agents depend on this system's outputs as inputs to their own decisions. Upstream dependency amplifies failure 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Operational Continuity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system operates continuously (24/7) vs. discretely (batch, scheduled, on-demand). Continuous operation elevates monitoring frequency within class.</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4.2 Class 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Condition</w:t>
            </w:r>
          </w:p>
        </w:tc>
        <w:tc>
          <w:tcPr>
            <w:tcW w:type="dxa" w:w="432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Minimum Assurance Class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Life-safety consequences possible (clinical AI, autonomous vehicles, safety-critical robotics)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C — no exceptions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Financial system with systemic exposure (high-frequency trading, payment infrastructure)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C — no exceptions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infrastructure control (power, water, communications)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C — no exceptions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Regulated domain without life-safety exposure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B minimum</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High-autonomy system (minimal human oversight) in any domain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B minimum; AVB may require Class C based on consequence severity</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Multi-agent orchestration system (directs or coordinates other autonomous agents)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B minimum; Class C if any downstream agent is Class C-eligible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Customer-facing agent with human escalation path and reversible actions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A or B depending on volume and consequence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Internal operational agent with human review of outputs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A eligible</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20"/>
                <w:szCs w:val="20"/>
              </w:rPr>
              <w:t xml:space="preserve">⚠ OPEN ITEM: </w:t>
            </w:r>
            <w:r>
              <w:rPr>
                <w:rFonts w:ascii="Arial" w:cs="Arial" w:eastAsia="Arial" w:hAnsi="Arial"/>
                <w:sz w:val="20"/>
                <w:szCs w:val="20"/>
              </w:rPr>
              <w:t xml:space="preserve">RISK CLASSIFICATION RUBRIC — v1.1 OPERATING POSTURE:
The full Risk Classification scoring rubric (weighted criteria, decision tree, worked examples) is deferred to a v1.2 companion guide. STD v1.1 establishes the framework and class assignment rules above as normative. These rules are sufficient for AVBs to make good-faith professional judgment determinations.
For v1.1 evaluation purposes: AVBs apply the class assignment rules in Section 4.2 above using professional judgment documented in the evaluation report. The Class determination and its rationale are auditable. Organizations may appeal to the ARAF TSB, which will adjudicate using the same normative rules. The absence of a numerical scoring rubric does not create ambiguity in the most common cases (life-safety = Class C without exception; etc.). Edge cases will inform the v1.2 rubric development.
This gap is explicitly acknowledged in the STD Summary of Changes and the locked decisions table (Section 7).</w:t>
            </w:r>
          </w:p>
        </w:tc>
      </w:tr>
    </w:tbl>
    <w:p>
      <w:r>
        <w:br w:type="page"/>
      </w:r>
    </w:p>
    <w:p>
      <w:pPr>
        <w:pStyle w:val="Heading1"/>
        <w:spacing w:before="360" w:after="120"/>
      </w:pPr>
      <w:r>
        <w:rPr>
          <w:rFonts w:ascii="Arial" w:cs="Arial" w:eastAsia="Arial" w:hAnsi="Arial"/>
          <w:b/>
          <w:bCs/>
          <w:color w:val="1F3864"/>
          <w:sz w:val="28"/>
          <w:szCs w:val="28"/>
        </w:rPr>
        <w:t xml:space="preserve">5. Level 3 Rename — 'Continuous Assurance' → 'Comprehensive'</w:t>
      </w:r>
    </w:p>
    <w:p>
      <w:pPr>
        <w:spacing w:before="60" w:after="60"/>
      </w:pPr>
      <w:r>
        <w:rPr>
          <w:rFonts w:ascii="Arial" w:cs="Arial" w:eastAsia="Arial" w:hAnsi="Arial"/>
          <w:sz w:val="20"/>
          <w:szCs w:val="20"/>
        </w:rPr>
        <w:t xml:space="preserve">The existing Level 3 name ('Continuous Assurance') must be retired globally across all nine documents. Under the two-axis model, continuous assurance is what Assurance Class C describes — not an evaluation level. Retaining the old name actively misleads.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Old Name</w:t>
            </w:r>
          </w:p>
        </w:tc>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New Name</w:t>
            </w:r>
          </w:p>
        </w:tc>
        <w:tc>
          <w:tcPr>
            <w:tcW w:type="dxa" w:w="45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1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1 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Level 2 Operational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Level 2 Operational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3 Continuous Assurance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Level 3 Comprehensive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'Continuous Assurance' is now Assurance Class C. 'Comprehensive' correctly describes the evaluation rigor: adversarial testing, independent evidence validation, supply chain review.</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sz w:val="20"/>
                <w:szCs w:val="20"/>
              </w:rPr>
              <w:t xml:space="preserve">🔒 LOCKED — GLOBAL FIND-AND-REPLACE: </w:t>
            </w:r>
            <w:r>
              <w:rPr>
                <w:rFonts w:ascii="Arial" w:cs="Arial" w:eastAsia="Arial" w:hAnsi="Arial"/>
                <w:sz w:val="20"/>
                <w:szCs w:val="20"/>
              </w:rPr>
              <w:t xml:space="preserve">EXECUTE AS FIRST STEP IN EVERY SESSION BEFORE ANY OTHER EDITS.
Search string: 'Level 3 Continuous Assurance'
Replace with: 'Level 3 Comprehensive'
Also replace: 'Level 3 --- Continuous Assurance' (heading variant)
Also replace: 'Level 3: Continuous Assurance' (table cell variant)
Also replace: 'Level 3 Continuous' where followed by 'Assurance' (split-cell variant)
DOCUMENT-BY-DOCUMENT INSTANCE COUNT (verified against current files):
STD: 2 instances (Doc Control table; Part IV heading)
SDK: 5 instances (rate limit table; gRPC requirement; auth requirements table column header; bidirectional streaming requirement; differential privacy note)
PHY: 1 instance (Domain 15 ACR coverage table)
AVB: 1 instance (AVB Level 3 authorization scope column — 'Level 3 (Continuous Assurance)')
GOV, EVL, TMK: 0 instances — confirm only
ALSO UPDATE: STD Doc Control table field 'Certification Levels: 3 (Foundation, Operational, Continuous Assurance)' → '3 (Foundation, Operational, Comprehensive)'
VERIFICATION: After replacement, grep each document for 'Continuous Assurance' and confirm ALL surviving instances refer to the concept (monitoring) or to CAPO/Class C — not to a certification level name. Session 4 verification covers STD, GOV, EVL. Session 5 covers SDK, AVB, TMK. Session 6 full-suite verification confirms zero certification-level usage.</w:t>
            </w:r>
          </w:p>
        </w:tc>
      </w:tr>
    </w:tbl>
    <w:p>
      <w:r>
        <w:br w:type="page"/>
      </w:r>
    </w:p>
    <w:p>
      <w:pPr>
        <w:pStyle w:val="Heading1"/>
        <w:spacing w:before="360" w:after="120"/>
      </w:pPr>
      <w:r>
        <w:rPr>
          <w:rFonts w:ascii="Arial" w:cs="Arial" w:eastAsia="Arial" w:hAnsi="Arial"/>
          <w:b/>
          <w:bCs/>
          <w:color w:val="1F3864"/>
          <w:sz w:val="28"/>
          <w:szCs w:val="28"/>
        </w:rPr>
        <w:t xml:space="preserve">6. Certification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41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Meaning</w:t>
            </w:r>
          </w:p>
        </w:tc>
        <w:tc>
          <w:tcPr>
            <w:tcW w:type="dxa" w:w="3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Registry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Certification current; Assurance Class maintained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 [Level] / [Class]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Active — Assurance Lapsed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 valid but CAPO monitoring below required Class frequency. Remediation window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Active (Assurance Lapsed) — [deadline]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 Revalidation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Revalidation triggered; AVB evaluation in progress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 Revalidation — [deadline]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Suspended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 suspended; system may not claim certified status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Suspended —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Renewal window missed or lapse remediation window exhausted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Expired —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Revoked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Permanently withdrawn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Revoked — [date]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Assurance Class</w:t>
            </w:r>
          </w:p>
        </w:tc>
        <w:tc>
          <w:tcPr>
            <w:tcW w:type="dxa" w:w="2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Lapse Trigger</w:t>
            </w:r>
          </w:p>
        </w:tc>
        <w:tc>
          <w:tcPr>
            <w:tcW w:type="dxa" w:w="2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Remediation Window</w:t>
            </w:r>
          </w:p>
        </w:tc>
        <w:tc>
          <w:tcPr>
            <w:tcW w:type="dxa" w:w="23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Post-Window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A — Periodic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Missed re-evaluation window by &gt;30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 days to complete re-evaluation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B — Monitored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consecutive months without telemetry batch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 days to restore CAPO connection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Suspended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C — Continuously Assured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telemetry gap &gt;24 hours (non-maintenance); or SLA breach on material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 hours to restore; 7 days for SLA remediation plan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Suspended. Life-safety (clinical, vehicles, infrastructure): immediate suspension, no grace period.</w:t>
            </w:r>
          </w:p>
        </w:tc>
      </w:tr>
    </w:tbl>
    <w:p>
      <w:r>
        <w:br w:type="page"/>
      </w:r>
    </w:p>
    <w:p>
      <w:pPr>
        <w:pStyle w:val="Heading1"/>
        <w:spacing w:before="360" w:after="120"/>
      </w:pPr>
      <w:r>
        <w:rPr>
          <w:rFonts w:ascii="Arial" w:cs="Arial" w:eastAsia="Arial" w:hAnsi="Arial"/>
          <w:b/>
          <w:bCs/>
          <w:color w:val="1F3864"/>
          <w:sz w:val="28"/>
          <w:szCs w:val="28"/>
        </w:rPr>
        <w:t xml:space="preserve">7. All Architecture Decisions — Locked</w:t>
      </w:r>
    </w:p>
    <w:p>
      <w:pPr>
        <w:spacing w:before="60" w:after="60"/>
      </w:pPr>
      <w:r>
        <w:rPr>
          <w:rFonts w:ascii="Arial" w:cs="Arial" w:eastAsia="Arial" w:hAnsi="Arial"/>
          <w:sz w:val="20"/>
          <w:szCs w:val="20"/>
        </w:rPr>
        <w:t xml:space="preserve">Do not re-open any of these in Sessions 4, 5, or 6. Execute against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Decision</w:t>
            </w:r>
          </w:p>
        </w:tc>
        <w:tc>
          <w:tcPr>
            <w:tcW w:type="dxa" w:w="624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Two-axis model vs. single-spectrum levels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Two-axis (Evaluation Level × Assurance Class). Consistent with ISO 27001, ISO 13485, Common Criteria.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Level 3 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Level 3 Comprehensive. 'Continuous Assurance' retired — now describes Assurance Class 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Certification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Evaluation Level only, no Assurance Class. No live deployment = no monitoring obligation.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Every Deployment Cert carries an Assurance Class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Yes. Risk Classification is mandatory. A deployment without an Assurance Class assignment is not certifiable.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Deployment Cert available without Platform Cert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Yes — fully standalone. Platform Cert, where it exists, reduces Deployment Cert scope via inheritance.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Risk Classification authority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Accredited AVB. Documented in evaluation report. Appeals to ARAF TSB.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Classification framework scope in v1.1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Framework and class assignment rules in v1.1. Detailed scoring rubric deferred to v1.2 companion guide. AVBs apply good-faith professional judgment under normative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Assurance lapse: automatic suspension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Class-dependent. Class C life-safety = immediate suspension. Class B = 30-day window. Class A = 60-day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Consulting firm designation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Certified Technology Partner (CTP) registry. Deferred to post-adoption build. GOV Art. 10.4 placeholder added in Session 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GOV Art. 7.5 (Xlogix named governance rights)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Remove Art. 7.5. Replace with Foreword acknowledgment in GOV and STD. Renumber subsequent GOV articles. See Section 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ACRs for Platform Cert and Two-Axis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LOCKED: 12 new ACRs added to v1.1. See Section 11. Total ACR count increases from 398 to 410. ACR xlsx updated in Session 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Platform Cert Eligible column (ACR xlsx)</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LOCKED: Add column to ACR xlsx in Session 5. Y = evaluable in reference environment with simulated inputs. N = requires live production deployment by definition. Partial = evaluable with synthetic inputs but flagged for delta evaluation at deployment. See Session 5 classification criteria in Section 10.</w:t>
            </w:r>
          </w:p>
        </w:tc>
      </w:tr>
    </w:tbl>
    <w:p>
      <w:r>
        <w:br w:type="page"/>
      </w:r>
    </w:p>
    <w:p>
      <w:pPr>
        <w:pStyle w:val="Heading1"/>
        <w:spacing w:before="360" w:after="120"/>
      </w:pPr>
      <w:r>
        <w:rPr>
          <w:rFonts w:ascii="Arial" w:cs="Arial" w:eastAsia="Arial" w:hAnsi="Arial"/>
          <w:b/>
          <w:bCs/>
          <w:color w:val="1F3864"/>
          <w:sz w:val="28"/>
          <w:szCs w:val="28"/>
        </w:rPr>
        <w:t xml:space="preserve">8. Locked Definitions — Use Verbatim Across All Documents</w:t>
      </w:r>
    </w:p>
    <w:p>
      <w:pPr>
        <w:spacing w:before="60" w:after="60"/>
      </w:pPr>
      <w:r>
        <w:rPr>
          <w:rFonts w:ascii="Arial" w:cs="Arial" w:eastAsia="Arial" w:hAnsi="Arial"/>
          <w:sz w:val="20"/>
          <w:szCs w:val="20"/>
        </w:rPr>
        <w:t xml:space="preserve">These definitions are normative. Use them verbatim in every document's glossary. Do not paraphrase, shorten, or reword.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Term</w:t>
            </w:r>
          </w:p>
        </w:tc>
        <w:tc>
          <w:tcPr>
            <w:tcW w:type="dxa" w:w="69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Certification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Deployment Certification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Evaluation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Assurance Class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evaluation report. Appealable to the ARAF Technical Standards 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A — Periodic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B — Monitored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C — Continuously Assured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Certification Inheritance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Reference Environment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 controlled deployment environment used for Platform Certification evaluation. Must meet ARAF minimum conditions for ACR evaluation fidelity.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Assurance Lapse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Certified Technology Partner (CTP)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 consulting or implementation firm listed in the ARAF CTP Registry as having demonstrated ARA implementation competency. Not a certification — a registry designation. Does not confer evaluation authority or certification rights.</w:t>
            </w:r>
          </w:p>
        </w:tc>
      </w:tr>
    </w:tbl>
    <w:p>
      <w:r>
        <w:br w:type="page"/>
      </w:r>
    </w:p>
    <w:p>
      <w:pPr>
        <w:pStyle w:val="Heading1"/>
        <w:spacing w:before="360" w:after="120"/>
      </w:pPr>
      <w:r>
        <w:rPr>
          <w:rFonts w:ascii="Arial" w:cs="Arial" w:eastAsia="Arial" w:hAnsi="Arial"/>
          <w:b/>
          <w:bCs/>
          <w:color w:val="1F3864"/>
          <w:sz w:val="28"/>
          <w:szCs w:val="28"/>
        </w:rPr>
        <w:t xml:space="preserve">9. GOV Article 7.5 — Removal and Foreword Replacement</w:t>
      </w:r>
    </w:p>
    <w:p>
      <w:pPr>
        <w:spacing w:before="60" w:after="60"/>
      </w:pPr>
      <w:r>
        <w:rPr>
          <w:rFonts w:ascii="Arial" w:cs="Arial" w:eastAsia="Arial" w:hAnsi="Arial"/>
          <w:sz w:val="20"/>
          <w:szCs w:val="20"/>
        </w:rPr>
        <w:t xml:space="preserve">Named commercial entities with special governance standing in a standards document undermine the perceived independence of the standard — which is its primary commercial asset. The correct mechanism is Foreword acknowledgment, used by ISO, IETF, NIST, and IEEE. It is visible, permanent, and appropriate without creating governance asymmetry.</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9.1 GOV Foreword — Add This Paragraph (verbatim)</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The ARAF ARA Standard Suite was initiated and developed by Josh Sigel (Founder &amp; CEO, Xlogix Inc.) and the Xlogix technical team. Xlogix Inc. holds Originating Technical Contributor status in recognition of its foundational role in authoring the ARA Standard framework, the CAPO ecosystem architecture, and the Behavioral Telemetry SDK specification. Originating Technical Contributor status is a permanent acknowledgment of founding contribution and does not confer governance rights, veto authority, or preferential accreditation standing. Xlogix Inc. participates in the ARAF ecosystem as an applicant CAPO and technology contributor under the same terms as all ecosystem participants.</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9.2 STD Foreword — Add Abbreviated Version (verbatim)</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The ARA Standard was developed by Josh Sigel and the Xlogix Inc. technical team as the Originating Technical Contributor to the Autonomous Reliability Assurance Foundation. ARAF acknowledges this founding contribution in accordance with its Technical Contributor recognition policy (ARAF-ARA-GOV-2026-001).</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9.3 GOV Article 7.5 — Remove Entirely</w:t>
      </w:r>
    </w:p>
    <w:p>
      <w:pPr>
        <w:spacing w:before="60" w:after="60"/>
      </w:pPr>
      <w:r>
        <w:rPr>
          <w:rFonts w:ascii="Arial" w:cs="Arial" w:eastAsia="Arial" w:hAnsi="Arial"/>
          <w:sz w:val="20"/>
          <w:szCs w:val="20"/>
        </w:rPr>
        <w:t xml:space="preserve">Delete Article 7.5 ('First Founding Member'). Renumber subsequent articles: current Art. 7 has no Art. 7.6+, so the renumbering only affects cross-document references to Art. 7.5, which must be swept.</w:t>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sz w:val="20"/>
                <w:szCs w:val="20"/>
              </w:rPr>
              <w:t xml:space="preserve">⚠ CRITICAL — GREP SCOPE: </w:t>
            </w:r>
            <w:r>
              <w:rPr>
                <w:rFonts w:ascii="Arial" w:cs="Arial" w:eastAsia="Arial" w:hAnsi="Arial"/>
                <w:sz w:val="20"/>
                <w:szCs w:val="20"/>
              </w:rPr>
              <w:t xml:space="preserve">GREP SCOPE — 'Article 7.5' and '7.5' cross-reference sweep:
Sweep all SEVEN Word documents (GOV, STD, EVL, AVB, SDK, TMK, PHY) for references to 'GOV Article 7.5' or 'Art. 7.5' that point to the now-deleted founding member article.
IMPORTANT — SDK ART. 7.5 IS NOT A CROSS-REFERENCE TO GOV ART. 7.5: The SDK document contains its own Article 7.5 (Privacy-Preserving Telemetry Modes). This is a legitimate, independent article. Do NOT flag or remove SDK Art. 7.5. The grep scope is GOV cross-references ONLY.
ALSO: TMK Art. 6.7.5 (Insurance Badge in Tokenized Badges) is a sub-article of TMK Art. 6.7. Do NOT flag.
Search strings targeting only GOV cross-references: 'GOV Art. 7.5', 'GOV Article 7.5', 'Governance Guide, Article 7.5', 'GOV-2026-001, Art. 7.5'</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sz w:val="20"/>
                <w:szCs w:val="20"/>
              </w:rPr>
              <w:t xml:space="preserve">🔒 CONFIRMED: </w:t>
            </w:r>
            <w:r>
              <w:rPr>
                <w:rFonts w:ascii="Arial" w:cs="Arial" w:eastAsia="Arial" w:hAnsi="Arial"/>
                <w:sz w:val="20"/>
                <w:szCs w:val="20"/>
              </w:rPr>
              <w:t xml:space="preserve">Xlogix's rights as a founding CAPO come through the accreditation process (GOV Art. 4). Rights as a consulting / services firm come through the CTP registry (GOV Art. 10.4). No governance carve-outs needed in the standard document.</w:t>
            </w:r>
          </w:p>
        </w:tc>
      </w:tr>
    </w:tbl>
    <w:p>
      <w:r>
        <w:br w:type="page"/>
      </w:r>
    </w:p>
    <w:p>
      <w:pPr>
        <w:pStyle w:val="Heading1"/>
        <w:spacing w:before="360" w:after="120"/>
      </w:pPr>
      <w:r>
        <w:rPr>
          <w:rFonts w:ascii="Arial" w:cs="Arial" w:eastAsia="Arial" w:hAnsi="Arial"/>
          <w:b/>
          <w:bCs/>
          <w:color w:val="1F3864"/>
          <w:sz w:val="28"/>
          <w:szCs w:val="28"/>
        </w:rPr>
        <w:t xml:space="preserve">10. Multi-Session Execution Plan</w:t>
      </w:r>
    </w:p>
    <w:p>
      <w:pPr>
        <w:spacing w:before="60" w:after="60"/>
      </w:pPr>
      <w:r>
        <w:rPr>
          <w:rFonts w:ascii="Arial" w:cs="Arial" w:eastAsia="Arial" w:hAnsi="Arial"/>
          <w:sz w:val="20"/>
          <w:szCs w:val="20"/>
        </w:rPr>
        <w:t xml:space="preserve">This work spans three sessions. Each session has a defined scope, a precise list of documents to upload, and work steps in execution order. Do not carry Session 5 or 6 work into Session 4 — the architecture core must be solid before companion documents are edited.</w:t>
      </w:r>
    </w:p>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SESSION 4 — Architecture Core — GOV, STD, EVL
UPLOAD AT SESSION START:
↑ ARAF_Suite_MasterContinuationRef.docx — this document — required every session
↑ ARAF_ARA_GOV_2026_001_final.docx — Session 3 final
↑ ARA_Standard_v1_1_final.docx — Session 3 final
↑ ARAF_ARA_EVL_2026_002_final.docx — Session 3 final
STEP 0 — ALL DOCS — Level 3 rename: 'Level 3 Continuous Assurance' → 'Level 3 Comprehensive'. See Section 5 for document-by-document instance counts. Also update STD Doc Control field. Run across all three uploaded docs before any other edits. Verify zero surviving certification-level usages.
STEP 1 — GOV — Remove Art. 7.5 ('First Founding Member'). Renumber if needed. Grep for GOV Art. 7.5 cross-references (not SDK 7.5, not TMK 6.7.5).
STEP 2 — GOV — Add Foreword acknowledgment paragraph (verbatim from Section 9.1).
STEP 3 — GOV — Add Art. 3.5: Platform Certification Pathway. Content: eligibility (Section 3.1 table), reference environment requirements (Section 3.2 bullets), certification inheritance (Section 3.3 table).
STEP 4 — GOV — Update Art. 4 CAPO SLA requirements: add Assurance Class-differentiated SLAs. Class A: no continuous monitoring SLA (periodic re-evaluation only). Class B: monthly telemetry batch required, 48-hour reconnection SLA on lapse. Class C: real-time stream, 24-hour lapse = suspension trigger, 72-hour restore SLA.
STEP 5 — GOV — Update Art. 6 Certification Pathway: add Platform Certification pathway steps (Scoping → AVB Selection → Reference Environment Setup → Evaluation → Certification Grant). Add Risk Classification as mandatory step in Deployment Certification pathway (between AVB Evaluation and Certification Recommendation).
STEP 6 — GOV — Add Art. 10.4 CTP placeholder (verbatim from Section 3.4 callout).
STEP 7 — GOV — Update Glossary: add all 12 locked definitions from Section 8.
STEP 8 — STD — Add Art. 6 (Certification Subjects): Platform Certification vs. Deployment Certification distinction. Who can obtain each. Cert expression format (Level / Class for Deployment; Level only for Platform).
STEP 9 — STD — Add Art. 7 (Two-Axis Certification Model): full Evaluation Level × Assurance Class framework. Axis 1 definitions. Axis 2 definitions. Certification expression examples table.
STEP 10 — STD — Add Art. 8 (Risk Classification): framework statement, classification factors table (Section 4.1), class assignment rules table (Section 4.2). Note rubric deferred to v1.2.
STEP 11 — STD — Update Art. 9 (existing cert levels): rename Level 3, align descriptions to new naming. Add note that Assurance Class is set separately via Risk Classification.
STEP 12 — STD — Update Glossary: add all 12 locked definitions. Update 'Certification Level' definition to reference two-axis model. Update 'Continuous Assurance' definition to disambiguate concept vs. Class C.
STEP 13 — STD — Add Foreword acknowledgment (abbreviated, verbatim from Section 9.2).
STEP 14 — STD — Update Summary of Changes: add two-axis model, Platform Certification, Level 3 rename, 12 new ACRs, GOV Art. 7.5 removal.
STEP 15 — EVL — Add Art. 3.6 (Platform Certification Evaluation Procedures): scope determination, reference environment validation, simulated telemetry acceptance, inheritance documentation.
STEP 16 — EVL — Add Art. 3.7 (Reference Environment Requirements): minimum fidelity standards, AVB attestation requirements, environment documentation.
STEP 17 — EVL — Add Appendix B (Reference Environment Specification Template): structured template for AVBs conducting Platform Cert evaluations.
STEP 18 — EVL — Update Art. 5 evidence categories: add Platform Cert evidence type (Reference Environment Attestation) to TI category. Note simulated/synthetic telemetry acceptability for Platform Cert.
STEP 19 — EVL — Update Glossary: add all 12 locked definitions.
STEP 20 — EVL — Update Art. 4.2 Evidence Sufficiency Matrix column header: 'Level 3: Continuous Assurance' → 'Level 3: Comprehensive'.
STEP 21 — ALL — Final sweep: verify Level 3 rename complete in all 3 docs. Verify no GOV Art. 7.5 cross-references. Pack all three docs as _session4 suffix.</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SESSION 5 — Companion Documents — AVB, SDK, TMK, ACR xlsx
UPLOAD AT SESSION START:
↑ ARAF_Suite_MasterContinuationRef.docx — this document — required every session
↑ ARAF_ARA_GOV_2026_001_session4.docx — Session 4 output
↑ ARA_Standard_v1_1_session4.docx — Session 4 output
↑ ARAF_ARA_EVL_2026_002_session4.docx — Session 4 output
↑ ARAF_ARA_AVB_2026_002_final.docx — Session 3 final
↑ ARAF_ARA_SDK_2026_002_final.docx — Session 3 final
↑ ARAF_ARA_TMK_2026_002_final.docx — Session 3 final
↑ ARAF_ARA_ACR_2026_002_final.xlsx — Session 3 final
STEP 0 — ALL DOCS — Verify Level 3 rename complete in Session 4 outputs. Then apply to AVB, SDK, TMK: see instance counts in Section 5.
STEP 1 — AVB — Add Art. 13 (Platform Certification Competencies for AVBs): reference environment assessment capability, simulated telemetry evaluation, inheritance documentation review, Platform Cert-specific evaluation procedures.
STEP 2 — AVB — Update Art. 2.1 authorization level table: rename Level 3 column. Add Platform Cert evaluation as explicit capability noted at Level 2 and Level 3.
STEP 3 — AVB — Update Art. 12.3 (Revalidation Triggers from CAPOs): add Assurance Class escalation as revalidation trigger. Add that Class lapse (Section 6 table) triggers AVB revalidation obligation.
STEP 4 — AVB — Update Glossary: add all 12 locked definitions.
STEP 5 — SDK — Update Art. 1.2 scope: add explicit statement distinguishing SDK role in Platform Cert reference environments (optional — simulated telemetry acceptable) vs. Deployment Cert (required for Class B and Class C; optional for Class A).
STEP 6 — SDK — Update Art. 6.6 insurance data feed: add Deployment Cert-specific fields: Assurance Class, Risk Classification basis, class lapse history. Add note that Platform Certs do not generate insurance data feed signals (no live deployment).
STEP 7 — SDK — Update rate limit table and gRPC requirement: apply Level 3 rename.
STEP 8 — SDK — Update Glossary: add all 12 locked definitions.
STEP 9 — TMK — Add Platform Certification mark anatomy: 'ARA Platform Certified — Level [X]'. Mark must clearly distinguish from Deployment Certification mark. No Assurance Class element in Platform Cert mark.
STEP 10 — TMK — Add Platform Cert mark usage rules: eligible users (technology vendors), prohibited claims (may not imply deployment safety without Deployment Cert), recommended phrasing.
STEP 11 — TMK — Update Art. 4.4 (Level 3 Product Naming): rename to Level 3 Comprehensive.
STEP 12 — TMK — Update Art. 6.7 insurance badge: note Deployment Certs only (Platform Certs are not eligible; no live deployment = no insurable risk event).
STEP 13 — TMK — Update Glossary: add all 12 locked definitions.
STEP 14 — ACR xlsx — Add 12 new ACRs from Section 11 to ACR Master Matrix and to their respective domain tabs. Update Summary tab ACR count from 398 to 410.
STEP 15 — ACR xlsx — Add 'Platform Cert Eligible' column to ACR Master Matrix and all domain tabs. Apply Y/N/Partial classification per Section 10 criteria below. Use scripted approach: load all 410 rows, apply classification logic, write column.
STEP 16 — ACR xlsx — Verify new ACRs are included in Scoping Matrix tab with correct Profile Applicability flags.
STEP 17 — ALL — Pack all four docs as _session5 suffix. Update Summary tab in ACR xlsx.</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10.1 ACR Platform Cert Eligible Column — Classification Criteria</w:t>
      </w:r>
    </w:p>
    <w:p>
      <w:pPr>
        <w:spacing w:before="60" w:after="60"/>
      </w:pPr>
      <w:r>
        <w:rPr>
          <w:rFonts w:ascii="Arial" w:cs="Arial" w:eastAsia="Arial" w:hAnsi="Arial"/>
          <w:sz w:val="20"/>
          <w:szCs w:val="20"/>
        </w:rPr>
        <w:t xml:space="preserve">Use these decision rules when applying the Platform Cert Eligible column in Session 5. Apply to all 410 ACR rows. These criteria are binding.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Value</w:t>
            </w:r>
          </w:p>
        </w:tc>
        <w:tc>
          <w:tcPr>
            <w:tcW w:type="dxa" w:w="43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Criteria</w:t>
            </w:r>
          </w:p>
        </w:tc>
        <w:tc>
          <w:tcPr>
            <w:tcW w:type="dxa" w:w="4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Examples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 —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 is fully evaluable in a controlled reference environment using simulated or synthetic inputs and outputs. Does not require live production users, real data flows, or production-environment integrations.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Boundary enforcement tests, adversarial robustness, decision traceability, tool governance, drift detection configuration, emergency halt testing, most governance and auditability ACRs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 — 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requires a live production deployment by definition. Cannot be meaningfully evaluated in a reference environment regardless of simulation quality.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Cross-organizational data flow ACRs, production incident response verification, live user consent management, real-time CAPO Class B/C monitoring continuity ACRs (new ACRs), deployment-context data flow mapping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 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 can be partially evaluated in a reference environment using synthetic inputs, but the evaluation is flagged for delta validation at Deployment Cert. The Platform Cert provides partial coverage; the Deployment Cert completes 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 detection ACRs (can test with synthetic PII; real production data adds coverage), fairness/bias ACRs (can test with constructed demographic test cases; real user distribution differs), some Domain 14 governance ACRs</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sz w:val="20"/>
                <w:szCs w:val="20"/>
              </w:rPr>
              <w:t xml:space="preserve">SESSION 6 — Final QA — PHY, REG, Suite Sweep, Adoption Prep
UPLOAD AT SESSION START:
↑ ARAF_Suite_MasterContinuationRef.docx — this document — required every session
↑ All 9 session 5 output documents — GOV, STD, EVL, AVB, SDK, TMK, ACR xlsx, PHY, REG with _session5 suffix
STEP 0 — ALL DOCS — Verify Level 3 rename complete. Zero surviving certification-level usages of 'Continuous Assurance'. This is the final verification across the full suite.
STEP 1 — PHY — Update Art. 1 scope statement: most Domain 15 physical ACRs require physical deployment and cannot be fully evaluated in a reference environment. Add explicit statement: 'Domain 15 ACRs are eligible for Platform Cert only where a physical reference environment (hardware-in-the-loop testbed) satisfies ARAF Reference Environment requirements. Virtual simulation alone is insufficient for Domain 15 ACRs with Failure Consequence A or B.'
STEP 2 — PHY — Update Section 5 (Level-by-Level requirements): rename Level 3 column. Apply Level 3 Comprehensive naming.
STEP 3 — PHY — Update Glossary: add all 12 locked definitions.
STEP 4 — REG xlsx — Review regulatory mappings for frameworks that distinguish platform vs. deployment certification: EU AI Act conformity assessment, FDA SaMD guidance, ISO 13485. Add column 'Platform Cert Sufficient for Regulatory Compliance?' (Y/N/Partial) to Master Crosswalk. Flag ACRs where Platform Cert alone is not sufficient for regulatory compliance.
STEP 5 — REG xlsx — Add notation in relevant framework tabs (EU AI Act, ISO 42001) indicating that ARA Deployment Certification with Assurance Class maps to the framework's ongoing monitoring requirements.
STEP 6 — ALL 9 DOCS — Full suite sweep:
  (a) Level 3 rename — confirm zero surviving 'Level 3 Continuous Assurance' instances (certification-level usage).
  (b) Legacy language — confirm zero surviving 'ARA Platform' or 'the CAP' standalone refs.
  (c) GOV Art. 7.5 — confirm removed and no cross-references remain (GOV-scoped only).
  (d) Document Control — confirm all 9 docs show Pre-Adoption Draft status and March 2026 dates.
  (e) ACR count — confirm STD Doc Control shows 410 total ACRs.
  (f) New ACRs — confirm all 12 new ACRs appear in ACR xlsx with correct domain, ID, and Platform Cert Eligible flag.
STEP 7 — ALL 9 DOCS — Validate all documents. Zero validation errors required before adoption submission.
STEP 8 — CONTINUATION REF — Update this document to reflect Session 6 completion. Mark suite as 'Committee-Ready for Adoption Vote.'</w:t>
            </w:r>
          </w:p>
        </w:tc>
      </w:tr>
    </w:tbl>
    <w:p>
      <w:r>
        <w:br w:type="page"/>
      </w:r>
    </w:p>
    <w:p>
      <w:pPr>
        <w:pStyle w:val="Heading1"/>
        <w:spacing w:before="360" w:after="120"/>
      </w:pPr>
      <w:r>
        <w:rPr>
          <w:rFonts w:ascii="Arial" w:cs="Arial" w:eastAsia="Arial" w:hAnsi="Arial"/>
          <w:b/>
          <w:bCs/>
          <w:color w:val="1F3864"/>
          <w:sz w:val="28"/>
          <w:szCs w:val="28"/>
        </w:rPr>
        <w:t xml:space="preserve">11. New ACRs — Platform Certification and Two-Axis Model</w:t>
      </w:r>
    </w:p>
    <w:p>
      <w:pPr>
        <w:spacing w:before="60" w:after="60"/>
      </w:pPr>
      <w:r>
        <w:rPr>
          <w:rFonts w:ascii="Arial" w:cs="Arial" w:eastAsia="Arial" w:hAnsi="Arial"/>
          <w:sz w:val="20"/>
          <w:szCs w:val="20"/>
        </w:rPr>
        <w:t xml:space="preserve">These 12 new ACRs are required to make Platform Certification and the Two-Axis Model technically enforceable. They fill gaps in the existing 398-ACR framework identified through full document review. Without these ACRs, the certification architecture is structurally incomplete: you can define Platform Cert in governance documents, but there is no testable, auditable floor for what constitutes a valid reference environment or Risk Classification.</w:t>
      </w:r>
    </w:p>
    <w:p>
      <w:pPr>
        <w:spacing w:before="60" w:after="60"/>
      </w:pPr>
      <w:r>
        <w:t xml:space="preserve"/>
      </w:r>
    </w:p>
    <w:p>
      <w:pPr>
        <w:spacing w:before="60" w:after="60"/>
      </w:pPr>
      <w:r>
        <w:rPr>
          <w:rFonts w:ascii="Arial" w:cs="Arial" w:eastAsia="Arial" w:hAnsi="Arial"/>
          <w:sz w:val="20"/>
          <w:szCs w:val="20"/>
        </w:rPr>
        <w:t xml:space="preserve">ACR IDs follow the convention ACR-[Domain].[Sequence] for domain-placed ACRs, and ACR-REF.[Sequence] for the new Reference Environment sub-domain within Domain 1 (Autonomy Scope Definition). Final ID assignment is done during ACR xlsx update in Session 5 to avoid sequence conflicts.</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11.1 Reference Environment ACRs (Domain 1 — Autonomy Scope Definition)</w:t>
      </w:r>
    </w:p>
    <w:p>
      <w:pPr>
        <w:spacing w:before="60" w:after="60"/>
      </w:pPr>
      <w:r>
        <w:rPr>
          <w:rFonts w:ascii="Arial" w:cs="Arial" w:eastAsia="Arial" w:hAnsi="Arial"/>
          <w:sz w:val="20"/>
          <w:szCs w:val="20"/>
        </w:rPr>
        <w:t xml:space="preserve">Domain 1 governs operational boundary specification. Reference Environment requirements are a natural extension: a reference environment IS the boundary specification for Platform Certification evaluation context.</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systems seeking Platform Certification, the vendor SHALL maintain a documented Reference Environment Specification (RES) describing infrastructure, configuration, model version, dependency versions, simulated input distributions, and known deviations from production conditions.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 — This IS the Platform Cert evidence artifact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ACR-1.26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evaluating AVB SHALL attest in writing that the Reference Environment is representative of production-equivalent behavior for all in-scope ACRs, with documented justification for any identified deviations.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EI+TP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 — Reference environment attestation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 changes to the platform (new model version, architectural change, dependency version change) SHALL trigger re-evaluation of affected ACRs. The vendor SHALL define and document the threshold for 'material change' prior to Platform Certification.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EI+OP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 — Change management policy reviewable in reference env</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11.2 Risk Classification ACRs (Domain 12 — Auditability and Transparency)</w:t>
      </w:r>
    </w:p>
    <w:p>
      <w:pPr>
        <w:spacing w:before="60" w:after="60"/>
      </w:pPr>
      <w:r>
        <w:rPr>
          <w:rFonts w:ascii="Arial" w:cs="Arial" w:eastAsia="Arial" w:hAnsi="Arial"/>
          <w:sz w:val="20"/>
          <w:szCs w:val="20"/>
        </w:rPr>
        <w:t xml:space="preserve">Domain 12 governs auditability. Risk Classification is an auditable decision that determines Assurance Class. Without an ACR requiring its documentation, Risk Classification determinations are unverifiable and unappealable in practice.</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AVB SHALL produce a documented Risk Classification Report as part of every Deployment Certification evaluation. The report SHALL address all seven classification factors (degree of autonomy, consequence severity, reversibility, breadth of impact, regulatory context, dependency criticality, operational continuity), state the resulting Assurance Class, and provide justification for the determination.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EI+TP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 Risk Classification requires deployment context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ACR-12.26</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Risk Classification Report SHALL be delivered to the deploying organization and to ARAF as part of the certification evidence package. The organization SHALL sign acknowledgment of the assigned Assurance Class before certification is granted.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EI+OP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 — Deployment Cert only</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11.3 Assurance Class Maintenance ACRs (Domain 10 — Monitoring and Telemetry)</w:t>
      </w:r>
    </w:p>
    <w:p>
      <w:pPr>
        <w:spacing w:before="60" w:after="60"/>
      </w:pPr>
      <w:r>
        <w:rPr>
          <w:rFonts w:ascii="Arial" w:cs="Arial" w:eastAsia="Arial" w:hAnsi="Arial"/>
          <w:sz w:val="20"/>
          <w:szCs w:val="20"/>
        </w:rPr>
        <w:t xml:space="preserve">Domain 10 governs monitoring. The two-axis model creates class-specific monitoring obligations (Class A/B/C). Without ACRs enforcing these obligations, the Assurance Class structure is governance-only, not technically enforceable through the ACR framework.</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ACR-10.27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Systems certified at Assurance Class B (Monitored) SHALL maintain an active CAPO connection and deliver telemetry batches at minimum monthly frequency. A gap of two consecutive months without telemetry batch delivery SHALL be automatically flagged by the CAPO as an Assurance Lapse condition.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 Requires live deployment and active CAPO connection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ACR-10.28</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Systems certified at Assurance Class C (Continuously Assured) SHALL maintain a persistent, real-time CAPO telemetry connection. Any telemetry gap exceeding 24 hours (excluding documented scheduled maintenance windows of up to 4 hours, maximum twice per month) SHALL be automatically flagged by the CAPO as an Assurance Lapse condition triggering the 72-hour remediation window.</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CM+AT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 — Requires live deployment and real-time CAPO connection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ACR-10.29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CAPO SHALL deliver SLA-bound alerting for Assurance Class C systems: Critical-severity compliance events SHALL generate alerts within 5 minutes of detection; Emergency-severity events SHALL generate alerts within 60 seconds. Failure to meet these SLAs for material events constitutes an Assurance Lapse condition.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 Requires live CAPO operation</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11.4 Certification Inheritance ACRs (Domain 14 — Operational Governance)</w:t>
      </w:r>
    </w:p>
    <w:p>
      <w:pPr>
        <w:spacing w:before="60" w:after="60"/>
      </w:pPr>
      <w:r>
        <w:rPr>
          <w:rFonts w:ascii="Arial" w:cs="Arial" w:eastAsia="Arial" w:hAnsi="Arial"/>
          <w:sz w:val="20"/>
          <w:szCs w:val="20"/>
        </w:rPr>
        <w:t xml:space="preserve">Domain 14 governs operational governance. Certification Inheritance is a governance process — the AVB and vendor must demonstrate that inherited ACR coverage is still valid at deployment time. Without ACRs governing this, inheritance is claimed but not verified.</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ACR-14.23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Where a Deployment Certification claims Certification Inheritance from a Platform-Certified product, the deploying organization SHALL document the configuration match between the deployment and the Platform Cert reference environment. The AVB SHALL verify this match and attest to it in the Deployment Cert evaluation report.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EI+OP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 — Policy and process reviewable; actual deployment match requires deployment context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ACR-14.24</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 deploying organization SHALL notify the platform vendor and ARAF within 14 days of any deployment-side configuration change that affects inherited ACR coverage. Changes that invalidate inherited coverage SHALL trigger a delta evaluation of affected ACRs.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EI+OP</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 — Policy reviewable; operational execution requires deployment context</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11.5 Assurance Class Escalation ACR (Domain 14 — Operational Governance)</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ACR-14.25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the deploying organization materially changes the system's operational context in a manner that would increase the Risk Classification (e.g., expanding from internal to customer-facing deployment, adding life-safety use cases, or entering a regulated domain), the organization SHALL notify ARAF and the evaluating AVB within 14 days. The AVB SHALL conduct a Risk Classification reassessment to determine whether the Assurance Class must be elevated.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EI+OP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 Deployment context change, requires operational monitoring</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11.6 SDK / Platform Cert Scope ACR (Domain 10 — Monitoring and Telemetry)</w:t>
      </w:r>
    </w:p>
    <w:p>
      <w:pPr>
        <w:spacing w:before="60" w:after="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800"/>
        <w:gridCol w:w="700"/>
        <w:gridCol w:w="900"/>
        <w:gridCol w:w="900"/>
        <w:gridCol w:w="176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3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Requirement Statement</w:t>
            </w:r>
          </w:p>
        </w:tc>
        <w:tc>
          <w:tcPr>
            <w:tcW w:type="dxa" w:w="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Eval Method</w:t>
            </w:r>
          </w:p>
        </w:tc>
        <w:tc>
          <w:tcPr>
            <w:tcW w:type="dxa" w:w="7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Min Level</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9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Profile</w:t>
            </w:r>
          </w:p>
        </w:tc>
        <w:tc>
          <w:tcPr>
            <w:tcW w:type="dxa" w:w="17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ACR-10.30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Platform Certifications, the vendor SHALL document in the Reference Environment Specification whether the ARA Behavioral Telemetry SDK is deployed in the reference environment, and if not, the alternative telemetry mechanism used to support ACRs with Continuous or Quarterly evaluation frequency. The AVB SHALL assess whether the documented telemetry mechanism provides evaluation-equivalent coverage for all applicable monitoring ACRs.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 — Fully evaluable in reference environment</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11.7 New ACR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1000"/>
        <w:gridCol w:w="1800"/>
      </w:tblGrid>
      <w:tr>
        <w:trPr>
          <w:tblHeader/>
        </w:trPr>
        <w:tc>
          <w:tcPr>
            <w:tcW w:type="dxa" w:w="12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Proposed ACR ID</w:t>
            </w:r>
          </w:p>
        </w:tc>
        <w:tc>
          <w:tcPr>
            <w:tcW w:type="dxa" w:w="2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33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Topic</w:t>
            </w:r>
          </w:p>
        </w:tc>
        <w:tc>
          <w:tcPr>
            <w:tcW w:type="dxa" w:w="1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Fail Consequence</w:t>
            </w:r>
          </w:p>
        </w:tc>
        <w:tc>
          <w:tcPr>
            <w:tcW w:type="dxa" w:w="1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Platform Cert 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 — Autonomy Scope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Environment Specification (RES) documentation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 — Autonomy Scope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AVB attestation of reference environment representativeness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 — Autonomy Scope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Material platform change threshold and re-evaluation trigger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ACR-10.27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D10 — Monitoring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Class B monthly telemetry batch obligation and lapse detection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D10 —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C real-time telemetry obligation and lapse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ACR-10.29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D10 — Monitoring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CAPO SLA-bound alerting for Class C systems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D10 —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Platform Cert SDK documentation and telemetry equivalence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ACR-12.25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D12 — Auditability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Risk Classification Report — documentation and delivery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ACR-12.26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D12 — Auditability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Classification Report — organization acknowledgment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ACR-14.23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D14 — Governance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Certification Inheritance configuration match verification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ACR-14.24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D14 — Governance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Deployment-side configuration change notification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ACR-14.25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D14 — Governance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Assurance Class escalation on operational context change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w:t>
            </w:r>
          </w:p>
        </w:tc>
      </w:tr>
    </w:tbl>
    <w:p>
      <w:pPr>
        <w:spacing w:before="60" w:after="60"/>
      </w:pPr>
      <w:r>
        <w:t xml:space="preserve"/>
      </w:r>
    </w:p>
    <w:p>
      <w:pPr>
        <w:spacing w:before="60" w:after="60"/>
      </w:pPr>
      <w:r>
        <w:rPr>
          <w:rFonts w:ascii="Arial" w:cs="Arial" w:eastAsia="Arial" w:hAnsi="Arial"/>
          <w:sz w:val="20"/>
          <w:szCs w:val="20"/>
        </w:rPr>
        <w:t xml:space="preserve">Updated total: 410 ACRs across 15 domains. All new ACRs are assigned to existing domains — no new domain required. Domain ACR counts update: D1: 24→27, D10: 26→30, D12: 24→26, D14: 22→25.</w:t>
      </w:r>
    </w:p>
    <w:p>
      <w:r>
        <w:br w:type="page"/>
      </w:r>
    </w:p>
    <w:p>
      <w:pPr>
        <w:pStyle w:val="Heading1"/>
        <w:spacing w:before="360" w:after="120"/>
      </w:pPr>
      <w:r>
        <w:rPr>
          <w:rFonts w:ascii="Arial" w:cs="Arial" w:eastAsia="Arial" w:hAnsi="Arial"/>
          <w:b/>
          <w:bCs/>
          <w:color w:val="1F3864"/>
          <w:sz w:val="28"/>
          <w:szCs w:val="28"/>
        </w:rPr>
        <w:t xml:space="preserve">12. Administrability Gut Check — Is This Overkill?</w:t>
      </w:r>
    </w:p>
    <w:p>
      <w:pPr>
        <w:spacing w:before="60" w:after="60"/>
      </w:pPr>
      <w:r>
        <w:rPr>
          <w:rFonts w:ascii="Arial" w:cs="Arial" w:eastAsia="Arial" w:hAnsi="Arial"/>
          <w:sz w:val="20"/>
          <w:szCs w:val="20"/>
        </w:rPr>
        <w:t xml:space="preserve">Before finalizing this architecture, an honest assessment of whether the standard is administrable and achievable for real organizations.</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12.1 The Concern</w:t>
      </w:r>
    </w:p>
    <w:p>
      <w:pPr>
        <w:spacing w:before="60" w:after="60"/>
      </w:pPr>
      <w:r>
        <w:rPr>
          <w:rFonts w:ascii="Arial" w:cs="Arial" w:eastAsia="Arial" w:hAnsi="Arial"/>
          <w:sz w:val="20"/>
          <w:szCs w:val="20"/>
        </w:rPr>
        <w:t xml:space="preserve">A 410-ACR standard with a two-axis certification model, Platform Cert inheritance, Risk Classification, three Assurance Classes, class-differentiated CAPO SLAs, and 12 new governance ACRs could be so complex that: (a) no organization can realistically achieve compliance, (b) no AVB can conduct a consistent evaluation, or (c) the standard collapses under its own weight and loses market credibility.</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12.2 The Assessment — Not Overkill, for Four Reasons</w:t>
      </w:r>
    </w:p>
    <w:p>
      <w:pPr>
        <w:spacing w:before="60" w:after="60"/>
      </w:pPr>
      <w:r>
        <w:t xml:space="preserve"/>
      </w:r>
    </w:p>
    <w:p>
      <w:pPr>
        <w:spacing w:before="180" w:after="60"/>
      </w:pPr>
      <w:r>
        <w:rPr>
          <w:rFonts w:ascii="Arial" w:cs="Arial" w:eastAsia="Arial" w:hAnsi="Arial"/>
          <w:b/>
          <w:bCs/>
          <w:color w:val="1F3864"/>
          <w:sz w:val="22"/>
          <w:szCs w:val="22"/>
        </w:rPr>
        <w:t xml:space="preserve">Reason 1: Complexity is in the architecture, not the credential</w:t>
      </w:r>
    </w:p>
    <w:p>
      <w:pPr>
        <w:spacing w:before="60" w:after="60"/>
      </w:pPr>
      <w:r>
        <w:rPr>
          <w:rFonts w:ascii="Arial" w:cs="Arial" w:eastAsia="Arial" w:hAnsi="Arial"/>
          <w:sz w:val="20"/>
          <w:szCs w:val="20"/>
        </w:rPr>
        <w:t xml:space="preserve">The market-facing output of this standard is a badge: 'ARA Deployment Certified Level 2 / Class B.' That is simple and legible. The 410 ACRs, two-axis model, and Risk Classification are the machinery behind the badge — not the user experience of certification. ISO 27001 has hundreds of controls. SOC 2 has complex trust service criteria. The complexity is the point: it's what makes the credential meaningful.</w:t>
      </w:r>
    </w:p>
    <w:p>
      <w:pPr>
        <w:spacing w:before="60" w:after="60"/>
      </w:pPr>
      <w:r>
        <w:t xml:space="preserve"/>
      </w:r>
    </w:p>
    <w:p>
      <w:pPr>
        <w:spacing w:before="180" w:after="60"/>
      </w:pPr>
      <w:r>
        <w:rPr>
          <w:rFonts w:ascii="Arial" w:cs="Arial" w:eastAsia="Arial" w:hAnsi="Arial"/>
          <w:b/>
          <w:bCs/>
          <w:color w:val="1F3864"/>
          <w:sz w:val="22"/>
          <w:szCs w:val="22"/>
        </w:rPr>
        <w:t xml:space="preserve">Reason 2: The System Profile framework right-sizes the burden</w:t>
      </w:r>
    </w:p>
    <w:p>
      <w:pPr>
        <w:spacing w:before="60" w:after="60"/>
      </w:pPr>
      <w:r>
        <w:rPr>
          <w:rFonts w:ascii="Arial" w:cs="Arial" w:eastAsia="Arial" w:hAnsi="Arial"/>
          <w:sz w:val="20"/>
          <w:szCs w:val="20"/>
        </w:rPr>
        <w:t xml:space="preserve">A Foundational profile system at Level 1 / Class A evaluates 97 ACRs (24 of which are now ACR-1.25, 1.26, 1.27 additions; most are simple documentation/policy ACRs). That is comparable to a basic SOC 2 readiness assessment. The 410-ACR framework only hits a Comprehensive profile / Level 3 / Class C system — and those systems (clinical AI, autonomous vehicles, critical infrastructure) should face an elite-level standard.</w:t>
      </w:r>
    </w:p>
    <w:p>
      <w:pPr>
        <w:spacing w:before="60" w:after="60"/>
      </w:pPr>
      <w:r>
        <w:t xml:space="preserve"/>
      </w:r>
    </w:p>
    <w:p>
      <w:pPr>
        <w:spacing w:before="180" w:after="60"/>
      </w:pPr>
      <w:r>
        <w:rPr>
          <w:rFonts w:ascii="Arial" w:cs="Arial" w:eastAsia="Arial" w:hAnsi="Arial"/>
          <w:b/>
          <w:bCs/>
          <w:color w:val="1F3864"/>
          <w:sz w:val="22"/>
          <w:szCs w:val="22"/>
        </w:rPr>
        <w:t xml:space="preserve">Reason 3: Class A eliminates the CAPO burden for the majority of systems</w:t>
      </w:r>
    </w:p>
    <w:p>
      <w:pPr>
        <w:spacing w:before="60" w:after="60"/>
      </w:pPr>
      <w:r>
        <w:rPr>
          <w:rFonts w:ascii="Arial" w:cs="Arial" w:eastAsia="Arial" w:hAnsi="Arial"/>
          <w:sz w:val="20"/>
          <w:szCs w:val="20"/>
        </w:rPr>
        <w:t xml:space="preserve">Most enterprise systems that would realistically pursue ARA certification — internal copilots, workflow automation, customer service agents — will be Deployment Certified at Level 1 or Level 2 / Class A or Class B. Class A requires no continuous CAPO monitoring. Class B requires monthly batch telemetry, which is operationally achievable. The 24/7 real-time CAPO requirement (Class C) applies only to systems that demonstrably warrant it: life-safety, financial systemic risk, critical infrastructure.</w:t>
      </w:r>
    </w:p>
    <w:p>
      <w:pPr>
        <w:spacing w:before="60" w:after="60"/>
      </w:pPr>
      <w:r>
        <w:t xml:space="preserve"/>
      </w:r>
    </w:p>
    <w:p>
      <w:pPr>
        <w:spacing w:before="180" w:after="60"/>
      </w:pPr>
      <w:r>
        <w:rPr>
          <w:rFonts w:ascii="Arial" w:cs="Arial" w:eastAsia="Arial" w:hAnsi="Arial"/>
          <w:b/>
          <w:bCs/>
          <w:color w:val="1F3864"/>
          <w:sz w:val="22"/>
          <w:szCs w:val="22"/>
        </w:rPr>
        <w:t xml:space="preserve">Reason 4: The 12 new ACRs close real gaps, not theoretical ones</w:t>
      </w:r>
    </w:p>
    <w:p>
      <w:pPr>
        <w:spacing w:before="60" w:after="60"/>
      </w:pPr>
      <w:r>
        <w:rPr>
          <w:rFonts w:ascii="Arial" w:cs="Arial" w:eastAsia="Arial" w:hAnsi="Arial"/>
          <w:sz w:val="20"/>
          <w:szCs w:val="20"/>
        </w:rPr>
        <w:t xml:space="preserve">The new ACRs make the architecture enforceable, not harder to comply with. ACR-1.25 (Reference Environment Specification) just requires documentation that already exists for a legitimate Platform Cert evaluation. ACR-12.25 (Risk Classification Report) just requires documenting a determination that the AVB is already making. These ACRs formalize existing good practice — they don't add new compliance burden.</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12.3 Genuine Risks That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Risk</w:t>
            </w:r>
          </w:p>
        </w:tc>
        <w:tc>
          <w:tcPr>
            <w:tcW w:type="dxa" w:w="63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Classification scoring inconsistency between AVBs (no rubric in v1.1)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Acknowledged in locked decisions. Class assignment rules in Section 4.2 handle the majority of cases deterministically. TSB appeals process handles edge cases. v1.2 rubric closes the gap.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Platform Cert reference environment fidelity disputes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New ACR-1.26 requires AVB written attestation with documented justification. This creates an auditable paper trail for disputes.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C CAPO SLA requirements may be unachievable for smaller CAPOs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 Art. 4 already requires 99.9% availability. The new ACR-10.29 formalizes what a Class C CAPO must deliver — it does not raise the bar beyond what GOV already specifies.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xlsx at 410 rows becomes unwieldy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Scripted approach required for Session 5. The Scoping Matrix handles profile-based filtering. AVBs already have tooling for 398 rows; 12 more is not material.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Organizations game the Risk Classification to land on Class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Blocked by ACR-14.25 (escalation obligation on context change) and ACR-12.26 (signed acknowledgment of Assurance Class). Misrepresentation is grounds for revocation.</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12.4 Verdict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r>
              <w:rPr>
                <w:rFonts w:ascii="Arial" w:cs="Arial" w:eastAsia="Arial" w:hAnsi="Arial"/>
                <w:sz w:val="20"/>
                <w:szCs w:val="20"/>
              </w:rPr>
              <w:t xml:space="preserve">This standard is not overkill. It is proportionally complex — the most demanding tier (Level 3 / Class C) is reserved for systems that cause the most harm when they fail. The vast majority of commercial AI deployments will certify at a level comparable to or less demanding than SOC 2 Type II. The architecture is elite, not unachievable. Proceed.</w:t>
            </w:r>
          </w:p>
        </w:tc>
      </w:tr>
    </w:tbl>
    <w:p>
      <w:r>
        <w:br w:type="page"/>
      </w:r>
    </w:p>
    <w:p>
      <w:pPr>
        <w:pStyle w:val="Heading1"/>
        <w:spacing w:before="360" w:after="120"/>
      </w:pPr>
      <w:r>
        <w:rPr>
          <w:rFonts w:ascii="Arial" w:cs="Arial" w:eastAsia="Arial" w:hAnsi="Arial"/>
          <w:b/>
          <w:bCs/>
          <w:color w:val="1F3864"/>
          <w:sz w:val="28"/>
          <w:szCs w:val="28"/>
        </w:rPr>
        <w:t xml:space="preserve">13. Session Start Prompts — Copy and Paste Verbatim</w:t>
      </w:r>
    </w:p>
    <w:p>
      <w:pPr>
        <w:spacing w:before="60" w:after="60"/>
      </w:pPr>
      <w:r>
        <w:rPr>
          <w:rFonts w:ascii="Arial" w:cs="Arial" w:eastAsia="Arial" w:hAnsi="Arial"/>
          <w:sz w:val="20"/>
          <w:szCs w:val="20"/>
        </w:rPr>
        <w:t xml:space="preserve">Use the exact prompt below for each session. Always upload the listed documents before pasting.</w:t>
      </w:r>
    </w:p>
    <w:p>
      <w:pPr>
        <w:spacing w:before="60" w:after="60"/>
      </w:pPr>
      <w:r>
        <w:t xml:space="preserve"/>
      </w:r>
    </w:p>
    <w:p>
      <w:pPr>
        <w:pStyle w:val="Heading2"/>
        <w:spacing w:before="240" w:after="80"/>
      </w:pPr>
      <w:r>
        <w:rPr>
          <w:rFonts w:ascii="Arial" w:cs="Arial" w:eastAsia="Arial" w:hAnsi="Arial"/>
          <w:b/>
          <w:bCs/>
          <w:color w:val="1F3864"/>
          <w:sz w:val="24"/>
          <w:szCs w:val="24"/>
        </w:rPr>
        <w:t xml:space="preserve">Session 4 Prompt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We are continuing work on the ARAF ARA Standard Suite v1.1. Sessions 1–3 are complete — all 9 documents are in final pre-adoption state. Session 4 implements two major architectural expansions: (1) the Two-Axis Certification Model (Evaluation Level × Assurance Class) and Platform Certification pathway, and (2) 12 new ACRs. All architecture decisions are locked in the uploaded Master Continuation Reference — do not re-open them.
Begin with Step 0: global find-and-replace across all uploaded docs: 'Level 3 Continuous Assurance' → 'Level 3 Comprehensive' (see Section 5 of the Continuation Reference for instance counts). Also update STD Doc Control table cert levels field. Then follow the Session 4 work plan in Section 10: GOV first (Steps 1–7), then STD (Steps 8–14), then EVL (Steps 15–20), then final sweep (Step 21).
Documents uploaded: GOV, STD, EVL (Session 3 finals) + Master Continuation Reference.</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Session 5 Prompt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We are continuing work on the ARAF ARA Standard Suite v1.1. Session 4 is complete — GOV, STD, and EVL have been updated with the Two-Axis Certification Model, Platform Certification pathway, and new ACR drafts. Session 5 updates the companion documents: AVB, SDK, TMK, and the ACR xlsx (adding 12 new ACRs and the Platform Cert Eligible column).
All architecture decisions remain locked — see the uploaded Master Continuation Reference for all definitions, locked decisions, new ACR specifications, and ACR column classification criteria. Begin with Step 0: verify Level 3 rename complete in Session 4 outputs, then apply to AVB, SDK, TMK. Follow Session 5 work plan in Section 10.
Documents uploaded: Session 4 outputs (GOV, STD, EVL) + Session 3 finals (AVB, SDK, TMK, ACR xlsx) + Master Continuation Reference.</w:t>
            </w:r>
          </w:p>
        </w:tc>
      </w:tr>
    </w:tbl>
    <w:p>
      <w:pPr>
        <w:spacing w:before="60" w:after="60"/>
      </w:pPr>
      <w:r>
        <w:t xml:space="preserve"/>
      </w:r>
    </w:p>
    <w:p>
      <w:pPr>
        <w:pStyle w:val="Heading2"/>
        <w:spacing w:before="240" w:after="80"/>
      </w:pPr>
      <w:r>
        <w:rPr>
          <w:rFonts w:ascii="Arial" w:cs="Arial" w:eastAsia="Arial" w:hAnsi="Arial"/>
          <w:b/>
          <w:bCs/>
          <w:color w:val="1F3864"/>
          <w:sz w:val="24"/>
          <w:szCs w:val="24"/>
        </w:rPr>
        <w:t xml:space="preserve">Session 6 Prompt</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We are continuing work on the ARAF ARA Standard Suite v1.1. Sessions 4 and 5 are complete — all 7 Word docs and the ACR xlsx have been updated with the Two-Axis Certification Model, Platform Certification pathway, 12 new ACRs, and the Platform Cert Eligible column. Session 6 completes PHY and REG, runs the full suite sweep, validates all 9 documents, and prepares the suite for the adoption vote.
All architecture decisions remain locked. Follow the Session 6 work plan in Section 10. Documents uploaded: all 9 Session 5 outputs + Master Continuation Reference.</w:t>
            </w:r>
          </w:p>
        </w:tc>
      </w:tr>
    </w:tbl>
    <w:p>
      <w:r>
        <w:br w:type="page"/>
      </w:r>
    </w:p>
    <w:p>
      <w:pPr>
        <w:pStyle w:val="Heading1"/>
        <w:spacing w:before="360" w:after="120"/>
      </w:pPr>
      <w:r>
        <w:rPr>
          <w:rFonts w:ascii="Arial" w:cs="Arial" w:eastAsia="Arial" w:hAnsi="Arial"/>
          <w:b/>
          <w:bCs/>
          <w:color w:val="1F3864"/>
          <w:sz w:val="28"/>
          <w:szCs w:val="28"/>
        </w:rPr>
        <w:t xml:space="preserve">14. Honest Scope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What</w:t>
            </w:r>
          </w:p>
        </w:tc>
        <w:tc>
          <w:tcPr>
            <w:tcW w:type="dxa" w:w="6560"/>
            <w:tcBorders>
              <w:top w:val="single" w:color="999999" w:sz="1"/>
              <w:left w:val="single" w:color="999999" w:sz="1"/>
              <w:bottom w:val="single" w:color="999999" w:sz="1"/>
              <w:right w:val="single" w:color="999999" w:sz="1"/>
            </w:tcBorders>
            <w:shd w:fill="D6E4F0" w:val="clear"/>
            <w:tcMar>
              <w:top w:type="dxa" w:w="80"/>
              <w:left w:type="dxa" w:w="120"/>
              <w:bottom w:type="dxa" w:w="80"/>
              <w:right w:type="dxa" w:w="120"/>
            </w:tcMar>
          </w:tcPr>
          <w:p>
            <w:r>
              <w:rPr>
                <w:rFonts w:ascii="Arial" w:cs="Arial" w:eastAsia="Arial" w:hAnsi="Arial"/>
                <w:b/>
                <w:bCs/>
                <w:sz w:val="18"/>
                <w:szCs w:val="18"/>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 with substantive new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EVL, GOV (Session 4) — largest effort. STD adds three new Articles (6, 7, 8). EVL adds two new Articles and an Appendix.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Documents with targeted edits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AVB, SDK, TMK, PHY (Sessions 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 with structural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ACR xlsx (Session 5) — 12 new rows + 1 new column across all domain tabs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Documents with review only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 xlsx (Session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Hardest single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Arts. 7 + 8 (Two-Axis Model + Risk Classification) — new normative architecture with no prior text to build 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Most time-intensive single step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ACR xlsx Session 5 — 410 rows, Platform Cert Eligible classification, 12 new ACR rows in correct domain tabs. Requires scripted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does NOT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15-domain structure. CAPO accreditation process structure. AVB authorization process structure. Insurance badge mechanics. System Profile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Riskiest change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Level 3 rename — high recurrence across 4 documents. Must be verified last in Session 6 sweep.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ACR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new ACRs. Total: 398 → 410. Domain counts: D1: 24→27, D10: 26→30, D12: 24→26, D14: 22→25.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Adoption vote timing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Should occur after Session 6, not before. These changes are material to commercial viability. Do it once on the complete package.</w:t>
            </w:r>
          </w:p>
        </w:tc>
      </w:tr>
    </w:tbl>
    <w:p>
      <w:pPr>
        <w:spacing w:before="60" w:after="60"/>
      </w:pPr>
      <w: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00"/>
              <w:left w:type="dxa" w:w="160"/>
              <w:bottom w:type="dxa" w:w="100"/>
              <w:right w:type="dxa" w:w="160"/>
            </w:tcMar>
          </w:tcPr>
          <w:p>
            <w:r>
              <w:rPr>
                <w:rFonts w:ascii="Arial" w:cs="Arial" w:eastAsia="Arial" w:hAnsi="Arial"/>
                <w:sz w:val="20"/>
                <w:szCs w:val="20"/>
              </w:rPr>
              <w:t xml:space="preserve">A committee that votes on this standard without Platform Certification as a defined pathway, without the Two-Axis Model, and without the 12 new ACRs is adopting an incomplete architecture. Three sessions is the right investment. The resulting standard will be technically superior to any comparable framework in the market.</w:t>
            </w:r>
          </w:p>
        </w:tc>
      </w:tr>
    </w:tbl>
    <w:p>
      <w:pPr>
        <w:spacing w:before="60" w:after="60"/>
      </w:pPr>
      <w:r>
        <w:t xml:space="preserve"/>
      </w:r>
    </w:p>
    <w:p>
      <w:pPr>
        <w:spacing w:before="360" w:after="120"/>
        <w:jc w:val="center"/>
      </w:pPr>
      <w:r>
        <w:rPr>
          <w:rFonts w:ascii="Arial" w:cs="Arial" w:eastAsia="Arial" w:hAnsi="Arial"/>
          <w:i/>
          <w:iCs/>
          <w:color w:val="666666"/>
          <w:sz w:val="18"/>
          <w:szCs w:val="18"/>
        </w:rPr>
        <w:t xml:space="preserve">End of Master Continuation Reference | ARAF ARA Standard Suite | March 2026 | Sessions 4–6 — Architecture Locked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2026-03-04T22:08:35.381Z</dcterms:created>
  <dcterms:modified xsi:type="dcterms:W3CDTF">2026-03-04T22:08:35.382Z</dcterms:modified>
</cp:coreProperties>
</file>

<file path=docProps/custom.xml><?xml version="1.0" encoding="utf-8"?>
<Properties xmlns="http://schemas.openxmlformats.org/officeDocument/2006/custom-properties" xmlns:vt="http://schemas.openxmlformats.org/officeDocument/2006/docPropsVTypes"/>
</file>