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Arial" w:cs="Arial" w:eastAsia="Arial" w:hAnsi="Arial"/>
          <w:b/>
          <w:bCs/>
          <w:color w:val="1F3864"/>
          <w:sz w:val="48"/>
          <w:szCs w:val="48"/>
        </w:rPr>
        <w:t xml:space="preserve">ARAF ARA Standard Suite</w:t>
      </w:r>
    </w:p>
    <w:p>
      <w:pPr>
        <w:spacing w:before="0" w:after="40"/>
      </w:pPr>
      <w:r>
        <w:rPr>
          <w:rFonts w:ascii="Arial" w:cs="Arial" w:eastAsia="Arial" w:hAnsi="Arial"/>
          <w:b/>
          <w:bCs/>
          <w:color w:val="2E74B5"/>
          <w:sz w:val="34"/>
          <w:szCs w:val="34"/>
        </w:rPr>
        <w:t xml:space="preserve">Session 4 Continuation Reference</w:t>
      </w:r>
    </w:p>
    <w:p>
      <w:pPr>
        <w:spacing w:before="0" w:after="200"/>
      </w:pPr>
      <w:r>
        <w:rPr>
          <w:rFonts w:ascii="Arial" w:cs="Arial" w:eastAsia="Arial" w:hAnsi="Arial"/>
          <w:color w:val="555555"/>
          <w:sz w:val="21"/>
          <w:szCs w:val="21"/>
        </w:rPr>
        <w:t xml:space="preserve">Two-Axis Certification Architecture: Platform vs. Deployment  ×  Evaluation Level vs. Assurance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CCCCC" w:sz="1"/>
              <w:left w:val="single" w:color="CCCCCC" w:sz="1"/>
              <w:bottom w:val="single" w:color="CCCCCC" w:sz="1"/>
              <w:right w:val="single" w:color="CCCCCC" w:sz="1"/>
            </w:tcBorders>
            <w:shd w:fill="EDF2F7" w:val="clear"/>
            <w:tcMar>
              <w:top w:type="dxa" w:w="90"/>
              <w:left w:type="dxa" w:w="140"/>
              <w:bottom w:type="dxa" w:w="90"/>
              <w:right w:type="dxa" w:w="140"/>
            </w:tcMar>
          </w:tcPr>
          <w:p>
            <w:r>
              <w:rPr>
                <w:rFonts w:ascii="Arial" w:cs="Arial" w:eastAsia="Arial" w:hAnsi="Arial"/>
                <w:b/>
                <w:bCs/>
                <w:color w:val="1F3864"/>
                <w:sz w:val="18"/>
                <w:szCs w:val="18"/>
              </w:rPr>
              <w:t xml:space="preserve"/>
            </w:r>
          </w:p>
        </w:tc>
        <w:tc>
          <w:tcPr>
            <w:tcW w:type="dxa" w:w="7060"/>
            <w:tcBorders>
              <w:top w:val="single" w:color="CCCCCC" w:sz="1"/>
              <w:left w:val="single" w:color="CCCCCC" w:sz="1"/>
              <w:bottom w:val="single" w:color="CCCCCC" w:sz="1"/>
              <w:right w:val="single" w:color="CCCCCC" w:sz="1"/>
            </w:tcBorders>
            <w:shd w:fill="EDF2F7" w:val="clear"/>
            <w:tcMar>
              <w:top w:type="dxa" w:w="90"/>
              <w:left w:type="dxa" w:w="140"/>
              <w:bottom w:type="dxa" w:w="90"/>
              <w:right w:type="dxa" w:w="140"/>
            </w:tcMar>
          </w:tcPr>
          <w:p>
            <w:r>
              <w:rPr>
                <w:rFonts w:ascii="Arial" w:cs="Arial" w:eastAsia="Arial" w:hAnsi="Arial"/>
                <w:b/>
                <w:bCs/>
                <w:color w:val="1F3864"/>
                <w:sz w:val="18"/>
                <w:szCs w:val="18"/>
              </w:rPr>
              <w:t xml:space="preserve"/>
            </w:r>
          </w:p>
        </w:tc>
      </w:tr>
      <w:tr>
        <w:tc>
          <w:tcPr>
            <w:tcW w:type="dxa" w:w="23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Created</w:t>
            </w:r>
          </w:p>
        </w:tc>
        <w:tc>
          <w:tcPr>
            <w:tcW w:type="dxa" w:w="706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March 4, 2026</w:t>
            </w:r>
          </w:p>
        </w:tc>
      </w:tr>
      <w:tr>
        <w:tc>
          <w:tcPr>
            <w:tcW w:type="dxa" w:w="23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Supersedes</w:t>
            </w:r>
          </w:p>
        </w:tc>
        <w:tc>
          <w:tcPr>
            <w:tcW w:type="dxa" w:w="70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Session 4 Continuation Reference (prior draft) — M1–M4 monitoring tier model is retired by this document</w:t>
            </w:r>
          </w:p>
        </w:tc>
      </w:tr>
      <w:tr>
        <w:tc>
          <w:tcPr>
            <w:tcW w:type="dxa" w:w="23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Architecture</w:t>
            </w:r>
          </w:p>
        </w:tc>
        <w:tc>
          <w:tcPr>
            <w:tcW w:type="dxa" w:w="706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LOCKED — all decisions in Section 7 are confirmed. Do not re-open in any session.</w:t>
            </w:r>
          </w:p>
        </w:tc>
      </w:tr>
      <w:tr>
        <w:tc>
          <w:tcPr>
            <w:tcW w:type="dxa" w:w="23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Execution plan</w:t>
            </w:r>
          </w:p>
        </w:tc>
        <w:tc>
          <w:tcPr>
            <w:tcW w:type="dxa" w:w="70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3-session effort. Session 4 = architecture core (GOV, STD, EVL). Session 5 = companion docs (AVB, SDK, TMK, ACR). Session 6 = PHY, REG, sweep, and final QA.</w:t>
            </w:r>
          </w:p>
        </w:tc>
      </w:tr>
      <w:tr>
        <w:tc>
          <w:tcPr>
            <w:tcW w:type="dxa" w:w="23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Suite version</w:t>
            </w:r>
          </w:p>
        </w:tc>
        <w:tc>
          <w:tcPr>
            <w:tcW w:type="dxa" w:w="706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v1.1 in-place update. These changes are part of v1.1, not a v1.2 bump.</w:t>
            </w:r>
          </w:p>
        </w:tc>
      </w:tr>
      <w:tr>
        <w:tc>
          <w:tcPr>
            <w:tcW w:type="dxa" w:w="23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This document</w:t>
            </w:r>
          </w:p>
        </w:tc>
        <w:tc>
          <w:tcPr>
            <w:tcW w:type="dxa" w:w="70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Upload this continuation reference at the start of every session (4, 5, and 6). It is the single source of truth.</w:t>
            </w:r>
          </w:p>
        </w:tc>
      </w:tr>
    </w:tbl>
    <w:p>
      <w:pPr>
        <w:spacing w:before="160" w:after="0"/>
      </w:pPr>
      <w:r>
        <w:t xml:space="preserve"/>
      </w:r>
    </w:p>
    <w:p>
      <w:pPr>
        <w:pBdr>
          <w:bottom w:val="single" w:color="1F3864" w:sz="8" w:space="6"/>
        </w:pBdr>
        <w:spacing w:before="340" w:after="120"/>
      </w:pPr>
      <w:r>
        <w:rPr>
          <w:rFonts w:ascii="Arial" w:cs="Arial" w:eastAsia="Arial" w:hAnsi="Arial"/>
          <w:b/>
          <w:bCs/>
          <w:color w:val="1F3864"/>
          <w:sz w:val="32"/>
          <w:szCs w:val="32"/>
        </w:rPr>
        <w:t xml:space="preserve">1. Why This Architecture</w:t>
      </w:r>
    </w:p>
    <w:p>
      <w:pPr>
        <w:spacing w:before="60" w:after="60"/>
      </w:pPr>
      <w:r>
        <w:rPr>
          <w:rFonts w:ascii="Arial" w:cs="Arial" w:eastAsia="Arial" w:hAnsi="Arial"/>
          <w:color w:val="111111"/>
          <w:sz w:val="20"/>
          <w:szCs w:val="20"/>
        </w:rPr>
        <w:t xml:space="preserve">Every durable global standard separates three things that are genuinely different: the evaluation (what was assessed, by whom, against what criteria), the certification (the formal status that results), and the assurance maintenance (the ongoing obligation that keeps the certification valid). ISO 27001, ISO 13485, Common Criteria, and CMMI all make this separation explicit. They do so because these three things have different owners, different cadences, and different failure modes. Collapsing them produces a standard that is either unenforceable or over-specified.</w:t>
      </w:r>
    </w:p>
    <w:p>
      <w:pPr>
        <w:spacing w:before="60" w:after="60"/>
      </w:pPr>
      <w:r>
        <w:rPr>
          <w:rFonts w:ascii="Arial" w:cs="Arial" w:eastAsia="Arial" w:hAnsi="Arial"/>
          <w:color w:val="111111"/>
          <w:sz w:val="20"/>
          <w:szCs w:val="20"/>
        </w:rPr>
        <w:t xml:space="preserve">The ARA Standard v1.1 as drafted conflates evaluation rigor with monitoring intensity. “Level 3 Continuous Assurance” names a monitoring modality, not an evaluation level. A system evaluated with high rigor may need only periodic monitoring. A system needing 24/7 monitoring may have been evaluated at a foundational level. These are orthogonal dimensions, not a single spectrum.</w:t>
      </w:r>
    </w:p>
    <w:p>
      <w:pPr>
        <w:spacing w:before="60" w:after="60"/>
      </w:pPr>
      <w:r>
        <w:rPr>
          <w:rFonts w:ascii="Arial" w:cs="Arial" w:eastAsia="Arial" w:hAnsi="Arial"/>
          <w:color w:val="111111"/>
          <w:sz w:val="20"/>
          <w:szCs w:val="20"/>
        </w:rPr>
        <w:t xml:space="preserve">The two-axis model resolves this correctly and is the architecture that a serious standards body would build. It is also commercially superior: vendors can certify platforms pre-deployment, customers add an Assurance Class appropriate to their risk profile, and the CAPO layer becomes essential infrastructure rather than an optional add-on.</w:t>
      </w:r>
    </w:p>
    <w:p>
      <w:pPr>
        <w:spacing w:before="80" w:after="0"/>
      </w:pPr>
      <w:r>
        <w:t xml:space="preserve"/>
      </w:r>
    </w:p>
    <w:p>
      <w:pPr>
        <w:pBdr>
          <w:left w:val="single" w:color="2E74B5" w:sz="8" w:space="12"/>
        </w:pBdr>
        <w:spacing w:before="100" w:after="100"/>
        <w:ind w:left="720"/>
      </w:pPr>
      <w:r>
        <w:rPr>
          <w:rFonts w:ascii="Arial" w:cs="Arial" w:eastAsia="Arial" w:hAnsi="Arial"/>
          <w:i/>
          <w:iCs/>
          <w:color w:val="333333"/>
          <w:sz w:val="19"/>
          <w:szCs w:val="19"/>
        </w:rPr>
        <w:t xml:space="preserve">The added complexity is in the specification, not in the credential. The market sees a badge that reads “Level 2 / Class C.” The standards community sees a framework that is technically defensible at a global level.</w:t>
      </w:r>
    </w:p>
    <w:p>
      <w:pPr>
        <w:spacing w:before="160" w:after="0"/>
      </w:pPr>
      <w:r>
        <w:t xml:space="preserve"/>
      </w:r>
    </w:p>
    <w:p>
      <w:pPr>
        <w:pBdr>
          <w:bottom w:val="single" w:color="1F3864" w:sz="8" w:space="6"/>
        </w:pBdr>
        <w:spacing w:before="340" w:after="120"/>
      </w:pPr>
      <w:r>
        <w:rPr>
          <w:rFonts w:ascii="Arial" w:cs="Arial" w:eastAsia="Arial" w:hAnsi="Arial"/>
          <w:b/>
          <w:bCs/>
          <w:color w:val="1F3864"/>
          <w:sz w:val="32"/>
          <w:szCs w:val="32"/>
        </w:rPr>
        <w:t xml:space="preserve">2. The Two-Axis Model — Locked Architecture</w:t>
      </w:r>
    </w:p>
    <w:p>
      <w:pPr>
        <w:spacing w:before="60" w:after="60"/>
      </w:pPr>
      <w:r>
        <w:rPr>
          <w:rFonts w:ascii="Arial" w:cs="Arial" w:eastAsia="Arial" w:hAnsi="Arial"/>
          <w:color w:val="111111"/>
          <w:sz w:val="20"/>
          <w:szCs w:val="20"/>
        </w:rPr>
        <w:t xml:space="preserve">Every ARA certification is defined by two independent dimensions: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3864" w:sz="12" w:space="0"/>
              <w:bottom w:val="none" w:color="FFFFFF" w:sz="0"/>
              <w:right w:val="none" w:color="FFFFFF" w:sz="0"/>
            </w:tcBorders>
            <w:shd w:fill="EBF3FB" w:val="clear"/>
            <w:tcMar>
              <w:top w:type="dxa" w:w="120"/>
              <w:left w:type="dxa" w:w="240"/>
              <w:bottom w:type="dxa" w:w="120"/>
              <w:right w:type="dxa" w:w="240"/>
            </w:tcMar>
          </w:tcPr>
          <w:p>
            <w:pPr>
              <w:spacing w:before="60" w:after="40"/>
            </w:pPr>
            <w:r>
              <w:rPr>
                <w:rFonts w:ascii="Arial" w:cs="Arial" w:eastAsia="Arial" w:hAnsi="Arial"/>
                <w:b/>
                <w:bCs/>
                <w:color w:val="1F3864"/>
                <w:sz w:val="24"/>
                <w:szCs w:val="24"/>
              </w:rPr>
              <w:t xml:space="preserve">Axis 1  —  Evaluation Level</w:t>
            </w:r>
          </w:p>
          <w:p>
            <w:pPr>
              <w:spacing w:before="0" w:after="60"/>
            </w:pPr>
            <w:r>
              <w:rPr>
                <w:rFonts w:ascii="Arial" w:cs="Arial" w:eastAsia="Arial" w:hAnsi="Arial"/>
                <w:color w:val="1F3864"/>
                <w:sz w:val="19"/>
                <w:szCs w:val="19"/>
              </w:rPr>
              <w:t xml:space="preserve">What was assessed and with what rigor. Applies to both Platform Certifications and Deployment Certifications.</w:t>
            </w:r>
          </w:p>
          <w:p>
            <w:pPr>
              <w:spacing w:before="20" w:after="20"/>
              <w:ind w:left="200" w:hanging="200"/>
            </w:pPr>
            <w:r>
              <w:rPr>
                <w:rFonts w:ascii="Arial" w:cs="Arial" w:eastAsia="Arial" w:hAnsi="Arial"/>
                <w:color w:val="1F3864"/>
                <w:sz w:val="19"/>
                <w:szCs w:val="19"/>
              </w:rPr>
              <w:t xml:space="preserve">•  </w:t>
            </w:r>
            <w:r>
              <w:rPr>
                <w:rFonts w:ascii="Arial" w:cs="Arial" w:eastAsia="Arial" w:hAnsi="Arial"/>
                <w:b/>
                <w:bCs/>
                <w:color w:val="1F3864"/>
                <w:sz w:val="19"/>
                <w:szCs w:val="19"/>
              </w:rPr>
              <w:t xml:space="preserve">Level 1 Foundation  —  </w:t>
            </w:r>
            <w:r>
              <w:rPr>
                <w:rFonts w:ascii="Arial" w:cs="Arial" w:eastAsia="Arial" w:hAnsi="Arial"/>
                <w:color w:val="1F3864"/>
                <w:sz w:val="19"/>
                <w:szCs w:val="19"/>
              </w:rPr>
              <w:t xml:space="preserve">Core ACR coverage against the applicable system profile. Documentation and self-attestation evidence accepted. Lower-autonomy systems.</w:t>
            </w:r>
          </w:p>
          <w:p>
            <w:pPr>
              <w:spacing w:before="20" w:after="20"/>
              <w:ind w:left="200" w:hanging="200"/>
            </w:pPr>
            <w:r>
              <w:rPr>
                <w:rFonts w:ascii="Arial" w:cs="Arial" w:eastAsia="Arial" w:hAnsi="Arial"/>
                <w:color w:val="1F3864"/>
                <w:sz w:val="19"/>
                <w:szCs w:val="19"/>
              </w:rPr>
              <w:t xml:space="preserve">•  </w:t>
            </w:r>
            <w:r>
              <w:rPr>
                <w:rFonts w:ascii="Arial" w:cs="Arial" w:eastAsia="Arial" w:hAnsi="Arial"/>
                <w:b/>
                <w:bCs/>
                <w:color w:val="1F3864"/>
                <w:sz w:val="19"/>
                <w:szCs w:val="19"/>
              </w:rPr>
              <w:t xml:space="preserve">Level 2 Operational  —  </w:t>
            </w:r>
            <w:r>
              <w:rPr>
                <w:rFonts w:ascii="Arial" w:cs="Arial" w:eastAsia="Arial" w:hAnsi="Arial"/>
                <w:color w:val="1F3864"/>
                <w:sz w:val="19"/>
                <w:szCs w:val="19"/>
              </w:rPr>
              <w:t xml:space="preserve">Full ACR coverage for the applicable profile. Evidence-based evaluation with independent validation. Production-context or reference-environment evaluation.</w:t>
            </w:r>
          </w:p>
          <w:p>
            <w:pPr>
              <w:spacing w:before="20" w:after="20"/>
              <w:ind w:left="200" w:hanging="200"/>
            </w:pPr>
            <w:r>
              <w:rPr>
                <w:rFonts w:ascii="Arial" w:cs="Arial" w:eastAsia="Arial" w:hAnsi="Arial"/>
                <w:color w:val="1F3864"/>
                <w:sz w:val="19"/>
                <w:szCs w:val="19"/>
              </w:rPr>
              <w:t xml:space="preserve">•  </w:t>
            </w:r>
            <w:r>
              <w:rPr>
                <w:rFonts w:ascii="Arial" w:cs="Arial" w:eastAsia="Arial" w:hAnsi="Arial"/>
                <w:b/>
                <w:bCs/>
                <w:color w:val="1F3864"/>
                <w:sz w:val="19"/>
                <w:szCs w:val="19"/>
              </w:rPr>
              <w:t xml:space="preserve">Level 3 Comprehensive  —  </w:t>
            </w:r>
            <w:r>
              <w:rPr>
                <w:rFonts w:ascii="Arial" w:cs="Arial" w:eastAsia="Arial" w:hAnsi="Arial"/>
                <w:color w:val="1F3864"/>
                <w:sz w:val="19"/>
                <w:szCs w:val="19"/>
              </w:rPr>
              <w:t xml:space="preserve">Full ACR coverage plus adversarial testing, independent evidence validation, and supply chain review. Required for high-consequence deployments. (Previously named ‘Level 3 Continuous Assurance’ — renamed in Session 4.)</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66534" w:sz="12" w:space="0"/>
              <w:bottom w:val="none" w:color="FFFFFF" w:sz="0"/>
              <w:right w:val="none" w:color="FFFFFF" w:sz="0"/>
            </w:tcBorders>
            <w:shd w:fill="F0FDF4" w:val="clear"/>
            <w:tcMar>
              <w:top w:type="dxa" w:w="120"/>
              <w:left w:type="dxa" w:w="240"/>
              <w:bottom w:type="dxa" w:w="120"/>
              <w:right w:type="dxa" w:w="240"/>
            </w:tcMar>
          </w:tcPr>
          <w:p>
            <w:pPr>
              <w:spacing w:before="60" w:after="40"/>
            </w:pPr>
            <w:r>
              <w:rPr>
                <w:rFonts w:ascii="Arial" w:cs="Arial" w:eastAsia="Arial" w:hAnsi="Arial"/>
                <w:b/>
                <w:bCs/>
                <w:color w:val="166534"/>
                <w:sz w:val="24"/>
                <w:szCs w:val="24"/>
              </w:rPr>
              <w:t xml:space="preserve">Axis 2  —  Assurance Class</w:t>
            </w:r>
          </w:p>
          <w:p>
            <w:pPr>
              <w:spacing w:before="0" w:after="60"/>
            </w:pPr>
            <w:r>
              <w:rPr>
                <w:rFonts w:ascii="Arial" w:cs="Arial" w:eastAsia="Arial" w:hAnsi="Arial"/>
                <w:color w:val="166534"/>
                <w:sz w:val="19"/>
                <w:szCs w:val="19"/>
              </w:rPr>
              <w:t xml:space="preserve">How the certification is maintained over time. Applies to Deployment Certifications only. Determined by Risk Classification. Not applicable to Platform Certifications.</w:t>
            </w:r>
          </w:p>
          <w:p>
            <w:pPr>
              <w:spacing w:before="20" w:after="20"/>
              <w:ind w:left="200" w:hanging="200"/>
            </w:pPr>
            <w:r>
              <w:rPr>
                <w:rFonts w:ascii="Arial" w:cs="Arial" w:eastAsia="Arial" w:hAnsi="Arial"/>
                <w:color w:val="166534"/>
                <w:sz w:val="19"/>
                <w:szCs w:val="19"/>
              </w:rPr>
              <w:t xml:space="preserve">•  </w:t>
            </w:r>
            <w:r>
              <w:rPr>
                <w:rFonts w:ascii="Arial" w:cs="Arial" w:eastAsia="Arial" w:hAnsi="Arial"/>
                <w:b/>
                <w:bCs/>
                <w:color w:val="166534"/>
                <w:sz w:val="19"/>
                <w:szCs w:val="19"/>
              </w:rPr>
              <w:t xml:space="preserve">Class A  —  Periodic  —  </w:t>
            </w:r>
            <w:r>
              <w:rPr>
                <w:rFonts w:ascii="Arial" w:cs="Arial" w:eastAsia="Arial" w:hAnsi="Arial"/>
                <w:color w:val="166534"/>
                <w:sz w:val="19"/>
                <w:szCs w:val="19"/>
              </w:rPr>
              <w:t xml:space="preserve">Annual or biannual re-evaluation. No continuous CAPO monitoring required. Event-triggered revalidation only. Low-autonomy, low-consequence deployments.</w:t>
            </w:r>
          </w:p>
          <w:p>
            <w:pPr>
              <w:spacing w:before="20" w:after="20"/>
              <w:ind w:left="200" w:hanging="200"/>
            </w:pPr>
            <w:r>
              <w:rPr>
                <w:rFonts w:ascii="Arial" w:cs="Arial" w:eastAsia="Arial" w:hAnsi="Arial"/>
                <w:color w:val="166534"/>
                <w:sz w:val="19"/>
                <w:szCs w:val="19"/>
              </w:rPr>
              <w:t xml:space="preserve">•  </w:t>
            </w:r>
            <w:r>
              <w:rPr>
                <w:rFonts w:ascii="Arial" w:cs="Arial" w:eastAsia="Arial" w:hAnsi="Arial"/>
                <w:b/>
                <w:bCs/>
                <w:color w:val="166534"/>
                <w:sz w:val="19"/>
                <w:szCs w:val="19"/>
              </w:rPr>
              <w:t xml:space="preserve">Class B  —  Monitored  —  </w:t>
            </w:r>
            <w:r>
              <w:rPr>
                <w:rFonts w:ascii="Arial" w:cs="Arial" w:eastAsia="Arial" w:hAnsi="Arial"/>
                <w:color w:val="166534"/>
                <w:sz w:val="19"/>
                <w:szCs w:val="19"/>
              </w:rPr>
              <w:t xml:space="preserve">Active CAPO connection required. Minimum monthly telemetry batch delivery. Event-triggered revalidation. Most operational business systems.</w:t>
            </w:r>
          </w:p>
          <w:p>
            <w:pPr>
              <w:spacing w:before="20" w:after="20"/>
              <w:ind w:left="200" w:hanging="200"/>
            </w:pPr>
            <w:r>
              <w:rPr>
                <w:rFonts w:ascii="Arial" w:cs="Arial" w:eastAsia="Arial" w:hAnsi="Arial"/>
                <w:color w:val="166534"/>
                <w:sz w:val="19"/>
                <w:szCs w:val="19"/>
              </w:rPr>
              <w:t xml:space="preserve">•  </w:t>
            </w:r>
            <w:r>
              <w:rPr>
                <w:rFonts w:ascii="Arial" w:cs="Arial" w:eastAsia="Arial" w:hAnsi="Arial"/>
                <w:b/>
                <w:bCs/>
                <w:color w:val="166534"/>
                <w:sz w:val="19"/>
                <w:szCs w:val="19"/>
              </w:rPr>
              <w:t xml:space="preserve">Class C  —  Continuously Assured  —  </w:t>
            </w:r>
            <w:r>
              <w:rPr>
                <w:rFonts w:ascii="Arial" w:cs="Arial" w:eastAsia="Arial" w:hAnsi="Arial"/>
                <w:color w:val="166534"/>
                <w:sz w:val="19"/>
                <w:szCs w:val="19"/>
              </w:rPr>
              <w:t xml:space="preserve">Persistent CAPO connection required. Real-time telemetry stream. SLA-bound alerting. Required for high-autonomy, high-consequence, or regulated deployments. Life-safety systems are Class C without exception.</w:t>
            </w:r>
          </w:p>
        </w:tc>
      </w:tr>
    </w:tbl>
    <w:p>
      <w:pPr>
        <w:spacing w:before="80" w:after="0"/>
      </w:pPr>
      <w:r>
        <w:t xml:space="preserve"/>
      </w:r>
    </w:p>
    <w:p>
      <w:pPr>
        <w:spacing w:before="60" w:after="60"/>
      </w:pPr>
      <w:r>
        <w:rPr>
          <w:rFonts w:ascii="Arial" w:cs="Arial" w:eastAsia="Arial" w:hAnsi="Arial"/>
          <w:color w:val="111111"/>
          <w:sz w:val="20"/>
          <w:szCs w:val="20"/>
        </w:rPr>
        <w:t xml:space="preserve">A certification is expressed as Level + Class.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Arial" w:cs="Arial" w:eastAsia="Arial" w:hAnsi="Arial"/>
                <w:b/>
                <w:bCs/>
                <w:color w:val="FFFFFF"/>
                <w:sz w:val="18"/>
                <w:szCs w:val="18"/>
              </w:rPr>
              <w:t xml:space="preserve">Certification Expression</w:t>
            </w:r>
          </w:p>
        </w:tc>
        <w:tc>
          <w:tcPr>
            <w:tcW w:type="dxa" w:w="360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Arial" w:cs="Arial" w:eastAsia="Arial" w:hAnsi="Arial"/>
                <w:b/>
                <w:bCs/>
                <w:color w:val="FFFFFF"/>
                <w:sz w:val="18"/>
                <w:szCs w:val="18"/>
              </w:rPr>
              <w:t xml:space="preserve">What It Means</w:t>
            </w:r>
          </w:p>
        </w:tc>
        <w:tc>
          <w:tcPr>
            <w:tcW w:type="dxa" w:w="336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Arial" w:cs="Arial" w:eastAsia="Arial" w:hAnsi="Arial"/>
                <w:b/>
                <w:bCs/>
                <w:color w:val="FFFFFF"/>
                <w:sz w:val="18"/>
                <w:szCs w:val="18"/>
              </w:rPr>
              <w:t xml:space="preserve">Example System</w:t>
            </w:r>
          </w:p>
        </w:tc>
      </w:tr>
      <w:tr>
        <w:tc>
          <w:tcPr>
            <w:tcW w:type="dxa" w:w="24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ARA Deployment Certified
Level 1 / Class A</w:t>
            </w:r>
          </w:p>
        </w:tc>
        <w:tc>
          <w:tcPr>
            <w:tcW w:type="dxa" w:w="36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Foundational evaluation; periodic re-assessment only</w:t>
            </w:r>
          </w:p>
        </w:tc>
        <w:tc>
          <w:tcPr>
            <w:tcW w:type="dxa" w:w="336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Internal scheduling agent, low-stakes recommendation tool</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ARA Deployment Certified
Level 2 / Class B</w:t>
            </w:r>
          </w:p>
        </w:tc>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Full operational evaluation; monthly CAPO telemetry; event-triggered revalidation</w:t>
            </w:r>
          </w:p>
        </w:tc>
        <w:tc>
          <w:tcPr>
            <w:tcW w:type="dxa" w:w="3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Customer-facing support agent, logistics optimization system</w:t>
            </w:r>
          </w:p>
        </w:tc>
      </w:tr>
      <w:tr>
        <w:tc>
          <w:tcPr>
            <w:tcW w:type="dxa" w:w="24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ARA Deployment Certified
Level 2 / Class C</w:t>
            </w:r>
          </w:p>
        </w:tc>
        <w:tc>
          <w:tcPr>
            <w:tcW w:type="dxa" w:w="36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Full operational evaluation; persistent CAPO monitoring; real-time alerting</w:t>
            </w:r>
          </w:p>
        </w:tc>
        <w:tc>
          <w:tcPr>
            <w:tcW w:type="dxa" w:w="336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Financial services agent, high-volume autonomous procurement</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ARA Deployment Certified
Level 3 / Class C</w:t>
            </w:r>
          </w:p>
        </w:tc>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Comprehensive evaluation incl. adversarial testing; 24/7 persistent monitoring</w:t>
            </w:r>
          </w:p>
        </w:tc>
        <w:tc>
          <w:tcPr>
            <w:tcW w:type="dxa" w:w="3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Clinical decision AI, autonomous vehicle fleet, critical infrastructure agent</w:t>
            </w:r>
          </w:p>
        </w:tc>
      </w:tr>
      <w:tr>
        <w:tc>
          <w:tcPr>
            <w:tcW w:type="dxa" w:w="24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ARA Platform Certified
Level 2</w:t>
            </w:r>
          </w:p>
        </w:tc>
        <w:tc>
          <w:tcPr>
            <w:tcW w:type="dxa" w:w="36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Full operational evaluation in reference environment; no Assurance Class</w:t>
            </w:r>
          </w:p>
        </w:tc>
        <w:tc>
          <w:tcPr>
            <w:tcW w:type="dxa" w:w="336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Agentic platform vendor, robotics product — pre-deployment certification</w:t>
            </w:r>
          </w:p>
        </w:tc>
      </w:tr>
    </w:tbl>
    <w:p>
      <w:pPr>
        <w:spacing w:before="160" w:after="0"/>
      </w:pPr>
      <w:r>
        <w:t xml:space="preserve"/>
      </w:r>
    </w:p>
    <w:p>
      <w:pPr>
        <w:pBdr>
          <w:bottom w:val="single" w:color="1F3864" w:sz="8" w:space="6"/>
        </w:pBdr>
        <w:spacing w:before="340" w:after="120"/>
      </w:pPr>
      <w:r>
        <w:rPr>
          <w:rFonts w:ascii="Arial" w:cs="Arial" w:eastAsia="Arial" w:hAnsi="Arial"/>
          <w:b/>
          <w:bCs/>
          <w:color w:val="1F3864"/>
          <w:sz w:val="32"/>
          <w:szCs w:val="32"/>
        </w:rPr>
        <w:t xml:space="preserve">3. Platform Certification</w:t>
      </w:r>
    </w:p>
    <w:p>
      <w:pPr>
        <w:spacing w:before="60" w:after="60"/>
      </w:pPr>
      <w:r>
        <w:rPr>
          <w:rFonts w:ascii="Arial" w:cs="Arial" w:eastAsia="Arial" w:hAnsi="Arial"/>
          <w:color w:val="111111"/>
          <w:sz w:val="20"/>
          <w:szCs w:val="20"/>
        </w:rPr>
        <w:t xml:space="preserve">Platform Certification is an Evaluation Level designation without an Assurance Class. There is no live deployment to monitor, so Assurance Class does not apply. A Platform Cert says: “This technology was evaluated at this level of rigor in a controlled reference environment.” When a customer deploys, the Deployment Certification inherits the platform’s ACR coverage and adds an Assurance Class based on their operational risk profile.</w:t>
      </w:r>
    </w:p>
    <w:p>
      <w:pPr>
        <w:spacing w:before="240" w:after="80"/>
      </w:pPr>
      <w:r>
        <w:rPr>
          <w:rFonts w:ascii="Arial" w:cs="Arial" w:eastAsia="Arial" w:hAnsi="Arial"/>
          <w:b/>
          <w:bCs/>
          <w:color w:val="2E74B5"/>
          <w:sz w:val="25"/>
          <w:szCs w:val="25"/>
        </w:rPr>
        <w:t xml:space="preserve">3.1 Who Can Obtain Platform Certification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Arial" w:cs="Arial" w:eastAsia="Arial" w:hAnsi="Arial"/>
                <w:b/>
                <w:bCs/>
                <w:color w:val="FFFFFF"/>
                <w:sz w:val="18"/>
                <w:szCs w:val="18"/>
              </w:rPr>
              <w:t xml:space="preserve">Entity Type</w:t>
            </w:r>
          </w:p>
        </w:tc>
        <w:tc>
          <w:tcPr>
            <w:tcW w:type="dxa" w:w="180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Arial" w:cs="Arial" w:eastAsia="Arial" w:hAnsi="Arial"/>
                <w:b/>
                <w:bCs/>
                <w:color w:val="FFFFFF"/>
                <w:sz w:val="18"/>
                <w:szCs w:val="18"/>
              </w:rPr>
              <w:t xml:space="preserve">Platform Cert Eligible?</w:t>
            </w:r>
          </w:p>
        </w:tc>
        <w:tc>
          <w:tcPr>
            <w:tcW w:type="dxa" w:w="496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Arial" w:cs="Arial" w:eastAsia="Arial" w:hAnsi="Arial"/>
                <w:b/>
                <w:bCs/>
                <w:color w:val="FFFFFF"/>
                <w:sz w:val="18"/>
                <w:szCs w:val="18"/>
              </w:rPr>
              <w:t xml:space="preserve">Notes</w:t>
            </w:r>
          </w:p>
        </w:tc>
      </w:tr>
      <w:tr>
        <w:tc>
          <w:tcPr>
            <w:tcW w:type="dxa" w:w="26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Agentic platform vendor (sells AI agent products)</w:t>
            </w:r>
          </w:p>
        </w:tc>
        <w:tc>
          <w:tcPr>
            <w:tcW w:type="dxa" w:w="18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Yes — primary use case</w:t>
            </w:r>
          </w:p>
        </w:tc>
        <w:tc>
          <w:tcPr>
            <w:tcW w:type="dxa" w:w="496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Key commercial differentiator; enables pre-deployment certification</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Autonomous system product company (robotics, vehicles)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Product-level cert before fleet or customer deployment</w:t>
            </w:r>
          </w:p>
        </w:tc>
      </w:tr>
      <w:tr>
        <w:tc>
          <w:tcPr>
            <w:tcW w:type="dxa" w:w="26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Foundation model provider (autonomous use cases)</w:t>
            </w:r>
          </w:p>
        </w:tc>
        <w:tc>
          <w:tcPr>
            <w:tcW w:type="dxa" w:w="18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Yes — scoped</w:t>
            </w:r>
          </w:p>
        </w:tc>
        <w:tc>
          <w:tcPr>
            <w:tcW w:type="dxa" w:w="496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Scoped to autonomous use cases only</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Enterprise self-build (internal agents)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No — Deployment Cert instead</w:t>
            </w:r>
          </w:p>
        </w:tc>
        <w:tc>
          <w:tcPr>
            <w:tcW w:type="dxa" w:w="4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No distributable product; goes directly to Deployment Cert</w:t>
            </w:r>
          </w:p>
        </w:tc>
      </w:tr>
      <w:tr>
        <w:tc>
          <w:tcPr>
            <w:tcW w:type="dxa" w:w="26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Consulting / implementation firm</w:t>
            </w:r>
          </w:p>
        </w:tc>
        <w:tc>
          <w:tcPr>
            <w:tcW w:type="dxa" w:w="18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No — client gets Deployment Cert</w:t>
            </w:r>
          </w:p>
        </w:tc>
        <w:tc>
          <w:tcPr>
            <w:tcW w:type="dxa" w:w="496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See Section 3.4 for Certified Technology Partner designation</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CAPO</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No — separate accreditation</w:t>
            </w:r>
          </w:p>
        </w:tc>
        <w:tc>
          <w:tcPr>
            <w:tcW w:type="dxa" w:w="4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CAPO accreditation is GOV Art. 4 process</w:t>
            </w:r>
          </w:p>
        </w:tc>
      </w:tr>
    </w:tbl>
    <w:p>
      <w:pPr>
        <w:spacing w:before="160" w:after="0"/>
      </w:pPr>
      <w:r>
        <w:t xml:space="preserve"/>
      </w:r>
    </w:p>
    <w:p>
      <w:pPr>
        <w:spacing w:before="240" w:after="80"/>
      </w:pPr>
      <w:r>
        <w:rPr>
          <w:rFonts w:ascii="Arial" w:cs="Arial" w:eastAsia="Arial" w:hAnsi="Arial"/>
          <w:b/>
          <w:bCs/>
          <w:color w:val="2E74B5"/>
          <w:sz w:val="25"/>
          <w:szCs w:val="25"/>
        </w:rPr>
        <w:t xml:space="preserve">3.2 Reference Environment Requirements</w:t>
      </w:r>
    </w:p>
    <w:p>
      <w:pPr>
        <w:spacing w:before="40" w:after="40"/>
        <w:ind w:left="400" w:hanging="240"/>
      </w:pPr>
      <w:r>
        <w:rPr>
          <w:rFonts w:ascii="Arial" w:cs="Arial" w:eastAsia="Arial" w:hAnsi="Arial"/>
          <w:sz w:val="20"/>
          <w:szCs w:val="20"/>
        </w:rPr>
        <w:t xml:space="preserve">•  </w:t>
      </w:r>
      <w:r>
        <w:rPr>
          <w:rFonts w:ascii="Arial" w:cs="Arial" w:eastAsia="Arial" w:hAnsi="Arial"/>
          <w:sz w:val="20"/>
          <w:szCs w:val="20"/>
        </w:rPr>
        <w:t xml:space="preserve">Platform deployed in functional state capable of executing all in-scope ACRs</w:t>
      </w:r>
    </w:p>
    <w:p>
      <w:pPr>
        <w:spacing w:before="40" w:after="40"/>
        <w:ind w:left="400" w:hanging="240"/>
      </w:pPr>
      <w:r>
        <w:rPr>
          <w:rFonts w:ascii="Arial" w:cs="Arial" w:eastAsia="Arial" w:hAnsi="Arial"/>
          <w:sz w:val="20"/>
          <w:szCs w:val="20"/>
        </w:rPr>
        <w:t xml:space="preserve">•  </w:t>
      </w:r>
      <w:r>
        <w:rPr>
          <w:rFonts w:ascii="Arial" w:cs="Arial" w:eastAsia="Arial" w:hAnsi="Arial"/>
          <w:sz w:val="20"/>
          <w:szCs w:val="20"/>
        </w:rPr>
        <w:t xml:space="preserve">Full infrastructure, configuration, model version, and dependency versions documented</w:t>
      </w:r>
    </w:p>
    <w:p>
      <w:pPr>
        <w:spacing w:before="40" w:after="40"/>
        <w:ind w:left="400" w:hanging="240"/>
      </w:pPr>
      <w:r>
        <w:rPr>
          <w:rFonts w:ascii="Arial" w:cs="Arial" w:eastAsia="Arial" w:hAnsi="Arial"/>
          <w:sz w:val="20"/>
          <w:szCs w:val="20"/>
        </w:rPr>
        <w:t xml:space="preserve">•  </w:t>
      </w:r>
      <w:r>
        <w:rPr>
          <w:rFonts w:ascii="Arial" w:cs="Arial" w:eastAsia="Arial" w:hAnsi="Arial"/>
          <w:sz w:val="20"/>
          <w:szCs w:val="20"/>
        </w:rPr>
        <w:t xml:space="preserve">Simulated or synthetic telemetry acceptable; AVB specifies minimum fidelity requirements</w:t>
      </w:r>
    </w:p>
    <w:p>
      <w:pPr>
        <w:spacing w:before="40" w:after="40"/>
        <w:ind w:left="400" w:hanging="240"/>
      </w:pPr>
      <w:r>
        <w:rPr>
          <w:rFonts w:ascii="Arial" w:cs="Arial" w:eastAsia="Arial" w:hAnsi="Arial"/>
          <w:sz w:val="20"/>
          <w:szCs w:val="20"/>
        </w:rPr>
        <w:t xml:space="preserve">•  </w:t>
      </w:r>
      <w:r>
        <w:rPr>
          <w:rFonts w:ascii="Arial" w:cs="Arial" w:eastAsia="Arial" w:hAnsi="Arial"/>
          <w:sz w:val="20"/>
          <w:szCs w:val="20"/>
        </w:rPr>
        <w:t xml:space="preserve">Vendor maintains reference environment documentation as a condition of certification validity</w:t>
      </w:r>
    </w:p>
    <w:p>
      <w:pPr>
        <w:spacing w:before="40" w:after="40"/>
        <w:ind w:left="400" w:hanging="240"/>
      </w:pPr>
      <w:r>
        <w:rPr>
          <w:rFonts w:ascii="Arial" w:cs="Arial" w:eastAsia="Arial" w:hAnsi="Arial"/>
          <w:sz w:val="20"/>
          <w:szCs w:val="20"/>
        </w:rPr>
        <w:t xml:space="preserve">•  </w:t>
      </w:r>
      <w:r>
        <w:rPr>
          <w:rFonts w:ascii="Arial" w:cs="Arial" w:eastAsia="Arial" w:hAnsi="Arial"/>
          <w:sz w:val="20"/>
          <w:szCs w:val="20"/>
        </w:rPr>
        <w:t xml:space="preserve">Material platform changes (new model version, architectural change) trigger re-evaluation</w:t>
      </w:r>
    </w:p>
    <w:p>
      <w:pPr>
        <w:spacing w:before="240" w:after="80"/>
      </w:pPr>
      <w:r>
        <w:rPr>
          <w:rFonts w:ascii="Arial" w:cs="Arial" w:eastAsia="Arial" w:hAnsi="Arial"/>
          <w:b/>
          <w:bCs/>
          <w:color w:val="2E74B5"/>
          <w:sz w:val="25"/>
          <w:szCs w:val="25"/>
        </w:rPr>
        <w:t xml:space="preserve">3.3 Certification Inheritance at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Arial" w:cs="Arial" w:eastAsia="Arial" w:hAnsi="Arial"/>
                <w:b/>
                <w:bCs/>
                <w:color w:val="FFFFFF"/>
                <w:sz w:val="18"/>
                <w:szCs w:val="18"/>
              </w:rPr>
              <w:t xml:space="preserve">ACR Category</w:t>
            </w:r>
          </w:p>
        </w:tc>
        <w:tc>
          <w:tcPr>
            <w:tcW w:type="dxa" w:w="180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Arial" w:cs="Arial" w:eastAsia="Arial" w:hAnsi="Arial"/>
                <w:b/>
                <w:bCs/>
                <w:color w:val="FFFFFF"/>
                <w:sz w:val="18"/>
                <w:szCs w:val="18"/>
              </w:rPr>
              <w:t xml:space="preserve">Inheritance</w:t>
            </w:r>
          </w:p>
        </w:tc>
        <w:tc>
          <w:tcPr>
            <w:tcW w:type="dxa" w:w="496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Arial" w:cs="Arial" w:eastAsia="Arial" w:hAnsi="Arial"/>
                <w:b/>
                <w:bCs/>
                <w:color w:val="FFFFFF"/>
                <w:sz w:val="18"/>
                <w:szCs w:val="18"/>
              </w:rPr>
              <w:t xml:space="preserve">Customer Obligation at Deployment Cert</w:t>
            </w:r>
          </w:p>
        </w:tc>
      </w:tr>
      <w:tr>
        <w:tc>
          <w:tcPr>
            <w:tcW w:type="dxa" w:w="26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Platform-evaluated ACRs
(config matches reference env)</w:t>
            </w:r>
          </w:p>
        </w:tc>
        <w:tc>
          <w:tcPr>
            <w:tcW w:type="dxa" w:w="18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Inherited — no re-evaluation</w:t>
            </w:r>
          </w:p>
        </w:tc>
        <w:tc>
          <w:tcPr>
            <w:tcW w:type="dxa" w:w="496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Confirm configuration matches Platform Cert reference environment; AVB attests</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Configuration-dependent ACRs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Partial — delta evaluation only</w:t>
            </w:r>
          </w:p>
        </w:tc>
        <w:tc>
          <w:tcPr>
            <w:tcW w:type="dxa" w:w="4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AVB evaluates configuration delta against Platform Cert baseline</w:t>
            </w:r>
          </w:p>
        </w:tc>
      </w:tr>
      <w:tr>
        <w:tc>
          <w:tcPr>
            <w:tcW w:type="dxa" w:w="26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Deployment-context ACRs
(data flows, integrations, ops environment)</w:t>
            </w:r>
          </w:p>
        </w:tc>
        <w:tc>
          <w:tcPr>
            <w:tcW w:type="dxa" w:w="18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Not inherited — full evaluation</w:t>
            </w:r>
          </w:p>
        </w:tc>
        <w:tc>
          <w:tcPr>
            <w:tcW w:type="dxa" w:w="496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Outside platform scope by definition; full evaluation required</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ACR gaps (standard updated since Platform Cert)</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Not inherited — gap analysis required</w:t>
            </w:r>
          </w:p>
        </w:tc>
        <w:tc>
          <w:tcPr>
            <w:tcW w:type="dxa" w:w="4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Vendor and customer jointly responsible; AVB identifies and evaluates gaps</w:t>
            </w:r>
          </w:p>
        </w:tc>
      </w:tr>
    </w:tbl>
    <w:p>
      <w:pPr>
        <w:spacing w:before="160" w:after="0"/>
      </w:pPr>
      <w:r>
        <w:t xml:space="preserve"/>
      </w:r>
    </w:p>
    <w:p>
      <w:pPr>
        <w:spacing w:before="240" w:after="80"/>
      </w:pPr>
      <w:r>
        <w:rPr>
          <w:rFonts w:ascii="Arial" w:cs="Arial" w:eastAsia="Arial" w:hAnsi="Arial"/>
          <w:b/>
          <w:bCs/>
          <w:color w:val="2E74B5"/>
          <w:sz w:val="25"/>
          <w:szCs w:val="25"/>
        </w:rPr>
        <w:t xml:space="preserve">3.4 Certified Technology Partner Registry</w:t>
      </w:r>
    </w:p>
    <w:p>
      <w:pPr>
        <w:spacing w:before="60" w:after="60"/>
      </w:pPr>
      <w:r>
        <w:rPr>
          <w:rFonts w:ascii="Arial" w:cs="Arial" w:eastAsia="Arial" w:hAnsi="Arial"/>
          <w:color w:val="111111"/>
          <w:sz w:val="20"/>
          <w:szCs w:val="20"/>
        </w:rPr>
        <w:t xml:space="preserve">Consulting and implementation firms that help clients achieve ARA certification are not eligible for Platform or Deployment Certification. The appropriate designation is Certified Technology Partner (CTP): a lightweight registry entry, not a certification. Requirements: demonstrated history of successful ARA engagements, ARAF-trained staff, ARAF code of conduct adherence.</w:t>
      </w:r>
    </w:p>
    <w:p>
      <w:pPr>
        <w:spacing w:before="80" w:after="80"/>
        <w:ind w:left="360"/>
      </w:pPr>
      <w:r>
        <w:rPr>
          <w:rFonts w:ascii="Arial" w:cs="Arial" w:eastAsia="Arial" w:hAnsi="Arial"/>
          <w:b/>
          <w:bCs/>
          <w:color w:val="B45309"/>
          <w:sz w:val="19"/>
          <w:szCs w:val="19"/>
        </w:rPr>
        <w:t xml:space="preserve">⚠️  DEFERRED:  </w:t>
      </w:r>
      <w:r>
        <w:rPr>
          <w:rFonts w:ascii="Arial" w:cs="Arial" w:eastAsia="Arial" w:hAnsi="Arial"/>
          <w:color w:val="444444"/>
          <w:sz w:val="19"/>
          <w:szCs w:val="19"/>
        </w:rPr>
        <w:t xml:space="preserve">CTP registry is defined in this document but deferred to post-adoption operational build. Session 4 adds a placeholder definition in GOV Art. 10. The registry is built operationally after adoption.</w:t>
      </w:r>
    </w:p>
    <w:p>
      <w:pPr>
        <w:spacing w:before="160" w:after="0"/>
      </w:pPr>
      <w:r>
        <w:t xml:space="preserve"/>
      </w:r>
    </w:p>
    <w:p>
      <w:pPr>
        <w:pBdr>
          <w:bottom w:val="single" w:color="1F3864" w:sz="8" w:space="6"/>
        </w:pBdr>
        <w:spacing w:before="340" w:after="120"/>
      </w:pPr>
      <w:r>
        <w:rPr>
          <w:rFonts w:ascii="Arial" w:cs="Arial" w:eastAsia="Arial" w:hAnsi="Arial"/>
          <w:b/>
          <w:bCs/>
          <w:color w:val="1F3864"/>
          <w:sz w:val="32"/>
          <w:szCs w:val="32"/>
        </w:rPr>
        <w:t xml:space="preserve">4. Risk Classification — Assurance Class Assignment</w:t>
      </w:r>
    </w:p>
    <w:p>
      <w:pPr>
        <w:spacing w:before="60" w:after="60"/>
      </w:pPr>
      <w:r>
        <w:rPr>
          <w:rFonts w:ascii="Arial" w:cs="Arial" w:eastAsia="Arial" w:hAnsi="Arial"/>
          <w:color w:val="111111"/>
          <w:sz w:val="20"/>
          <w:szCs w:val="20"/>
        </w:rPr>
        <w:t xml:space="preserve">Risk Classification is conducted by the accredited AVB as part of Deployment Certification. It determines the required Assurance Class and is documented in the evaluation report. Certified organizations may appeal to the ARAF Technical Standards Board.</w:t>
      </w:r>
    </w:p>
    <w:p>
      <w:pPr>
        <w:spacing w:before="240" w:after="80"/>
      </w:pPr>
      <w:r>
        <w:rPr>
          <w:rFonts w:ascii="Arial" w:cs="Arial" w:eastAsia="Arial" w:hAnsi="Arial"/>
          <w:b/>
          <w:bCs/>
          <w:color w:val="2E74B5"/>
          <w:sz w:val="25"/>
          <w:szCs w:val="25"/>
        </w:rPr>
        <w:t xml:space="preserve">4.1 Classification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Arial" w:cs="Arial" w:eastAsia="Arial" w:hAnsi="Arial"/>
                <w:b/>
                <w:bCs/>
                <w:color w:val="FFFFFF"/>
                <w:sz w:val="18"/>
                <w:szCs w:val="18"/>
              </w:rPr>
              <w:t xml:space="preserve">Factor</w:t>
            </w:r>
          </w:p>
        </w:tc>
        <w:tc>
          <w:tcPr>
            <w:tcW w:type="dxa" w:w="696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Degree of Autonomy</w:t>
            </w:r>
          </w:p>
        </w:tc>
        <w:tc>
          <w:tcPr>
            <w:tcW w:type="dxa" w:w="696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Extent to which the system makes and executes decisions without human review, approval, or override. Primary factor — high autonomy alone can drive Class C requirement.</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Consequence Severity</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Potential harm to people, organizations, or critical systems if the system behaves incorrectly. Primary factor — life-safety consequences require Class C.</w:t>
            </w:r>
          </w:p>
        </w:tc>
      </w:tr>
      <w:tr>
        <w:tc>
          <w:tcPr>
            <w:tcW w:type="dxa" w:w="24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Reversibility</w:t>
            </w:r>
          </w:p>
        </w:tc>
        <w:tc>
          <w:tcPr>
            <w:tcW w:type="dxa" w:w="696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Whether actions taken by the system can be undone within an operationally meaningful timeframe. High weight — irreversible actions elevate class requirement.</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Breadth of Impact</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Number of people, systems, or transactions affected by a single autonomous decision.</w:t>
            </w:r>
          </w:p>
        </w:tc>
      </w:tr>
      <w:tr>
        <w:tc>
          <w:tcPr>
            <w:tcW w:type="dxa" w:w="24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Regulatory Context</w:t>
            </w:r>
          </w:p>
        </w:tc>
        <w:tc>
          <w:tcPr>
            <w:tcW w:type="dxa" w:w="696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Whether the system operates in a regulated domain (healthcare, finance, critical infrastructure, aviation). Regulated domains require Class B minimum; safety-critical regulated domains require Class C.</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Dependency Criticality</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Whether other autonomous systems or agents depend on this system’s outputs as inputs to their own decisions. Upstream dependency amplifies failure consequence.</w:t>
            </w:r>
          </w:p>
        </w:tc>
      </w:tr>
      <w:tr>
        <w:tc>
          <w:tcPr>
            <w:tcW w:type="dxa" w:w="24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Operational Continuity</w:t>
            </w:r>
          </w:p>
        </w:tc>
        <w:tc>
          <w:tcPr>
            <w:tcW w:type="dxa" w:w="696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Whether the system operates continuously (24/7) vs. discretely (batch, scheduled, on-demand). Continuous operation elevates monitoring frequency within class.</w:t>
            </w:r>
          </w:p>
        </w:tc>
      </w:tr>
    </w:tbl>
    <w:p>
      <w:pPr>
        <w:spacing w:before="160" w:after="0"/>
      </w:pPr>
      <w:r>
        <w:t xml:space="preserve"/>
      </w:r>
    </w:p>
    <w:p>
      <w:pPr>
        <w:spacing w:before="240" w:after="80"/>
      </w:pPr>
      <w:r>
        <w:rPr>
          <w:rFonts w:ascii="Arial" w:cs="Arial" w:eastAsia="Arial" w:hAnsi="Arial"/>
          <w:b/>
          <w:bCs/>
          <w:color w:val="2E74B5"/>
          <w:sz w:val="25"/>
          <w:szCs w:val="25"/>
        </w:rPr>
        <w:t xml:space="preserve">4.2 Class Assignment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Arial" w:cs="Arial" w:eastAsia="Arial" w:hAnsi="Arial"/>
                <w:b/>
                <w:bCs/>
                <w:color w:val="FFFFFF"/>
                <w:sz w:val="18"/>
                <w:szCs w:val="18"/>
              </w:rPr>
              <w:t xml:space="preserve">Condition</w:t>
            </w:r>
          </w:p>
        </w:tc>
        <w:tc>
          <w:tcPr>
            <w:tcW w:type="dxa" w:w="416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Arial" w:cs="Arial" w:eastAsia="Arial" w:hAnsi="Arial"/>
                <w:b/>
                <w:bCs/>
                <w:color w:val="FFFFFF"/>
                <w:sz w:val="18"/>
                <w:szCs w:val="18"/>
              </w:rPr>
              <w:t xml:space="preserve">Minimum Assurance Class</w:t>
            </w:r>
          </w:p>
        </w:tc>
      </w:tr>
      <w:tr>
        <w:tc>
          <w:tcPr>
            <w:tcW w:type="dxa" w:w="52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Life-safety consequences possible (clinical AI, autonomous vehicles, safety-critical robotics)</w:t>
            </w:r>
          </w:p>
        </w:tc>
        <w:tc>
          <w:tcPr>
            <w:tcW w:type="dxa" w:w="416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Class C — no exceptions</w:t>
            </w:r>
          </w:p>
        </w:tc>
      </w:tr>
      <w:tr>
        <w:tc>
          <w:tcPr>
            <w:tcW w:type="dxa" w:w="5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Financial system with systemic exposure (high-frequency trading, payment infrastructure)</w:t>
            </w:r>
          </w:p>
        </w:tc>
        <w:tc>
          <w:tcPr>
            <w:tcW w:type="dxa" w:w="4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Class C — no exceptions</w:t>
            </w:r>
          </w:p>
        </w:tc>
      </w:tr>
      <w:tr>
        <w:tc>
          <w:tcPr>
            <w:tcW w:type="dxa" w:w="52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Critical infrastructure control (power, water, communications)</w:t>
            </w:r>
          </w:p>
        </w:tc>
        <w:tc>
          <w:tcPr>
            <w:tcW w:type="dxa" w:w="416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Class C — no exceptions</w:t>
            </w:r>
          </w:p>
        </w:tc>
      </w:tr>
      <w:tr>
        <w:tc>
          <w:tcPr>
            <w:tcW w:type="dxa" w:w="5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Regulated domain without life-safety exposure</w:t>
            </w:r>
          </w:p>
        </w:tc>
        <w:tc>
          <w:tcPr>
            <w:tcW w:type="dxa" w:w="4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Class B minimum</w:t>
            </w:r>
          </w:p>
        </w:tc>
      </w:tr>
      <w:tr>
        <w:tc>
          <w:tcPr>
            <w:tcW w:type="dxa" w:w="52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High-autonomy system (minimal human oversight) in any domain</w:t>
            </w:r>
          </w:p>
        </w:tc>
        <w:tc>
          <w:tcPr>
            <w:tcW w:type="dxa" w:w="416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Class B minimum; AVB may require Class C based on consequence severity</w:t>
            </w:r>
          </w:p>
        </w:tc>
      </w:tr>
      <w:tr>
        <w:tc>
          <w:tcPr>
            <w:tcW w:type="dxa" w:w="5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Multi-agent orchestration system (directs or coordinates other autonomous agents)</w:t>
            </w:r>
          </w:p>
        </w:tc>
        <w:tc>
          <w:tcPr>
            <w:tcW w:type="dxa" w:w="4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Class B minimum; Class C if any downstream agent is Class C-eligible</w:t>
            </w:r>
          </w:p>
        </w:tc>
      </w:tr>
      <w:tr>
        <w:tc>
          <w:tcPr>
            <w:tcW w:type="dxa" w:w="52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Customer-facing agent with human escalation path and reversible actions</w:t>
            </w:r>
          </w:p>
        </w:tc>
        <w:tc>
          <w:tcPr>
            <w:tcW w:type="dxa" w:w="416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Class A or B depending on volume and consequence</w:t>
            </w:r>
          </w:p>
        </w:tc>
      </w:tr>
      <w:tr>
        <w:tc>
          <w:tcPr>
            <w:tcW w:type="dxa" w:w="5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Internal operational agent with human review of outputs</w:t>
            </w:r>
          </w:p>
        </w:tc>
        <w:tc>
          <w:tcPr>
            <w:tcW w:type="dxa" w:w="4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Class A eligible</w:t>
            </w:r>
          </w:p>
        </w:tc>
      </w:tr>
    </w:tbl>
    <w:p>
      <w:pPr>
        <w:spacing w:before="160" w:after="0"/>
      </w:pPr>
      <w:r>
        <w:t xml:space="preserve"/>
      </w:r>
    </w:p>
    <w:p>
      <w:pPr>
        <w:spacing w:before="80" w:after="80"/>
        <w:ind w:left="360"/>
      </w:pPr>
      <w:r>
        <w:rPr>
          <w:rFonts w:ascii="Arial" w:cs="Arial" w:eastAsia="Arial" w:hAnsi="Arial"/>
          <w:b/>
          <w:bCs/>
          <w:color w:val="B45309"/>
          <w:sz w:val="19"/>
          <w:szCs w:val="19"/>
        </w:rPr>
        <w:t xml:space="preserve">⚠️  OPEN ITEM:  </w:t>
      </w:r>
      <w:r>
        <w:rPr>
          <w:rFonts w:ascii="Arial" w:cs="Arial" w:eastAsia="Arial" w:hAnsi="Arial"/>
          <w:color w:val="444444"/>
          <w:sz w:val="19"/>
          <w:szCs w:val="19"/>
        </w:rPr>
        <w:t xml:space="preserve">Full Risk Classification scoring rubric (weighted criteria, decision tree, worked examples) is deferred to v1.2 companion guide. STD v1.1 establishes the framework and class assignment rules above as normative. The rubric follows post-adoption.</w:t>
      </w:r>
    </w:p>
    <w:p>
      <w:pPr>
        <w:spacing w:before="160" w:after="0"/>
      </w:pPr>
      <w:r>
        <w:t xml:space="preserve"/>
      </w:r>
    </w:p>
    <w:p>
      <w:pPr>
        <w:pBdr>
          <w:bottom w:val="single" w:color="1F3864" w:sz="8" w:space="6"/>
        </w:pBdr>
        <w:spacing w:before="340" w:after="120"/>
      </w:pPr>
      <w:r>
        <w:rPr>
          <w:rFonts w:ascii="Arial" w:cs="Arial" w:eastAsia="Arial" w:hAnsi="Arial"/>
          <w:b/>
          <w:bCs/>
          <w:color w:val="1F3864"/>
          <w:sz w:val="32"/>
          <w:szCs w:val="32"/>
        </w:rPr>
        <w:t xml:space="preserve">5. Level 3 Rename — ‘Continuous Assurance’ → ‘Comprehensive’</w:t>
      </w:r>
    </w:p>
    <w:p>
      <w:pPr>
        <w:spacing w:before="60" w:after="60"/>
      </w:pPr>
      <w:r>
        <w:rPr>
          <w:rFonts w:ascii="Arial" w:cs="Arial" w:eastAsia="Arial" w:hAnsi="Arial"/>
          <w:color w:val="111111"/>
          <w:sz w:val="20"/>
          <w:szCs w:val="20"/>
        </w:rPr>
        <w:t xml:space="preserve">The existing Level 3 name (“Continuous Assurance”) must be retired. Under the two-axis model, continuous assurance is what Assurance Class C describes — not an evaluation level. Retaining the old name actively misleads: a Level 1 / Class C system has more continuous monitoring than a Level 3 / Class A system, which the old name implies is impossible.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Arial" w:cs="Arial" w:eastAsia="Arial" w:hAnsi="Arial"/>
                <w:b/>
                <w:bCs/>
                <w:color w:val="FFFFFF"/>
                <w:sz w:val="18"/>
                <w:szCs w:val="18"/>
              </w:rPr>
              <w:t xml:space="preserve">Old Name</w:t>
            </w:r>
          </w:p>
        </w:tc>
        <w:tc>
          <w:tcPr>
            <w:tcW w:type="dxa" w:w="260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Arial" w:cs="Arial" w:eastAsia="Arial" w:hAnsi="Arial"/>
                <w:b/>
                <w:bCs/>
                <w:color w:val="FFFFFF"/>
                <w:sz w:val="18"/>
                <w:szCs w:val="18"/>
              </w:rPr>
              <w:t xml:space="preserve">New Name</w:t>
            </w:r>
          </w:p>
        </w:tc>
        <w:tc>
          <w:tcPr>
            <w:tcW w:type="dxa" w:w="396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Arial" w:cs="Arial" w:eastAsia="Arial" w:hAnsi="Arial"/>
                <w:b/>
                <w:bCs/>
                <w:color w:val="FFFFFF"/>
                <w:sz w:val="18"/>
                <w:szCs w:val="18"/>
              </w:rPr>
              <w:t xml:space="preserve">Rationale</w:t>
            </w:r>
          </w:p>
        </w:tc>
      </w:tr>
      <w:tr>
        <w:tc>
          <w:tcPr>
            <w:tcW w:type="dxa" w:w="28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Level 1 Foundation</w:t>
            </w:r>
          </w:p>
        </w:tc>
        <w:tc>
          <w:tcPr>
            <w:tcW w:type="dxa" w:w="26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Level 1 Foundation</w:t>
            </w:r>
          </w:p>
        </w:tc>
        <w:tc>
          <w:tcPr>
            <w:tcW w:type="dxa" w:w="396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No change</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Level 2 Operational</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Level 2 Operational</w:t>
            </w:r>
          </w:p>
        </w:tc>
        <w:tc>
          <w:tcPr>
            <w:tcW w:type="dxa" w:w="3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No change</w:t>
            </w:r>
          </w:p>
        </w:tc>
      </w:tr>
      <w:tr>
        <w:tc>
          <w:tcPr>
            <w:tcW w:type="dxa" w:w="28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Level 3 Continuous Assurance</w:t>
            </w:r>
          </w:p>
        </w:tc>
        <w:tc>
          <w:tcPr>
            <w:tcW w:type="dxa" w:w="26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Level 3 Comprehensive</w:t>
            </w:r>
          </w:p>
        </w:tc>
        <w:tc>
          <w:tcPr>
            <w:tcW w:type="dxa" w:w="396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‘Continuous Assurance’ is now Assurance Class C. ‘Comprehensive’ correctly describes the evaluation rigor: adversarial testing, independent evidence validation, supply chain review.</w:t>
            </w:r>
          </w:p>
        </w:tc>
      </w:tr>
    </w:tbl>
    <w:p>
      <w:pPr>
        <w:spacing w:before="80" w:after="0"/>
      </w:pPr>
      <w:r>
        <w:t xml:space="preserve"/>
      </w:r>
    </w:p>
    <w:p>
      <w:pPr>
        <w:spacing w:before="80" w:after="80"/>
        <w:ind w:left="360"/>
      </w:pPr>
      <w:r>
        <w:rPr>
          <w:rFonts w:ascii="Arial" w:cs="Arial" w:eastAsia="Arial" w:hAnsi="Arial"/>
          <w:b/>
          <w:bCs/>
          <w:color w:val="166534"/>
          <w:sz w:val="19"/>
          <w:szCs w:val="19"/>
        </w:rPr>
        <w:t xml:space="preserve">🔒  LOCKED:  </w:t>
      </w:r>
      <w:r>
        <w:rPr>
          <w:rFonts w:ascii="Arial" w:cs="Arial" w:eastAsia="Arial" w:hAnsi="Arial"/>
          <w:color w:val="444444"/>
          <w:sz w:val="19"/>
          <w:szCs w:val="19"/>
        </w:rPr>
        <w:t xml:space="preserve">Execute as a global find-and-replace at the start of each session BEFORE any other edits. Search string: 'Level 3 Continuous Assurance'. Replace with: 'Level 3 Comprehensive'. Run across all 9 documents. Verify zero surviving instances before proceeding.</w:t>
      </w:r>
    </w:p>
    <w:p>
      <w:pPr>
        <w:spacing w:before="160" w:after="0"/>
      </w:pPr>
      <w:r>
        <w:t xml:space="preserve"/>
      </w:r>
    </w:p>
    <w:p>
      <w:pPr>
        <w:pBdr>
          <w:bottom w:val="single" w:color="1F3864" w:sz="8" w:space="6"/>
        </w:pBdr>
        <w:spacing w:before="340" w:after="120"/>
      </w:pPr>
      <w:r>
        <w:rPr>
          <w:rFonts w:ascii="Arial" w:cs="Arial" w:eastAsia="Arial" w:hAnsi="Arial"/>
          <w:b/>
          <w:bCs/>
          <w:color w:val="1F3864"/>
          <w:sz w:val="32"/>
          <w:szCs w:val="32"/>
        </w:rPr>
        <w:t xml:space="preserve">6. Certification Status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Arial" w:cs="Arial" w:eastAsia="Arial" w:hAnsi="Arial"/>
                <w:b/>
                <w:bCs/>
                <w:color w:val="FFFFFF"/>
                <w:sz w:val="18"/>
                <w:szCs w:val="18"/>
              </w:rPr>
              <w:t xml:space="preserve">Status</w:t>
            </w:r>
          </w:p>
        </w:tc>
        <w:tc>
          <w:tcPr>
            <w:tcW w:type="dxa" w:w="400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Arial" w:cs="Arial" w:eastAsia="Arial" w:hAnsi="Arial"/>
                <w:b/>
                <w:bCs/>
                <w:color w:val="FFFFFF"/>
                <w:sz w:val="18"/>
                <w:szCs w:val="18"/>
              </w:rPr>
              <w:t xml:space="preserve">Meaning</w:t>
            </w:r>
          </w:p>
        </w:tc>
        <w:tc>
          <w:tcPr>
            <w:tcW w:type="dxa" w:w="316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Arial" w:cs="Arial" w:eastAsia="Arial" w:hAnsi="Arial"/>
                <w:b/>
                <w:bCs/>
                <w:color w:val="FFFFFF"/>
                <w:sz w:val="18"/>
                <w:szCs w:val="18"/>
              </w:rPr>
              <w:t xml:space="preserve">Registry Display</w:t>
            </w:r>
          </w:p>
        </w:tc>
      </w:tr>
      <w:tr>
        <w:tc>
          <w:tcPr>
            <w:tcW w:type="dxa" w:w="22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Active</w:t>
            </w:r>
          </w:p>
        </w:tc>
        <w:tc>
          <w:tcPr>
            <w:tcW w:type="dxa" w:w="40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Certification current; Assurance Class maintained</w:t>
            </w:r>
          </w:p>
        </w:tc>
        <w:tc>
          <w:tcPr>
            <w:tcW w:type="dxa" w:w="316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Active — [Level] / [Class]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Active — Assurance Lapsed</w:t>
            </w:r>
          </w:p>
        </w:tc>
        <w:tc>
          <w:tcPr>
            <w:tcW w:type="dxa" w:w="4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Cert valid but CAPO monitoring below required Class frequency. Remediation window active.</w:t>
            </w:r>
          </w:p>
        </w:tc>
        <w:tc>
          <w:tcPr>
            <w:tcW w:type="dxa" w:w="3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Active (Assurance Lapsed) — [deadline]</w:t>
            </w:r>
          </w:p>
        </w:tc>
      </w:tr>
      <w:tr>
        <w:tc>
          <w:tcPr>
            <w:tcW w:type="dxa" w:w="22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Under Revalidation</w:t>
            </w:r>
          </w:p>
        </w:tc>
        <w:tc>
          <w:tcPr>
            <w:tcW w:type="dxa" w:w="40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Revalidation triggered; AVB evaluation in progress</w:t>
            </w:r>
          </w:p>
        </w:tc>
        <w:tc>
          <w:tcPr>
            <w:tcW w:type="dxa" w:w="316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Under Revalidation — [deadline]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Suspended</w:t>
            </w:r>
          </w:p>
        </w:tc>
        <w:tc>
          <w:tcPr>
            <w:tcW w:type="dxa" w:w="4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Cert suspended; system may not claim certified status</w:t>
            </w:r>
          </w:p>
        </w:tc>
        <w:tc>
          <w:tcPr>
            <w:tcW w:type="dxa" w:w="3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Suspended — [reason]</w:t>
            </w:r>
          </w:p>
        </w:tc>
      </w:tr>
      <w:tr>
        <w:tc>
          <w:tcPr>
            <w:tcW w:type="dxa" w:w="22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Expired</w:t>
            </w:r>
          </w:p>
        </w:tc>
        <w:tc>
          <w:tcPr>
            <w:tcW w:type="dxa" w:w="40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Renewal window missed or lapse remediation window exhausted</w:t>
            </w:r>
          </w:p>
        </w:tc>
        <w:tc>
          <w:tcPr>
            <w:tcW w:type="dxa" w:w="316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Expired — [date]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Revoked</w:t>
            </w:r>
          </w:p>
        </w:tc>
        <w:tc>
          <w:tcPr>
            <w:tcW w:type="dxa" w:w="4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Permanently withdrawn</w:t>
            </w:r>
          </w:p>
        </w:tc>
        <w:tc>
          <w:tcPr>
            <w:tcW w:type="dxa" w:w="3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Revoked — [date]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c>
          <w:tcPr>
            <w:tcW w:type="dxa" w:w="180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Arial" w:cs="Arial" w:eastAsia="Arial" w:hAnsi="Arial"/>
                <w:b/>
                <w:bCs/>
                <w:color w:val="FFFFFF"/>
                <w:sz w:val="18"/>
                <w:szCs w:val="18"/>
              </w:rPr>
              <w:t xml:space="preserve">Assurance Class</w:t>
            </w:r>
          </w:p>
        </w:tc>
        <w:tc>
          <w:tcPr>
            <w:tcW w:type="dxa" w:w="280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Arial" w:cs="Arial" w:eastAsia="Arial" w:hAnsi="Arial"/>
                <w:b/>
                <w:bCs/>
                <w:color w:val="FFFFFF"/>
                <w:sz w:val="18"/>
                <w:szCs w:val="18"/>
              </w:rPr>
              <w:t xml:space="preserve">Lapse Trigger</w:t>
            </w:r>
          </w:p>
        </w:tc>
        <w:tc>
          <w:tcPr>
            <w:tcW w:type="dxa" w:w="240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Arial" w:cs="Arial" w:eastAsia="Arial" w:hAnsi="Arial"/>
                <w:b/>
                <w:bCs/>
                <w:color w:val="FFFFFF"/>
                <w:sz w:val="18"/>
                <w:szCs w:val="18"/>
              </w:rPr>
              <w:t xml:space="preserve">Remediation Window</w:t>
            </w:r>
          </w:p>
        </w:tc>
        <w:tc>
          <w:tcPr>
            <w:tcW w:type="dxa" w:w="236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Arial" w:cs="Arial" w:eastAsia="Arial" w:hAnsi="Arial"/>
                <w:b/>
                <w:bCs/>
                <w:color w:val="FFFFFF"/>
                <w:sz w:val="18"/>
                <w:szCs w:val="18"/>
              </w:rPr>
              <w:t xml:space="preserve">Post-Window Action</w:t>
            </w:r>
          </w:p>
        </w:tc>
      </w:tr>
      <w:tr>
        <w:tc>
          <w:tcPr>
            <w:tcW w:type="dxa" w:w="18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Class A — Periodic</w:t>
            </w:r>
          </w:p>
        </w:tc>
        <w:tc>
          <w:tcPr>
            <w:tcW w:type="dxa" w:w="28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Missed re-evaluation window by &gt;30 days</w:t>
            </w:r>
          </w:p>
        </w:tc>
        <w:tc>
          <w:tcPr>
            <w:tcW w:type="dxa" w:w="24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60 days to complete re-evaluation</w:t>
            </w:r>
          </w:p>
        </w:tc>
        <w:tc>
          <w:tcPr>
            <w:tcW w:type="dxa" w:w="236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Expired</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Class B — Monitored</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2 consecutive months without telemetry batch</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30 days to restore CAPO connection</w:t>
            </w:r>
          </w:p>
        </w:tc>
        <w:tc>
          <w:tcPr>
            <w:tcW w:type="dxa" w:w="2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Suspended</w:t>
            </w:r>
          </w:p>
        </w:tc>
      </w:tr>
      <w:tr>
        <w:tc>
          <w:tcPr>
            <w:tcW w:type="dxa" w:w="18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Class C — Continuously Assured</w:t>
            </w:r>
          </w:p>
        </w:tc>
        <w:tc>
          <w:tcPr>
            <w:tcW w:type="dxa" w:w="28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Any telemetry gap &gt;24 hours (non-maintenance); or SLA breach on material alert</w:t>
            </w:r>
          </w:p>
        </w:tc>
        <w:tc>
          <w:tcPr>
            <w:tcW w:type="dxa" w:w="24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72 hours to restore; 7 days for SLA remediation plan</w:t>
            </w:r>
          </w:p>
        </w:tc>
        <w:tc>
          <w:tcPr>
            <w:tcW w:type="dxa" w:w="236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Suspended. Life-safety (clinical, vehicles, infrastructure): immediate suspension, no grace period.</w:t>
            </w:r>
          </w:p>
        </w:tc>
      </w:tr>
    </w:tbl>
    <w:p>
      <w:pPr>
        <w:spacing w:before="160" w:after="0"/>
      </w:pPr>
      <w:r>
        <w:t xml:space="preserve"/>
      </w:r>
    </w:p>
    <w:p>
      <w:pPr>
        <w:pBdr>
          <w:bottom w:val="single" w:color="1F3864" w:sz="8" w:space="6"/>
        </w:pBdr>
        <w:spacing w:before="340" w:after="120"/>
      </w:pPr>
      <w:r>
        <w:rPr>
          <w:rFonts w:ascii="Arial" w:cs="Arial" w:eastAsia="Arial" w:hAnsi="Arial"/>
          <w:b/>
          <w:bCs/>
          <w:color w:val="1F3864"/>
          <w:sz w:val="32"/>
          <w:szCs w:val="32"/>
        </w:rPr>
        <w:t xml:space="preserve">7. All Architecture Decisions — Locked</w:t>
      </w:r>
    </w:p>
    <w:p>
      <w:pPr>
        <w:spacing w:before="60" w:after="60"/>
      </w:pPr>
      <w:r>
        <w:rPr>
          <w:rFonts w:ascii="Arial" w:cs="Arial" w:eastAsia="Arial" w:hAnsi="Arial"/>
          <w:color w:val="111111"/>
          <w:sz w:val="20"/>
          <w:szCs w:val="20"/>
        </w:rPr>
        <w:t xml:space="preserve">Do not re-open any of these in Sessions 4, 5, or 6. Execute against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Arial" w:cs="Arial" w:eastAsia="Arial" w:hAnsi="Arial"/>
                <w:b/>
                <w:bCs/>
                <w:color w:val="FFFFFF"/>
                <w:sz w:val="18"/>
                <w:szCs w:val="18"/>
              </w:rPr>
              <w:t xml:space="preserve">Decision</w:t>
            </w:r>
          </w:p>
        </w:tc>
        <w:tc>
          <w:tcPr>
            <w:tcW w:type="dxa" w:w="616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Arial" w:cs="Arial" w:eastAsia="Arial" w:hAnsi="Arial"/>
                <w:b/>
                <w:bCs/>
                <w:color w:val="FFFFFF"/>
                <w:sz w:val="18"/>
                <w:szCs w:val="18"/>
              </w:rPr>
              <w:t xml:space="preserve">Resolution</w:t>
            </w:r>
          </w:p>
        </w:tc>
      </w:tr>
      <w:tr>
        <w:tc>
          <w:tcPr>
            <w:tcW w:type="dxa" w:w="32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Two-axis model vs. single-spectrum levels</w:t>
            </w:r>
          </w:p>
        </w:tc>
        <w:tc>
          <w:tcPr>
            <w:tcW w:type="dxa" w:w="616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LOCKED: Two-axis (Evaluation Level × Assurance Class). Consistent with ISO 27001, ISO 13485, Common Criteria.</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Level 3 name</w:t>
            </w:r>
          </w:p>
        </w:tc>
        <w:tc>
          <w:tcPr>
            <w:tcW w:type="dxa" w:w="6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LOCKED: Level 3 Comprehensive. ‘Continuous Assurance’ retired — now describes Assurance Class C.</w:t>
            </w:r>
          </w:p>
        </w:tc>
      </w:tr>
      <w:tr>
        <w:tc>
          <w:tcPr>
            <w:tcW w:type="dxa" w:w="32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Platform Certification structure</w:t>
            </w:r>
          </w:p>
        </w:tc>
        <w:tc>
          <w:tcPr>
            <w:tcW w:type="dxa" w:w="616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LOCKED: Evaluation Level only, no Assurance Class. No live deployment = no monitoring obligation.</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Every Deployment Cert carries an Assurance Class</w:t>
            </w:r>
          </w:p>
        </w:tc>
        <w:tc>
          <w:tcPr>
            <w:tcW w:type="dxa" w:w="6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LOCKED: Yes. Risk Classification is mandatory. A deployment without an Assurance Class assignment is not certifiable.</w:t>
            </w:r>
          </w:p>
        </w:tc>
      </w:tr>
      <w:tr>
        <w:tc>
          <w:tcPr>
            <w:tcW w:type="dxa" w:w="32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Deployment Cert available without Platform Cert</w:t>
            </w:r>
          </w:p>
        </w:tc>
        <w:tc>
          <w:tcPr>
            <w:tcW w:type="dxa" w:w="616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LOCKED: Yes — fully standalone. Platform Cert, where it exists, reduces Deployment Cert scope via inheritance.</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Risk Classification authority</w:t>
            </w:r>
          </w:p>
        </w:tc>
        <w:tc>
          <w:tcPr>
            <w:tcW w:type="dxa" w:w="6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LOCKED: Accredited AVB. Documented in evaluation report. Appeals to ARAF TSB.</w:t>
            </w:r>
          </w:p>
        </w:tc>
      </w:tr>
      <w:tr>
        <w:tc>
          <w:tcPr>
            <w:tcW w:type="dxa" w:w="32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Risk Classification framework scope in v1.1</w:t>
            </w:r>
          </w:p>
        </w:tc>
        <w:tc>
          <w:tcPr>
            <w:tcW w:type="dxa" w:w="616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LOCKED: Framework and class assignment rules in v1.1. Detailed scoring rubric deferred to v1.2 companion guide.</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Assurance lapse: automatic suspension</w:t>
            </w:r>
          </w:p>
        </w:tc>
        <w:tc>
          <w:tcPr>
            <w:tcW w:type="dxa" w:w="6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LOCKED: Class-dependent. Class C life-safety = immediate suspension. Class B = 30-day window. Class A = 60-day window.</w:t>
            </w:r>
          </w:p>
        </w:tc>
      </w:tr>
      <w:tr>
        <w:tc>
          <w:tcPr>
            <w:tcW w:type="dxa" w:w="32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Consulting firm designation</w:t>
            </w:r>
          </w:p>
        </w:tc>
        <w:tc>
          <w:tcPr>
            <w:tcW w:type="dxa" w:w="616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LOCKED: Certified Technology Partner (CTP) registry. Deferred to post-adoption build. GOV Art. 10 placeholder added in Session 4.</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GOV Art. 7.5 (Xlogix named governance rights)</w:t>
            </w:r>
          </w:p>
        </w:tc>
        <w:tc>
          <w:tcPr>
            <w:tcW w:type="dxa" w:w="6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LOCKED: Remove Art. 7.5. Replace with Foreword acknowledgment in GOV and STD. See Section 9.</w:t>
            </w:r>
          </w:p>
        </w:tc>
      </w:tr>
    </w:tbl>
    <w:p>
      <w:pPr>
        <w:spacing w:before="160" w:after="0"/>
      </w:pPr>
      <w:r>
        <w:t xml:space="preserve"/>
      </w:r>
    </w:p>
    <w:p>
      <w:pPr>
        <w:pBdr>
          <w:bottom w:val="single" w:color="1F3864" w:sz="8" w:space="6"/>
        </w:pBdr>
        <w:spacing w:before="340" w:after="120"/>
      </w:pPr>
      <w:r>
        <w:rPr>
          <w:rFonts w:ascii="Arial" w:cs="Arial" w:eastAsia="Arial" w:hAnsi="Arial"/>
          <w:b/>
          <w:bCs/>
          <w:color w:val="1F3864"/>
          <w:sz w:val="32"/>
          <w:szCs w:val="32"/>
        </w:rPr>
        <w:t xml:space="preserve">8. Locked Definitions — Use Verbatim Across All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Arial" w:cs="Arial" w:eastAsia="Arial" w:hAnsi="Arial"/>
                <w:b/>
                <w:bCs/>
                <w:color w:val="FFFFFF"/>
                <w:sz w:val="18"/>
                <w:szCs w:val="18"/>
              </w:rPr>
              <w:t xml:space="preserve">Term</w:t>
            </w:r>
          </w:p>
        </w:tc>
        <w:tc>
          <w:tcPr>
            <w:tcW w:type="dxa" w:w="696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Arial" w:cs="Arial" w:eastAsia="Arial" w:hAnsi="Arial"/>
                <w:b/>
                <w:bCs/>
                <w:color w:val="FFFFFF"/>
                <w:sz w:val="18"/>
                <w:szCs w:val="18"/>
              </w:rPr>
              <w:t xml:space="preserve">Definition</w:t>
            </w:r>
          </w:p>
        </w:tc>
      </w:tr>
      <w:tr>
        <w:tc>
          <w:tcPr>
            <w:tcW w:type="dxa" w:w="24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Platform Certification</w:t>
            </w:r>
          </w:p>
        </w:tc>
        <w:tc>
          <w:tcPr>
            <w:tcW w:type="dxa" w:w="696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An ARA certification issued to a software platform, product, or autonomous system technology evaluated in a controlled reference environment against applicable ACRs. Certifies the technology as a product independent of any specific production deployment. Expressed as an Evaluation Level only (no Assurance Class). Issued to the technology vendor.</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Deployment Certification</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An ARA certification issued to a specific production instance of an autonomous system operated by an identified organization. Covers the full operational context including configuration, integrations, data environment, and use cases. Expressed as an Evaluation Level and an Assurance Class. Issued to the deploying organization.</w:t>
            </w:r>
          </w:p>
        </w:tc>
      </w:tr>
      <w:tr>
        <w:tc>
          <w:tcPr>
            <w:tcW w:type="dxa" w:w="24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Evaluation Level</w:t>
            </w:r>
          </w:p>
        </w:tc>
        <w:tc>
          <w:tcPr>
            <w:tcW w:type="dxa" w:w="696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The first axis of an ARA certification. Describes the rigor of the evaluation conducted by an accredited AVB: Level 1 Foundation, Level 2 Operational, or Level 3 Comprehensive. Applies to both Platform Certifications and Deployment Certifications.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Assurance Class</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The second axis of an ARA Deployment Certification. Describes the intensity of ongoing monitoring required to maintain the certification in good standing: Class A Periodic, Class B Monitored, or Class C Continuously Assured. Determined by Risk Classification. Not applicable to Platform Certifications.</w:t>
            </w:r>
          </w:p>
        </w:tc>
      </w:tr>
      <w:tr>
        <w:tc>
          <w:tcPr>
            <w:tcW w:type="dxa" w:w="24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Risk Classification</w:t>
            </w:r>
          </w:p>
        </w:tc>
        <w:tc>
          <w:tcPr>
            <w:tcW w:type="dxa" w:w="696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A formal assessment conducted by an accredited AVB as part of Deployment Certification that determines the required Assurance Class. Based on degree of autonomy, consequence severity, reversibility, breadth of impact, regulatory context, dependency criticality, and operational continuity. Documented in the evaluation report. Appealable to the ARAF Technical Standards Board.</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Class A — Periodic</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Assurance Class requiring annual or biannual re-evaluation. No continuous CAPO monitoring required. Event-triggered revalidation only. Applicable to low-autonomy, low-consequence, reversible deployments.</w:t>
            </w:r>
          </w:p>
        </w:tc>
      </w:tr>
      <w:tr>
        <w:tc>
          <w:tcPr>
            <w:tcW w:type="dxa" w:w="24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Class B — Monitored</w:t>
            </w:r>
          </w:p>
        </w:tc>
        <w:tc>
          <w:tcPr>
            <w:tcW w:type="dxa" w:w="696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Assurance Class requiring an active CAPO connection and minimum monthly telemetry batch delivery. Event-triggered revalidation. Applicable to operational business systems with moderate autonomy or consequence.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Class C — Continuously Assured</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Assurance Class requiring a persistent CAPO connection, real-time telemetry stream, and SLA-bound alerting. Required for high-autonomy, high-consequence, or regulated deployments. Life-safety systems are Class C without exception.</w:t>
            </w:r>
          </w:p>
        </w:tc>
      </w:tr>
      <w:tr>
        <w:tc>
          <w:tcPr>
            <w:tcW w:type="dxa" w:w="24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Certification Inheritance</w:t>
            </w:r>
          </w:p>
        </w:tc>
        <w:tc>
          <w:tcPr>
            <w:tcW w:type="dxa" w:w="696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The mechanism by which a Deployment Certification built on a Platform-Certified product carries forward the platform’s ACR coverage, reducing the scope of deployment-level evaluation to configuration-dependent and deployment-context ACRs.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Reference Environment</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A controlled deployment environment used for Platform Certification evaluation. Must meet ARAF minimum conditions for ACR evaluation fidelity. Documented and attested by the evaluating AVB as representative of production-equivalent behavior.</w:t>
            </w:r>
          </w:p>
        </w:tc>
      </w:tr>
      <w:tr>
        <w:tc>
          <w:tcPr>
            <w:tcW w:type="dxa" w:w="24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Assurance Lapse</w:t>
            </w:r>
          </w:p>
        </w:tc>
        <w:tc>
          <w:tcPr>
            <w:tcW w:type="dxa" w:w="696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The state in which a Deployment Certification’s CAPO monitoring has fallen below the frequency required by its Assurance Class. Triggers a class-dependent remediation window; if unresolved, results in Suspension or Expiry.</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Certified Technology Partner (CTP)</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A consulting or implementation firm listed in the ARAF CTP Registry as having demonstrated ARA implementation competency. Not a certification — a registry designation. Does not confer evaluation authority or certification rights.</w:t>
            </w:r>
          </w:p>
        </w:tc>
      </w:tr>
    </w:tbl>
    <w:p>
      <w:pPr>
        <w:spacing w:before="160" w:after="0"/>
      </w:pPr>
      <w:r>
        <w:t xml:space="preserve"/>
      </w:r>
    </w:p>
    <w:p>
      <w:pPr>
        <w:pBdr>
          <w:bottom w:val="single" w:color="1F3864" w:sz="8" w:space="6"/>
        </w:pBdr>
        <w:spacing w:before="340" w:after="120"/>
      </w:pPr>
      <w:r>
        <w:rPr>
          <w:rFonts w:ascii="Arial" w:cs="Arial" w:eastAsia="Arial" w:hAnsi="Arial"/>
          <w:b/>
          <w:bCs/>
          <w:color w:val="1F3864"/>
          <w:sz w:val="32"/>
          <w:szCs w:val="32"/>
        </w:rPr>
        <w:t xml:space="preserve">9. GOV Article 7.5 — Removal and Foreword Replacement</w:t>
      </w:r>
    </w:p>
    <w:p>
      <w:pPr>
        <w:spacing w:before="60" w:after="60"/>
      </w:pPr>
      <w:r>
        <w:rPr>
          <w:rFonts w:ascii="Arial" w:cs="Arial" w:eastAsia="Arial" w:hAnsi="Arial"/>
          <w:color w:val="111111"/>
          <w:sz w:val="20"/>
          <w:szCs w:val="20"/>
        </w:rPr>
        <w:t xml:space="preserve">Named commercial entities with special governance standing in a standards document undermine the perceived independence of the standard — which is its primary commercial asset. The correct mechanism is Foreword acknowledgment, used by ISO, IETF, NIST, and IEEE. It is visible, permanent, and appropriate without creating governance asymmetry.</w:t>
      </w:r>
    </w:p>
    <w:p>
      <w:pPr>
        <w:spacing w:before="240" w:after="80"/>
      </w:pPr>
      <w:r>
        <w:rPr>
          <w:rFonts w:ascii="Arial" w:cs="Arial" w:eastAsia="Arial" w:hAnsi="Arial"/>
          <w:b/>
          <w:bCs/>
          <w:color w:val="2E74B5"/>
          <w:sz w:val="25"/>
          <w:szCs w:val="25"/>
        </w:rPr>
        <w:t xml:space="preserve">9.1 GOV Foreword — Add This Paragraph</w:t>
      </w:r>
    </w:p>
    <w:p>
      <w:pPr>
        <w:pBdr>
          <w:left w:val="single" w:color="2E74B5" w:sz="8" w:space="12"/>
        </w:pBdr>
        <w:spacing w:before="100" w:after="100"/>
        <w:ind w:left="720"/>
      </w:pPr>
      <w:r>
        <w:rPr>
          <w:rFonts w:ascii="Arial" w:cs="Arial" w:eastAsia="Arial" w:hAnsi="Arial"/>
          <w:i/>
          <w:iCs/>
          <w:color w:val="333333"/>
          <w:sz w:val="19"/>
          <w:szCs w:val="19"/>
        </w:rPr>
        <w:t xml:space="preserve">The ARAF ARA Standard Suite was initiated and developed by Josh Sigel (Founder &amp; CEO, Xlogix Inc.) and the Xlogix technical team. Xlogix Inc. holds Originating Technical Contributor status in recognition of its foundational role in authoring the ARA Standard framework, the CAPO ecosystem architecture, and the Behavioral Telemetry SDK specification. Originating Technical Contributor status is a permanent acknowledgment of founding contribution and does not confer governance rights, veto authority, or preferential accreditation standing. Xlogix Inc. participates in the ARAF ecosystem as an applicant CAPO and technology contributor under the same terms as all ecosystem participants.</w:t>
      </w:r>
    </w:p>
    <w:p>
      <w:pPr>
        <w:spacing w:before="240" w:after="80"/>
      </w:pPr>
      <w:r>
        <w:rPr>
          <w:rFonts w:ascii="Arial" w:cs="Arial" w:eastAsia="Arial" w:hAnsi="Arial"/>
          <w:b/>
          <w:bCs/>
          <w:color w:val="2E74B5"/>
          <w:sz w:val="25"/>
          <w:szCs w:val="25"/>
        </w:rPr>
        <w:t xml:space="preserve">9.2 STD Foreword — Add Abbreviated Version</w:t>
      </w:r>
    </w:p>
    <w:p>
      <w:pPr>
        <w:pBdr>
          <w:left w:val="single" w:color="2E74B5" w:sz="8" w:space="12"/>
        </w:pBdr>
        <w:spacing w:before="100" w:after="100"/>
        <w:ind w:left="720"/>
      </w:pPr>
      <w:r>
        <w:rPr>
          <w:rFonts w:ascii="Arial" w:cs="Arial" w:eastAsia="Arial" w:hAnsi="Arial"/>
          <w:i/>
          <w:iCs/>
          <w:color w:val="333333"/>
          <w:sz w:val="19"/>
          <w:szCs w:val="19"/>
        </w:rPr>
        <w:t xml:space="preserve">The ARA Standard was developed by Josh Sigel and the Xlogix Inc. technical team as the Originating Technical Contributor to the Autonomous Reliability Assurance Foundation. ARAF acknowledges this founding contribution in accordance with its Technical Contributor recognition policy (ARAF-ARA-GOV-2026-001).</w:t>
      </w:r>
    </w:p>
    <w:p>
      <w:pPr>
        <w:spacing w:before="240" w:after="80"/>
      </w:pPr>
      <w:r>
        <w:rPr>
          <w:rFonts w:ascii="Arial" w:cs="Arial" w:eastAsia="Arial" w:hAnsi="Arial"/>
          <w:b/>
          <w:bCs/>
          <w:color w:val="2E74B5"/>
          <w:sz w:val="25"/>
          <w:szCs w:val="25"/>
        </w:rPr>
        <w:t xml:space="preserve">9.3 GOV Article 7.5 — Remove Entirely</w:t>
      </w:r>
    </w:p>
    <w:p>
      <w:pPr>
        <w:spacing w:before="60" w:after="60"/>
      </w:pPr>
      <w:r>
        <w:rPr>
          <w:rFonts w:ascii="Arial" w:cs="Arial" w:eastAsia="Arial" w:hAnsi="Arial"/>
          <w:color w:val="111111"/>
          <w:sz w:val="20"/>
          <w:szCs w:val="20"/>
        </w:rPr>
        <w:t xml:space="preserve">Delete Article 7.5. Renumber subsequent articles. After edits, grep for '7.5' across all six Word docs to confirm no cross-references remain.</w:t>
      </w:r>
    </w:p>
    <w:p>
      <w:pPr>
        <w:spacing w:before="80" w:after="80"/>
        <w:ind w:left="360"/>
      </w:pPr>
      <w:r>
        <w:rPr>
          <w:rFonts w:ascii="Arial" w:cs="Arial" w:eastAsia="Arial" w:hAnsi="Arial"/>
          <w:b/>
          <w:bCs/>
          <w:color w:val="166534"/>
          <w:sz w:val="19"/>
          <w:szCs w:val="19"/>
        </w:rPr>
        <w:t xml:space="preserve">🔒  CONFIRMED:  </w:t>
      </w:r>
      <w:r>
        <w:rPr>
          <w:rFonts w:ascii="Arial" w:cs="Arial" w:eastAsia="Arial" w:hAnsi="Arial"/>
          <w:color w:val="444444"/>
          <w:sz w:val="19"/>
          <w:szCs w:val="19"/>
        </w:rPr>
        <w:t xml:space="preserve">Xlogix’s rights as a founding CAPO come through the accreditation process (GOV Art. 4). Rights as a consulting / services firm come through the market. No governance carve-outs needed in the standard document.</w:t>
      </w:r>
    </w:p>
    <w:p>
      <w:pPr>
        <w:spacing w:before="160" w:after="0"/>
      </w:pPr>
      <w:r>
        <w:t xml:space="preserve"/>
      </w:r>
    </w:p>
    <w:p>
      <w:pPr>
        <w:pBdr>
          <w:bottom w:val="single" w:color="1F3864" w:sz="8" w:space="6"/>
        </w:pBdr>
        <w:spacing w:before="340" w:after="120"/>
      </w:pPr>
      <w:r>
        <w:rPr>
          <w:rFonts w:ascii="Arial" w:cs="Arial" w:eastAsia="Arial" w:hAnsi="Arial"/>
          <w:b/>
          <w:bCs/>
          <w:color w:val="1F3864"/>
          <w:sz w:val="32"/>
          <w:szCs w:val="32"/>
        </w:rPr>
        <w:t xml:space="preserve">10. Multi-Session Execution Plan</w:t>
      </w:r>
    </w:p>
    <w:p>
      <w:pPr>
        <w:spacing w:before="60" w:after="60"/>
      </w:pPr>
      <w:r>
        <w:rPr>
          <w:rFonts w:ascii="Arial" w:cs="Arial" w:eastAsia="Arial" w:hAnsi="Arial"/>
          <w:color w:val="111111"/>
          <w:sz w:val="20"/>
          <w:szCs w:val="20"/>
        </w:rPr>
        <w:t xml:space="preserve">This work spans three sessions. Each session has a defined scope, a precise list of documents to upload, and a paste-ready context prompt. Do not begin a session without uploading the listed documents. Do not carry Session 5 or 6 work into Session 4 — the architecture core must be solid before companion documents are edited.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6"/>
              <w:left w:val="single" w:color="1F3864" w:sz="16"/>
              <w:bottom w:val="single" w:color="1F3864" w:sz="6"/>
              <w:right w:val="single" w:color="1F3864" w:sz="2"/>
            </w:tcBorders>
            <w:shd w:fill="EBF3FB" w:val="clear"/>
            <w:tcMar>
              <w:top w:type="dxa" w:w="160"/>
              <w:left w:type="dxa" w:w="240"/>
              <w:bottom w:type="dxa" w:w="160"/>
              <w:right w:type="dxa" w:w="240"/>
            </w:tcMar>
          </w:tcPr>
          <w:p>
            <w:pPr>
              <w:spacing w:before="60" w:after="60"/>
            </w:pPr>
            <w:r>
              <w:rPr>
                <w:rFonts w:ascii="Arial" w:cs="Arial" w:eastAsia="Arial" w:hAnsi="Arial"/>
                <w:b/>
                <w:bCs/>
                <w:color w:val="1F3864"/>
                <w:sz w:val="26"/>
                <w:szCs w:val="26"/>
              </w:rPr>
              <w:t xml:space="preserve">SESSION 4  —  </w:t>
            </w:r>
            <w:r>
              <w:rPr>
                <w:rFonts w:ascii="Arial" w:cs="Arial" w:eastAsia="Arial" w:hAnsi="Arial"/>
                <w:b/>
                <w:bCs/>
                <w:color w:val="1F3864"/>
                <w:sz w:val="26"/>
                <w:szCs w:val="26"/>
              </w:rPr>
              <w:t xml:space="preserve">Architecture Core — GOV, STD, EVL</w:t>
            </w:r>
          </w:p>
          <w:p>
            <w:pPr>
              <w:spacing w:before="100" w:after="40"/>
            </w:pPr>
            <w:r>
              <w:rPr>
                <w:rFonts w:ascii="Arial" w:cs="Arial" w:eastAsia="Arial" w:hAnsi="Arial"/>
                <w:b/>
                <w:bCs/>
                <w:color w:val="1F3864"/>
                <w:sz w:val="19"/>
                <w:szCs w:val="19"/>
              </w:rPr>
              <w:t xml:space="preserve">Upload at session start:</w:t>
            </w:r>
          </w:p>
          <w:p>
            <w:pPr>
              <w:spacing w:before="30" w:after="30"/>
              <w:ind w:left="320" w:hanging="220"/>
            </w:pPr>
            <w:r>
              <w:rPr>
                <w:rFonts w:ascii="Arial" w:cs="Arial" w:eastAsia="Arial" w:hAnsi="Arial"/>
                <w:b/>
                <w:bCs/>
                <w:color w:val="166534"/>
                <w:sz w:val="19"/>
                <w:szCs w:val="19"/>
              </w:rPr>
              <w:t xml:space="preserve">↑  </w:t>
            </w:r>
            <w:r>
              <w:rPr>
                <w:rFonts w:ascii="Arial" w:cs="Arial" w:eastAsia="Arial" w:hAnsi="Arial"/>
                <w:b/>
                <w:bCs/>
                <w:color w:val="111111"/>
                <w:sz w:val="19"/>
                <w:szCs w:val="19"/>
              </w:rPr>
              <w:t xml:space="preserve">ARAF_Suite_Session4_ContinuationRef_FINAL.docx</w:t>
            </w:r>
            <w:r>
              <w:rPr>
                <w:rFonts w:ascii="Arial" w:cs="Arial" w:eastAsia="Arial" w:hAnsi="Arial"/>
                <w:color w:val="555555"/>
                <w:sz w:val="18"/>
                <w:szCs w:val="18"/>
              </w:rPr>
              <w:t xml:space="preserve">  —  this document — required every session</w:t>
            </w:r>
          </w:p>
          <w:p>
            <w:pPr>
              <w:spacing w:before="30" w:after="30"/>
              <w:ind w:left="320" w:hanging="220"/>
            </w:pPr>
            <w:r>
              <w:rPr>
                <w:rFonts w:ascii="Arial" w:cs="Arial" w:eastAsia="Arial" w:hAnsi="Arial"/>
                <w:b/>
                <w:bCs/>
                <w:color w:val="166534"/>
                <w:sz w:val="19"/>
                <w:szCs w:val="19"/>
              </w:rPr>
              <w:t xml:space="preserve">↑  </w:t>
            </w:r>
            <w:r>
              <w:rPr>
                <w:rFonts w:ascii="Arial" w:cs="Arial" w:eastAsia="Arial" w:hAnsi="Arial"/>
                <w:b/>
                <w:bCs/>
                <w:color w:val="111111"/>
                <w:sz w:val="19"/>
                <w:szCs w:val="19"/>
              </w:rPr>
              <w:t xml:space="preserve">ARAF_ARA_GOV_2026_001_final.docx</w:t>
            </w:r>
            <w:r>
              <w:rPr>
                <w:rFonts w:ascii="Arial" w:cs="Arial" w:eastAsia="Arial" w:hAnsi="Arial"/>
                <w:color w:val="555555"/>
                <w:sz w:val="18"/>
                <w:szCs w:val="18"/>
              </w:rPr>
              <w:t xml:space="preserve">  —  Session 3 final</w:t>
            </w:r>
          </w:p>
          <w:p>
            <w:pPr>
              <w:spacing w:before="30" w:after="30"/>
              <w:ind w:left="320" w:hanging="220"/>
            </w:pPr>
            <w:r>
              <w:rPr>
                <w:rFonts w:ascii="Arial" w:cs="Arial" w:eastAsia="Arial" w:hAnsi="Arial"/>
                <w:b/>
                <w:bCs/>
                <w:color w:val="166534"/>
                <w:sz w:val="19"/>
                <w:szCs w:val="19"/>
              </w:rPr>
              <w:t xml:space="preserve">↑  </w:t>
            </w:r>
            <w:r>
              <w:rPr>
                <w:rFonts w:ascii="Arial" w:cs="Arial" w:eastAsia="Arial" w:hAnsi="Arial"/>
                <w:b/>
                <w:bCs/>
                <w:color w:val="111111"/>
                <w:sz w:val="19"/>
                <w:szCs w:val="19"/>
              </w:rPr>
              <w:t xml:space="preserve">ARA_Standard_v1_1_final.docx</w:t>
            </w:r>
            <w:r>
              <w:rPr>
                <w:rFonts w:ascii="Arial" w:cs="Arial" w:eastAsia="Arial" w:hAnsi="Arial"/>
                <w:color w:val="555555"/>
                <w:sz w:val="18"/>
                <w:szCs w:val="18"/>
              </w:rPr>
              <w:t xml:space="preserve">  —  Session 3 final</w:t>
            </w:r>
          </w:p>
          <w:p>
            <w:pPr>
              <w:spacing w:before="30" w:after="30"/>
              <w:ind w:left="320" w:hanging="220"/>
            </w:pPr>
            <w:r>
              <w:rPr>
                <w:rFonts w:ascii="Arial" w:cs="Arial" w:eastAsia="Arial" w:hAnsi="Arial"/>
                <w:b/>
                <w:bCs/>
                <w:color w:val="166534"/>
                <w:sz w:val="19"/>
                <w:szCs w:val="19"/>
              </w:rPr>
              <w:t xml:space="preserve">↑  </w:t>
            </w:r>
            <w:r>
              <w:rPr>
                <w:rFonts w:ascii="Arial" w:cs="Arial" w:eastAsia="Arial" w:hAnsi="Arial"/>
                <w:b/>
                <w:bCs/>
                <w:color w:val="111111"/>
                <w:sz w:val="19"/>
                <w:szCs w:val="19"/>
              </w:rPr>
              <w:t xml:space="preserve">ARAF_ARA_EVL_2026_002_final.docx</w:t>
            </w:r>
            <w:r>
              <w:rPr>
                <w:rFonts w:ascii="Arial" w:cs="Arial" w:eastAsia="Arial" w:hAnsi="Arial"/>
                <w:color w:val="555555"/>
                <w:sz w:val="18"/>
                <w:szCs w:val="18"/>
              </w:rPr>
              <w:t xml:space="preserve">  —  Session 3 final</w:t>
            </w:r>
          </w:p>
          <w:p>
            <w:pPr>
              <w:spacing w:before="120" w:after="40"/>
            </w:pPr>
            <w:r>
              <w:rPr>
                <w:rFonts w:ascii="Arial" w:cs="Arial" w:eastAsia="Arial" w:hAnsi="Arial"/>
                <w:b/>
                <w:bCs/>
                <w:color w:val="1F3864"/>
                <w:sz w:val="19"/>
                <w:szCs w:val="19"/>
              </w:rPr>
              <w:t xml:space="preserve">Work to complete:</w:t>
            </w:r>
          </w:p>
          <w:p>
            <w:pPr>
              <w:spacing w:before="30" w:after="30"/>
              <w:ind w:left="320" w:hanging="220"/>
            </w:pPr>
            <w:r>
              <w:rPr>
                <w:rFonts w:ascii="Arial" w:cs="Arial" w:eastAsia="Arial" w:hAnsi="Arial"/>
                <w:b/>
                <w:bCs/>
                <w:color w:val="1F3864"/>
                <w:sz w:val="18"/>
                <w:szCs w:val="18"/>
              </w:rPr>
              <w:t xml:space="preserve">Step 1  </w:t>
            </w:r>
            <w:r>
              <w:rPr>
                <w:rFonts w:ascii="Arial" w:cs="Arial" w:eastAsia="Arial" w:hAnsi="Arial"/>
                <w:b/>
                <w:bCs/>
                <w:color w:val="111111"/>
                <w:sz w:val="18"/>
                <w:szCs w:val="18"/>
              </w:rPr>
              <w:t xml:space="preserve">ALL DOCS  —  </w:t>
            </w:r>
            <w:r>
              <w:rPr>
                <w:rFonts w:ascii="Arial" w:cs="Arial" w:eastAsia="Arial" w:hAnsi="Arial"/>
                <w:color w:val="444444"/>
                <w:sz w:val="18"/>
                <w:szCs w:val="18"/>
              </w:rPr>
              <w:t xml:space="preserve">Global find-and-replace: ‘Level 3 Continuous Assurance’ → ‘Level 3 Comprehensive’. Run across all three uploaded docs before any other edits.</w:t>
            </w:r>
          </w:p>
          <w:p>
            <w:pPr>
              <w:spacing w:before="30" w:after="30"/>
              <w:ind w:left="320" w:hanging="220"/>
            </w:pPr>
            <w:r>
              <w:rPr>
                <w:rFonts w:ascii="Arial" w:cs="Arial" w:eastAsia="Arial" w:hAnsi="Arial"/>
                <w:b/>
                <w:bCs/>
                <w:color w:val="1F3864"/>
                <w:sz w:val="18"/>
                <w:szCs w:val="18"/>
              </w:rPr>
              <w:t xml:space="preserve">Step 2  </w:t>
            </w:r>
            <w:r>
              <w:rPr>
                <w:rFonts w:ascii="Arial" w:cs="Arial" w:eastAsia="Arial" w:hAnsi="Arial"/>
                <w:b/>
                <w:bCs/>
                <w:color w:val="111111"/>
                <w:sz w:val="18"/>
                <w:szCs w:val="18"/>
              </w:rPr>
              <w:t xml:space="preserve">GOV  —  </w:t>
            </w:r>
            <w:r>
              <w:rPr>
                <w:rFonts w:ascii="Arial" w:cs="Arial" w:eastAsia="Arial" w:hAnsi="Arial"/>
                <w:color w:val="444444"/>
                <w:sz w:val="18"/>
                <w:szCs w:val="18"/>
              </w:rPr>
              <w:t xml:space="preserve">Remove Art. 7.5. Add Foreword acknowledgment. Add Art. 3.5 Platform Certification Pathway. Update Art. 4 CAPO SLA requirements for Class B/C. Update Art. 6 Certification Pathway (Platform + Deployment + Risk Classification flow). Add Art. 10 CTP placeholder.</w:t>
            </w:r>
          </w:p>
          <w:p>
            <w:pPr>
              <w:spacing w:before="30" w:after="30"/>
              <w:ind w:left="320" w:hanging="220"/>
            </w:pPr>
            <w:r>
              <w:rPr>
                <w:rFonts w:ascii="Arial" w:cs="Arial" w:eastAsia="Arial" w:hAnsi="Arial"/>
                <w:b/>
                <w:bCs/>
                <w:color w:val="1F3864"/>
                <w:sz w:val="18"/>
                <w:szCs w:val="18"/>
              </w:rPr>
              <w:t xml:space="preserve">Step 3  </w:t>
            </w:r>
            <w:r>
              <w:rPr>
                <w:rFonts w:ascii="Arial" w:cs="Arial" w:eastAsia="Arial" w:hAnsi="Arial"/>
                <w:b/>
                <w:bCs/>
                <w:color w:val="111111"/>
                <w:sz w:val="18"/>
                <w:szCs w:val="18"/>
              </w:rPr>
              <w:t xml:space="preserve">STD  —  </w:t>
            </w:r>
            <w:r>
              <w:rPr>
                <w:rFonts w:ascii="Arial" w:cs="Arial" w:eastAsia="Arial" w:hAnsi="Arial"/>
                <w:color w:val="444444"/>
                <w:sz w:val="18"/>
                <w:szCs w:val="18"/>
              </w:rPr>
              <w:t xml:space="preserve">Add Art. 6 (Certification Subjects). Add Art. 7 (Two-Axis Model — Evaluation Levels + Assurance Classes). Add Art. 8 (Risk Classification framework + class assignment rules). Update Art. 9 (existing levels, aligned to new naming). Update Glossary. Add Foreword acknowledgment. Update Summary of Changes.</w:t>
            </w:r>
          </w:p>
          <w:p>
            <w:pPr>
              <w:spacing w:before="30" w:after="30"/>
              <w:ind w:left="320" w:hanging="220"/>
            </w:pPr>
            <w:r>
              <w:rPr>
                <w:rFonts w:ascii="Arial" w:cs="Arial" w:eastAsia="Arial" w:hAnsi="Arial"/>
                <w:b/>
                <w:bCs/>
                <w:color w:val="1F3864"/>
                <w:sz w:val="18"/>
                <w:szCs w:val="18"/>
              </w:rPr>
              <w:t xml:space="preserve">Step 4  </w:t>
            </w:r>
            <w:r>
              <w:rPr>
                <w:rFonts w:ascii="Arial" w:cs="Arial" w:eastAsia="Arial" w:hAnsi="Arial"/>
                <w:b/>
                <w:bCs/>
                <w:color w:val="111111"/>
                <w:sz w:val="18"/>
                <w:szCs w:val="18"/>
              </w:rPr>
              <w:t xml:space="preserve">EVL  —  </w:t>
            </w:r>
            <w:r>
              <w:rPr>
                <w:rFonts w:ascii="Arial" w:cs="Arial" w:eastAsia="Arial" w:hAnsi="Arial"/>
                <w:color w:val="444444"/>
                <w:sz w:val="18"/>
                <w:szCs w:val="18"/>
              </w:rPr>
              <w:t xml:space="preserve">Add Art. 3.6 (Platform Cert evaluation procedures). Add Art. 3.7 (Reference Environment requirements). Add Appendix B (Reference Environment Specification Template). Update Art. 5 evidence categories for Platform Cert. Update Glossary.</w:t>
            </w:r>
          </w:p>
          <w:p>
            <w:pPr>
              <w:spacing w:before="30" w:after="30"/>
              <w:ind w:left="320" w:hanging="220"/>
            </w:pPr>
            <w:r>
              <w:rPr>
                <w:rFonts w:ascii="Arial" w:cs="Arial" w:eastAsia="Arial" w:hAnsi="Arial"/>
                <w:b/>
                <w:bCs/>
                <w:color w:val="1F3864"/>
                <w:sz w:val="18"/>
                <w:szCs w:val="18"/>
              </w:rPr>
              <w:t xml:space="preserve">Step 5  </w:t>
            </w:r>
            <w:r>
              <w:rPr>
                <w:rFonts w:ascii="Arial" w:cs="Arial" w:eastAsia="Arial" w:hAnsi="Arial"/>
                <w:b/>
                <w:bCs/>
                <w:color w:val="111111"/>
                <w:sz w:val="18"/>
                <w:szCs w:val="18"/>
              </w:rPr>
              <w:t xml:space="preserve">ALL  —  </w:t>
            </w:r>
            <w:r>
              <w:rPr>
                <w:rFonts w:ascii="Arial" w:cs="Arial" w:eastAsia="Arial" w:hAnsi="Arial"/>
                <w:color w:val="444444"/>
                <w:sz w:val="18"/>
                <w:szCs w:val="18"/>
              </w:rPr>
              <w:t xml:space="preserve">Final sweep: verify Level 3 rename complete. Verify no Art. 7.5 cross-references. Pack all three docs. Generate updated continuation reference for Session 5.</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6"/>
              <w:left w:val="single" w:color="166534" w:sz="16"/>
              <w:bottom w:val="single" w:color="166534" w:sz="6"/>
              <w:right w:val="single" w:color="166534" w:sz="2"/>
            </w:tcBorders>
            <w:shd w:fill="E8F5E9" w:val="clear"/>
            <w:tcMar>
              <w:top w:type="dxa" w:w="160"/>
              <w:left w:type="dxa" w:w="240"/>
              <w:bottom w:type="dxa" w:w="160"/>
              <w:right w:type="dxa" w:w="240"/>
            </w:tcMar>
          </w:tcPr>
          <w:p>
            <w:pPr>
              <w:spacing w:before="60" w:after="60"/>
            </w:pPr>
            <w:r>
              <w:rPr>
                <w:rFonts w:ascii="Arial" w:cs="Arial" w:eastAsia="Arial" w:hAnsi="Arial"/>
                <w:b/>
                <w:bCs/>
                <w:color w:val="166534"/>
                <w:sz w:val="26"/>
                <w:szCs w:val="26"/>
              </w:rPr>
              <w:t xml:space="preserve">SESSION 5  —  </w:t>
            </w:r>
            <w:r>
              <w:rPr>
                <w:rFonts w:ascii="Arial" w:cs="Arial" w:eastAsia="Arial" w:hAnsi="Arial"/>
                <w:b/>
                <w:bCs/>
                <w:color w:val="166534"/>
                <w:sz w:val="26"/>
                <w:szCs w:val="26"/>
              </w:rPr>
              <w:t xml:space="preserve">Companion Documents — AVB, SDK, TMK, ACR</w:t>
            </w:r>
          </w:p>
          <w:p>
            <w:pPr>
              <w:spacing w:before="100" w:after="40"/>
            </w:pPr>
            <w:r>
              <w:rPr>
                <w:rFonts w:ascii="Arial" w:cs="Arial" w:eastAsia="Arial" w:hAnsi="Arial"/>
                <w:b/>
                <w:bCs/>
                <w:color w:val="166534"/>
                <w:sz w:val="19"/>
                <w:szCs w:val="19"/>
              </w:rPr>
              <w:t xml:space="preserve">Upload at session start:</w:t>
            </w:r>
          </w:p>
          <w:p>
            <w:pPr>
              <w:spacing w:before="30" w:after="30"/>
              <w:ind w:left="320" w:hanging="220"/>
            </w:pPr>
            <w:r>
              <w:rPr>
                <w:rFonts w:ascii="Arial" w:cs="Arial" w:eastAsia="Arial" w:hAnsi="Arial"/>
                <w:b/>
                <w:bCs/>
                <w:color w:val="166534"/>
                <w:sz w:val="19"/>
                <w:szCs w:val="19"/>
              </w:rPr>
              <w:t xml:space="preserve">↑  </w:t>
            </w:r>
            <w:r>
              <w:rPr>
                <w:rFonts w:ascii="Arial" w:cs="Arial" w:eastAsia="Arial" w:hAnsi="Arial"/>
                <w:b/>
                <w:bCs/>
                <w:color w:val="111111"/>
                <w:sz w:val="19"/>
                <w:szCs w:val="19"/>
              </w:rPr>
              <w:t xml:space="preserve">ARAF_Suite_Session4_ContinuationRef_FINAL.docx</w:t>
            </w:r>
            <w:r>
              <w:rPr>
                <w:rFonts w:ascii="Arial" w:cs="Arial" w:eastAsia="Arial" w:hAnsi="Arial"/>
                <w:color w:val="555555"/>
                <w:sz w:val="18"/>
                <w:szCs w:val="18"/>
              </w:rPr>
              <w:t xml:space="preserve">  —  this document — required every session</w:t>
            </w:r>
          </w:p>
          <w:p>
            <w:pPr>
              <w:spacing w:before="30" w:after="30"/>
              <w:ind w:left="320" w:hanging="220"/>
            </w:pPr>
            <w:r>
              <w:rPr>
                <w:rFonts w:ascii="Arial" w:cs="Arial" w:eastAsia="Arial" w:hAnsi="Arial"/>
                <w:b/>
                <w:bCs/>
                <w:color w:val="166534"/>
                <w:sz w:val="19"/>
                <w:szCs w:val="19"/>
              </w:rPr>
              <w:t xml:space="preserve">↑  </w:t>
            </w:r>
            <w:r>
              <w:rPr>
                <w:rFonts w:ascii="Arial" w:cs="Arial" w:eastAsia="Arial" w:hAnsi="Arial"/>
                <w:b/>
                <w:bCs/>
                <w:color w:val="111111"/>
                <w:sz w:val="19"/>
                <w:szCs w:val="19"/>
              </w:rPr>
              <w:t xml:space="preserve">ARAF_ARA_GOV_2026_001_session4.docx</w:t>
            </w:r>
            <w:r>
              <w:rPr>
                <w:rFonts w:ascii="Arial" w:cs="Arial" w:eastAsia="Arial" w:hAnsi="Arial"/>
                <w:color w:val="555555"/>
                <w:sz w:val="18"/>
                <w:szCs w:val="18"/>
              </w:rPr>
              <w:t xml:space="preserve">  —  Session 4 output</w:t>
            </w:r>
          </w:p>
          <w:p>
            <w:pPr>
              <w:spacing w:before="30" w:after="30"/>
              <w:ind w:left="320" w:hanging="220"/>
            </w:pPr>
            <w:r>
              <w:rPr>
                <w:rFonts w:ascii="Arial" w:cs="Arial" w:eastAsia="Arial" w:hAnsi="Arial"/>
                <w:b/>
                <w:bCs/>
                <w:color w:val="166534"/>
                <w:sz w:val="19"/>
                <w:szCs w:val="19"/>
              </w:rPr>
              <w:t xml:space="preserve">↑  </w:t>
            </w:r>
            <w:r>
              <w:rPr>
                <w:rFonts w:ascii="Arial" w:cs="Arial" w:eastAsia="Arial" w:hAnsi="Arial"/>
                <w:b/>
                <w:bCs/>
                <w:color w:val="111111"/>
                <w:sz w:val="19"/>
                <w:szCs w:val="19"/>
              </w:rPr>
              <w:t xml:space="preserve">ARA_Standard_v1_1_session4.docx</w:t>
            </w:r>
            <w:r>
              <w:rPr>
                <w:rFonts w:ascii="Arial" w:cs="Arial" w:eastAsia="Arial" w:hAnsi="Arial"/>
                <w:color w:val="555555"/>
                <w:sz w:val="18"/>
                <w:szCs w:val="18"/>
              </w:rPr>
              <w:t xml:space="preserve">  —  Session 4 output</w:t>
            </w:r>
          </w:p>
          <w:p>
            <w:pPr>
              <w:spacing w:before="30" w:after="30"/>
              <w:ind w:left="320" w:hanging="220"/>
            </w:pPr>
            <w:r>
              <w:rPr>
                <w:rFonts w:ascii="Arial" w:cs="Arial" w:eastAsia="Arial" w:hAnsi="Arial"/>
                <w:b/>
                <w:bCs/>
                <w:color w:val="166534"/>
                <w:sz w:val="19"/>
                <w:szCs w:val="19"/>
              </w:rPr>
              <w:t xml:space="preserve">↑  </w:t>
            </w:r>
            <w:r>
              <w:rPr>
                <w:rFonts w:ascii="Arial" w:cs="Arial" w:eastAsia="Arial" w:hAnsi="Arial"/>
                <w:b/>
                <w:bCs/>
                <w:color w:val="111111"/>
                <w:sz w:val="19"/>
                <w:szCs w:val="19"/>
              </w:rPr>
              <w:t xml:space="preserve">ARAF_ARA_EVL_2026_002_session4.docx</w:t>
            </w:r>
            <w:r>
              <w:rPr>
                <w:rFonts w:ascii="Arial" w:cs="Arial" w:eastAsia="Arial" w:hAnsi="Arial"/>
                <w:color w:val="555555"/>
                <w:sz w:val="18"/>
                <w:szCs w:val="18"/>
              </w:rPr>
              <w:t xml:space="preserve">  —  Session 4 output</w:t>
            </w:r>
          </w:p>
          <w:p>
            <w:pPr>
              <w:spacing w:before="30" w:after="30"/>
              <w:ind w:left="320" w:hanging="220"/>
            </w:pPr>
            <w:r>
              <w:rPr>
                <w:rFonts w:ascii="Arial" w:cs="Arial" w:eastAsia="Arial" w:hAnsi="Arial"/>
                <w:b/>
                <w:bCs/>
                <w:color w:val="166534"/>
                <w:sz w:val="19"/>
                <w:szCs w:val="19"/>
              </w:rPr>
              <w:t xml:space="preserve">↑  </w:t>
            </w:r>
            <w:r>
              <w:rPr>
                <w:rFonts w:ascii="Arial" w:cs="Arial" w:eastAsia="Arial" w:hAnsi="Arial"/>
                <w:b/>
                <w:bCs/>
                <w:color w:val="111111"/>
                <w:sz w:val="19"/>
                <w:szCs w:val="19"/>
              </w:rPr>
              <w:t xml:space="preserve">ARAF_ARA_AVB_2026_002_final.docx</w:t>
            </w:r>
            <w:r>
              <w:rPr>
                <w:rFonts w:ascii="Arial" w:cs="Arial" w:eastAsia="Arial" w:hAnsi="Arial"/>
                <w:color w:val="555555"/>
                <w:sz w:val="18"/>
                <w:szCs w:val="18"/>
              </w:rPr>
              <w:t xml:space="preserve">  —  Session 3 final — not yet edited</w:t>
            </w:r>
          </w:p>
          <w:p>
            <w:pPr>
              <w:spacing w:before="30" w:after="30"/>
              <w:ind w:left="320" w:hanging="220"/>
            </w:pPr>
            <w:r>
              <w:rPr>
                <w:rFonts w:ascii="Arial" w:cs="Arial" w:eastAsia="Arial" w:hAnsi="Arial"/>
                <w:b/>
                <w:bCs/>
                <w:color w:val="166534"/>
                <w:sz w:val="19"/>
                <w:szCs w:val="19"/>
              </w:rPr>
              <w:t xml:space="preserve">↑  </w:t>
            </w:r>
            <w:r>
              <w:rPr>
                <w:rFonts w:ascii="Arial" w:cs="Arial" w:eastAsia="Arial" w:hAnsi="Arial"/>
                <w:b/>
                <w:bCs/>
                <w:color w:val="111111"/>
                <w:sz w:val="19"/>
                <w:szCs w:val="19"/>
              </w:rPr>
              <w:t xml:space="preserve">ARAF_ARA_SDK_2026_002_final.docx</w:t>
            </w:r>
            <w:r>
              <w:rPr>
                <w:rFonts w:ascii="Arial" w:cs="Arial" w:eastAsia="Arial" w:hAnsi="Arial"/>
                <w:color w:val="555555"/>
                <w:sz w:val="18"/>
                <w:szCs w:val="18"/>
              </w:rPr>
              <w:t xml:space="preserve">  —  Session 3 final — not yet edited</w:t>
            </w:r>
          </w:p>
          <w:p>
            <w:pPr>
              <w:spacing w:before="30" w:after="30"/>
              <w:ind w:left="320" w:hanging="220"/>
            </w:pPr>
            <w:r>
              <w:rPr>
                <w:rFonts w:ascii="Arial" w:cs="Arial" w:eastAsia="Arial" w:hAnsi="Arial"/>
                <w:b/>
                <w:bCs/>
                <w:color w:val="166534"/>
                <w:sz w:val="19"/>
                <w:szCs w:val="19"/>
              </w:rPr>
              <w:t xml:space="preserve">↑  </w:t>
            </w:r>
            <w:r>
              <w:rPr>
                <w:rFonts w:ascii="Arial" w:cs="Arial" w:eastAsia="Arial" w:hAnsi="Arial"/>
                <w:b/>
                <w:bCs/>
                <w:color w:val="111111"/>
                <w:sz w:val="19"/>
                <w:szCs w:val="19"/>
              </w:rPr>
              <w:t xml:space="preserve">ARAF_ARA_TMK_2026_002_final.docx</w:t>
            </w:r>
            <w:r>
              <w:rPr>
                <w:rFonts w:ascii="Arial" w:cs="Arial" w:eastAsia="Arial" w:hAnsi="Arial"/>
                <w:color w:val="555555"/>
                <w:sz w:val="18"/>
                <w:szCs w:val="18"/>
              </w:rPr>
              <w:t xml:space="preserve">  —  Session 3 final — not yet edited</w:t>
            </w:r>
          </w:p>
          <w:p>
            <w:pPr>
              <w:spacing w:before="30" w:after="30"/>
              <w:ind w:left="320" w:hanging="220"/>
            </w:pPr>
            <w:r>
              <w:rPr>
                <w:rFonts w:ascii="Arial" w:cs="Arial" w:eastAsia="Arial" w:hAnsi="Arial"/>
                <w:b/>
                <w:bCs/>
                <w:color w:val="166534"/>
                <w:sz w:val="19"/>
                <w:szCs w:val="19"/>
              </w:rPr>
              <w:t xml:space="preserve">↑  </w:t>
            </w:r>
            <w:r>
              <w:rPr>
                <w:rFonts w:ascii="Arial" w:cs="Arial" w:eastAsia="Arial" w:hAnsi="Arial"/>
                <w:b/>
                <w:bCs/>
                <w:color w:val="111111"/>
                <w:sz w:val="19"/>
                <w:szCs w:val="19"/>
              </w:rPr>
              <w:t xml:space="preserve">ARAF_ARA_ACR_2026_002_final.xlsx</w:t>
            </w:r>
            <w:r>
              <w:rPr>
                <w:rFonts w:ascii="Arial" w:cs="Arial" w:eastAsia="Arial" w:hAnsi="Arial"/>
                <w:color w:val="555555"/>
                <w:sz w:val="18"/>
                <w:szCs w:val="18"/>
              </w:rPr>
              <w:t xml:space="preserve">  —  Session 3 final — not yet edited</w:t>
            </w:r>
          </w:p>
          <w:p>
            <w:pPr>
              <w:spacing w:before="120" w:after="40"/>
            </w:pPr>
            <w:r>
              <w:rPr>
                <w:rFonts w:ascii="Arial" w:cs="Arial" w:eastAsia="Arial" w:hAnsi="Arial"/>
                <w:b/>
                <w:bCs/>
                <w:color w:val="166534"/>
                <w:sz w:val="19"/>
                <w:szCs w:val="19"/>
              </w:rPr>
              <w:t xml:space="preserve">Work to complete:</w:t>
            </w:r>
          </w:p>
          <w:p>
            <w:pPr>
              <w:spacing w:before="30" w:after="30"/>
              <w:ind w:left="320" w:hanging="220"/>
            </w:pPr>
            <w:r>
              <w:rPr>
                <w:rFonts w:ascii="Arial" w:cs="Arial" w:eastAsia="Arial" w:hAnsi="Arial"/>
                <w:b/>
                <w:bCs/>
                <w:color w:val="1F3864"/>
                <w:sz w:val="18"/>
                <w:szCs w:val="18"/>
              </w:rPr>
              <w:t xml:space="preserve">Step 1  </w:t>
            </w:r>
            <w:r>
              <w:rPr>
                <w:rFonts w:ascii="Arial" w:cs="Arial" w:eastAsia="Arial" w:hAnsi="Arial"/>
                <w:b/>
                <w:bCs/>
                <w:color w:val="111111"/>
                <w:sz w:val="18"/>
                <w:szCs w:val="18"/>
              </w:rPr>
              <w:t xml:space="preserve">ALL DOCS  —  </w:t>
            </w:r>
            <w:r>
              <w:rPr>
                <w:rFonts w:ascii="Arial" w:cs="Arial" w:eastAsia="Arial" w:hAnsi="Arial"/>
                <w:color w:val="444444"/>
                <w:sz w:val="18"/>
                <w:szCs w:val="18"/>
              </w:rPr>
              <w:t xml:space="preserve">Verify Level 3 rename complete in Session 4 outputs. If any surviving instances found, replace before proceeding.</w:t>
            </w:r>
          </w:p>
          <w:p>
            <w:pPr>
              <w:spacing w:before="30" w:after="30"/>
              <w:ind w:left="320" w:hanging="220"/>
            </w:pPr>
            <w:r>
              <w:rPr>
                <w:rFonts w:ascii="Arial" w:cs="Arial" w:eastAsia="Arial" w:hAnsi="Arial"/>
                <w:b/>
                <w:bCs/>
                <w:color w:val="1F3864"/>
                <w:sz w:val="18"/>
                <w:szCs w:val="18"/>
              </w:rPr>
              <w:t xml:space="preserve">Step 2  </w:t>
            </w:r>
            <w:r>
              <w:rPr>
                <w:rFonts w:ascii="Arial" w:cs="Arial" w:eastAsia="Arial" w:hAnsi="Arial"/>
                <w:b/>
                <w:bCs/>
                <w:color w:val="111111"/>
                <w:sz w:val="18"/>
                <w:szCs w:val="18"/>
              </w:rPr>
              <w:t xml:space="preserve">AVB  —  </w:t>
            </w:r>
            <w:r>
              <w:rPr>
                <w:rFonts w:ascii="Arial" w:cs="Arial" w:eastAsia="Arial" w:hAnsi="Arial"/>
                <w:color w:val="444444"/>
                <w:sz w:val="18"/>
                <w:szCs w:val="18"/>
              </w:rPr>
              <w:t xml:space="preserve">Add Art. 13 (Platform Certification competencies for AVBs). Update Art. 12.3 (add Assurance Class escalation as revalidation trigger). Update Glossary.</w:t>
            </w:r>
          </w:p>
          <w:p>
            <w:pPr>
              <w:spacing w:before="30" w:after="30"/>
              <w:ind w:left="320" w:hanging="220"/>
            </w:pPr>
            <w:r>
              <w:rPr>
                <w:rFonts w:ascii="Arial" w:cs="Arial" w:eastAsia="Arial" w:hAnsi="Arial"/>
                <w:b/>
                <w:bCs/>
                <w:color w:val="1F3864"/>
                <w:sz w:val="18"/>
                <w:szCs w:val="18"/>
              </w:rPr>
              <w:t xml:space="preserve">Step 3  </w:t>
            </w:r>
            <w:r>
              <w:rPr>
                <w:rFonts w:ascii="Arial" w:cs="Arial" w:eastAsia="Arial" w:hAnsi="Arial"/>
                <w:b/>
                <w:bCs/>
                <w:color w:val="111111"/>
                <w:sz w:val="18"/>
                <w:szCs w:val="18"/>
              </w:rPr>
              <w:t xml:space="preserve">SDK  —  </w:t>
            </w:r>
            <w:r>
              <w:rPr>
                <w:rFonts w:ascii="Arial" w:cs="Arial" w:eastAsia="Arial" w:hAnsi="Arial"/>
                <w:color w:val="444444"/>
                <w:sz w:val="18"/>
                <w:szCs w:val="18"/>
              </w:rPr>
              <w:t xml:space="preserve">Update Art. 1 scope (SDK role in Platform Cert reference environments: optional vs. Deployment Cert: required). Update Art. 6.6 (insurance data — distinguish Platform vs. Deployment cert fields). Update Glossary.</w:t>
            </w:r>
          </w:p>
          <w:p>
            <w:pPr>
              <w:spacing w:before="30" w:after="30"/>
              <w:ind w:left="320" w:hanging="220"/>
            </w:pPr>
            <w:r>
              <w:rPr>
                <w:rFonts w:ascii="Arial" w:cs="Arial" w:eastAsia="Arial" w:hAnsi="Arial"/>
                <w:b/>
                <w:bCs/>
                <w:color w:val="1F3864"/>
                <w:sz w:val="18"/>
                <w:szCs w:val="18"/>
              </w:rPr>
              <w:t xml:space="preserve">Step 4  </w:t>
            </w:r>
            <w:r>
              <w:rPr>
                <w:rFonts w:ascii="Arial" w:cs="Arial" w:eastAsia="Arial" w:hAnsi="Arial"/>
                <w:b/>
                <w:bCs/>
                <w:color w:val="111111"/>
                <w:sz w:val="18"/>
                <w:szCs w:val="18"/>
              </w:rPr>
              <w:t xml:space="preserve">TMK  —  </w:t>
            </w:r>
            <w:r>
              <w:rPr>
                <w:rFonts w:ascii="Arial" w:cs="Arial" w:eastAsia="Arial" w:hAnsi="Arial"/>
                <w:color w:val="444444"/>
                <w:sz w:val="18"/>
                <w:szCs w:val="18"/>
              </w:rPr>
              <w:t xml:space="preserve">Add Platform Certification mark anatomy (‘ARA Platform Certified — Level [X]’). Add Platform Cert mark usage rules. Update Art. 6.7 (insurance badge: Deployment Certs only). Update Glossary.</w:t>
            </w:r>
          </w:p>
          <w:p>
            <w:pPr>
              <w:spacing w:before="30" w:after="30"/>
              <w:ind w:left="320" w:hanging="220"/>
            </w:pPr>
            <w:r>
              <w:rPr>
                <w:rFonts w:ascii="Arial" w:cs="Arial" w:eastAsia="Arial" w:hAnsi="Arial"/>
                <w:b/>
                <w:bCs/>
                <w:color w:val="1F3864"/>
                <w:sz w:val="18"/>
                <w:szCs w:val="18"/>
              </w:rPr>
              <w:t xml:space="preserve">Step 5  </w:t>
            </w:r>
            <w:r>
              <w:rPr>
                <w:rFonts w:ascii="Arial" w:cs="Arial" w:eastAsia="Arial" w:hAnsi="Arial"/>
                <w:b/>
                <w:bCs/>
                <w:color w:val="111111"/>
                <w:sz w:val="18"/>
                <w:szCs w:val="18"/>
              </w:rPr>
              <w:t xml:space="preserve">ACR xlsx  —  </w:t>
            </w:r>
            <w:r>
              <w:rPr>
                <w:rFonts w:ascii="Arial" w:cs="Arial" w:eastAsia="Arial" w:hAnsi="Arial"/>
                <w:color w:val="444444"/>
                <w:sz w:val="18"/>
                <w:szCs w:val="18"/>
              </w:rPr>
              <w:t xml:space="preserve">Add column: ‘Platform Cert Eligible’ (Y / N / Partial) to all 398 ACR rows. Y = evaluable in reference environment. Partial = evaluable with simulated inputs but flagged. N = requires live deployment. This is the most time-intensive step in Session 5.</w:t>
            </w:r>
          </w:p>
          <w:p>
            <w:pPr>
              <w:spacing w:before="30" w:after="30"/>
              <w:ind w:left="320" w:hanging="220"/>
            </w:pPr>
            <w:r>
              <w:rPr>
                <w:rFonts w:ascii="Arial" w:cs="Arial" w:eastAsia="Arial" w:hAnsi="Arial"/>
                <w:b/>
                <w:bCs/>
                <w:color w:val="1F3864"/>
                <w:sz w:val="18"/>
                <w:szCs w:val="18"/>
              </w:rPr>
              <w:t xml:space="preserve">Step 6  </w:t>
            </w:r>
            <w:r>
              <w:rPr>
                <w:rFonts w:ascii="Arial" w:cs="Arial" w:eastAsia="Arial" w:hAnsi="Arial"/>
                <w:b/>
                <w:bCs/>
                <w:color w:val="111111"/>
                <w:sz w:val="18"/>
                <w:szCs w:val="18"/>
              </w:rPr>
              <w:t xml:space="preserve">ALL  —  </w:t>
            </w:r>
            <w:r>
              <w:rPr>
                <w:rFonts w:ascii="Arial" w:cs="Arial" w:eastAsia="Arial" w:hAnsi="Arial"/>
                <w:color w:val="444444"/>
                <w:sz w:val="18"/>
                <w:szCs w:val="18"/>
              </w:rPr>
              <w:t xml:space="preserve">Pack all four docs. Generate updated continuation reference for Session 6.</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6"/>
              <w:left w:val="single" w:color="B45309" w:sz="16"/>
              <w:bottom w:val="single" w:color="B45309" w:sz="6"/>
              <w:right w:val="single" w:color="B45309" w:sz="2"/>
            </w:tcBorders>
            <w:shd w:fill="FFF7ED" w:val="clear"/>
            <w:tcMar>
              <w:top w:type="dxa" w:w="160"/>
              <w:left w:type="dxa" w:w="240"/>
              <w:bottom w:type="dxa" w:w="160"/>
              <w:right w:type="dxa" w:w="240"/>
            </w:tcMar>
          </w:tcPr>
          <w:p>
            <w:pPr>
              <w:spacing w:before="60" w:after="60"/>
            </w:pPr>
            <w:r>
              <w:rPr>
                <w:rFonts w:ascii="Arial" w:cs="Arial" w:eastAsia="Arial" w:hAnsi="Arial"/>
                <w:b/>
                <w:bCs/>
                <w:color w:val="B45309"/>
                <w:sz w:val="26"/>
                <w:szCs w:val="26"/>
              </w:rPr>
              <w:t xml:space="preserve">SESSION 6  —  </w:t>
            </w:r>
            <w:r>
              <w:rPr>
                <w:rFonts w:ascii="Arial" w:cs="Arial" w:eastAsia="Arial" w:hAnsi="Arial"/>
                <w:b/>
                <w:bCs/>
                <w:color w:val="B45309"/>
                <w:sz w:val="26"/>
                <w:szCs w:val="26"/>
              </w:rPr>
              <w:t xml:space="preserve">Final QA — PHY, REG, Suite Sweep, Adoption Prep</w:t>
            </w:r>
          </w:p>
          <w:p>
            <w:pPr>
              <w:spacing w:before="100" w:after="40"/>
            </w:pPr>
            <w:r>
              <w:rPr>
                <w:rFonts w:ascii="Arial" w:cs="Arial" w:eastAsia="Arial" w:hAnsi="Arial"/>
                <w:b/>
                <w:bCs/>
                <w:color w:val="B45309"/>
                <w:sz w:val="19"/>
                <w:szCs w:val="19"/>
              </w:rPr>
              <w:t xml:space="preserve">Upload at session start:</w:t>
            </w:r>
          </w:p>
          <w:p>
            <w:pPr>
              <w:spacing w:before="30" w:after="30"/>
              <w:ind w:left="320" w:hanging="220"/>
            </w:pPr>
            <w:r>
              <w:rPr>
                <w:rFonts w:ascii="Arial" w:cs="Arial" w:eastAsia="Arial" w:hAnsi="Arial"/>
                <w:b/>
                <w:bCs/>
                <w:color w:val="166534"/>
                <w:sz w:val="19"/>
                <w:szCs w:val="19"/>
              </w:rPr>
              <w:t xml:space="preserve">↑  </w:t>
            </w:r>
            <w:r>
              <w:rPr>
                <w:rFonts w:ascii="Arial" w:cs="Arial" w:eastAsia="Arial" w:hAnsi="Arial"/>
                <w:b/>
                <w:bCs/>
                <w:color w:val="111111"/>
                <w:sz w:val="19"/>
                <w:szCs w:val="19"/>
              </w:rPr>
              <w:t xml:space="preserve">ARAF_Suite_Session4_ContinuationRef_FINAL.docx</w:t>
            </w:r>
            <w:r>
              <w:rPr>
                <w:rFonts w:ascii="Arial" w:cs="Arial" w:eastAsia="Arial" w:hAnsi="Arial"/>
                <w:color w:val="555555"/>
                <w:sz w:val="18"/>
                <w:szCs w:val="18"/>
              </w:rPr>
              <w:t xml:space="preserve">  —  this document — required every session</w:t>
            </w:r>
          </w:p>
          <w:p>
            <w:pPr>
              <w:spacing w:before="30" w:after="30"/>
              <w:ind w:left="320" w:hanging="220"/>
            </w:pPr>
            <w:r>
              <w:rPr>
                <w:rFonts w:ascii="Arial" w:cs="Arial" w:eastAsia="Arial" w:hAnsi="Arial"/>
                <w:b/>
                <w:bCs/>
                <w:color w:val="166534"/>
                <w:sz w:val="19"/>
                <w:szCs w:val="19"/>
              </w:rPr>
              <w:t xml:space="preserve">↑  </w:t>
            </w:r>
            <w:r>
              <w:rPr>
                <w:rFonts w:ascii="Arial" w:cs="Arial" w:eastAsia="Arial" w:hAnsi="Arial"/>
                <w:b/>
                <w:bCs/>
                <w:color w:val="111111"/>
                <w:sz w:val="19"/>
                <w:szCs w:val="19"/>
              </w:rPr>
              <w:t xml:space="preserve">All 9 session 5 output documents</w:t>
            </w:r>
            <w:r>
              <w:rPr>
                <w:rFonts w:ascii="Arial" w:cs="Arial" w:eastAsia="Arial" w:hAnsi="Arial"/>
                <w:color w:val="555555"/>
                <w:sz w:val="18"/>
                <w:szCs w:val="18"/>
              </w:rPr>
              <w:t xml:space="preserve">  —  GOV, STD, EVL, AVB, SDK, TMK, ACR, PHY, REG with latest _session5 suffix</w:t>
            </w:r>
          </w:p>
          <w:p>
            <w:pPr>
              <w:spacing w:before="120" w:after="40"/>
            </w:pPr>
            <w:r>
              <w:rPr>
                <w:rFonts w:ascii="Arial" w:cs="Arial" w:eastAsia="Arial" w:hAnsi="Arial"/>
                <w:b/>
                <w:bCs/>
                <w:color w:val="B45309"/>
                <w:sz w:val="19"/>
                <w:szCs w:val="19"/>
              </w:rPr>
              <w:t xml:space="preserve">Work to complete:</w:t>
            </w:r>
          </w:p>
          <w:p>
            <w:pPr>
              <w:spacing w:before="30" w:after="30"/>
              <w:ind w:left="320" w:hanging="220"/>
            </w:pPr>
            <w:r>
              <w:rPr>
                <w:rFonts w:ascii="Arial" w:cs="Arial" w:eastAsia="Arial" w:hAnsi="Arial"/>
                <w:b/>
                <w:bCs/>
                <w:color w:val="1F3864"/>
                <w:sz w:val="18"/>
                <w:szCs w:val="18"/>
              </w:rPr>
              <w:t xml:space="preserve">Step 1  </w:t>
            </w:r>
            <w:r>
              <w:rPr>
                <w:rFonts w:ascii="Arial" w:cs="Arial" w:eastAsia="Arial" w:hAnsi="Arial"/>
                <w:b/>
                <w:bCs/>
                <w:color w:val="111111"/>
                <w:sz w:val="18"/>
                <w:szCs w:val="18"/>
              </w:rPr>
              <w:t xml:space="preserve">PHY  —  </w:t>
            </w:r>
            <w:r>
              <w:rPr>
                <w:rFonts w:ascii="Arial" w:cs="Arial" w:eastAsia="Arial" w:hAnsi="Arial"/>
                <w:color w:val="444444"/>
                <w:sz w:val="18"/>
                <w:szCs w:val="18"/>
              </w:rPr>
              <w:t xml:space="preserve">Update scope statement: most Domain 15 physical ACRs require physical deployment and cannot be fully evaluated in a reference environment. Add explicit statement: PHY ACRs eligible for Platform Cert only where a physical reference environment (hardware-in-the-loop testbed) satisfies reference environment requirements.</w:t>
            </w:r>
          </w:p>
          <w:p>
            <w:pPr>
              <w:spacing w:before="30" w:after="30"/>
              <w:ind w:left="320" w:hanging="220"/>
            </w:pPr>
            <w:r>
              <w:rPr>
                <w:rFonts w:ascii="Arial" w:cs="Arial" w:eastAsia="Arial" w:hAnsi="Arial"/>
                <w:b/>
                <w:bCs/>
                <w:color w:val="1F3864"/>
                <w:sz w:val="18"/>
                <w:szCs w:val="18"/>
              </w:rPr>
              <w:t xml:space="preserve">Step 2  </w:t>
            </w:r>
            <w:r>
              <w:rPr>
                <w:rFonts w:ascii="Arial" w:cs="Arial" w:eastAsia="Arial" w:hAnsi="Arial"/>
                <w:b/>
                <w:bCs/>
                <w:color w:val="111111"/>
                <w:sz w:val="18"/>
                <w:szCs w:val="18"/>
              </w:rPr>
              <w:t xml:space="preserve">REG xlsx  —  </w:t>
            </w:r>
            <w:r>
              <w:rPr>
                <w:rFonts w:ascii="Arial" w:cs="Arial" w:eastAsia="Arial" w:hAnsi="Arial"/>
                <w:color w:val="444444"/>
                <w:sz w:val="18"/>
                <w:szCs w:val="18"/>
              </w:rPr>
              <w:t xml:space="preserve">Review regulatory mappings for frameworks that distinguish platform vs. deployment certification (EU AI Act conformity assessment, FDA SaMD guidance). Flag ACRs where Platform Cert alone is not sufficient for regulatory compliance.</w:t>
            </w:r>
          </w:p>
          <w:p>
            <w:pPr>
              <w:spacing w:before="30" w:after="30"/>
              <w:ind w:left="320" w:hanging="220"/>
            </w:pPr>
            <w:r>
              <w:rPr>
                <w:rFonts w:ascii="Arial" w:cs="Arial" w:eastAsia="Arial" w:hAnsi="Arial"/>
                <w:b/>
                <w:bCs/>
                <w:color w:val="1F3864"/>
                <w:sz w:val="18"/>
                <w:szCs w:val="18"/>
              </w:rPr>
              <w:t xml:space="preserve">Step 3  </w:t>
            </w:r>
            <w:r>
              <w:rPr>
                <w:rFonts w:ascii="Arial" w:cs="Arial" w:eastAsia="Arial" w:hAnsi="Arial"/>
                <w:b/>
                <w:bCs/>
                <w:color w:val="111111"/>
                <w:sz w:val="18"/>
                <w:szCs w:val="18"/>
              </w:rPr>
              <w:t xml:space="preserve">ALL 9 DOCS  —  </w:t>
            </w:r>
            <w:r>
              <w:rPr>
                <w:rFonts w:ascii="Arial" w:cs="Arial" w:eastAsia="Arial" w:hAnsi="Arial"/>
                <w:color w:val="444444"/>
                <w:sz w:val="18"/>
                <w:szCs w:val="18"/>
              </w:rPr>
              <w:t xml:space="preserve">Full suite sweep: (a) Level 3 rename — confirm zero surviving ‘Level 3 Continuous Assurance’ instances. (b) Legacy language — confirm zero surviving ‘ARA Platform’ or ‘the CAP’ refs. (c) GOV Art. 7.5 — confirm removed and no cross-references remain. (d) Document Control — confirm all 9 docs show Pre-Adoption Draft status and March 2026 dates.</w:t>
            </w:r>
          </w:p>
          <w:p>
            <w:pPr>
              <w:spacing w:before="30" w:after="30"/>
              <w:ind w:left="320" w:hanging="220"/>
            </w:pPr>
            <w:r>
              <w:rPr>
                <w:rFonts w:ascii="Arial" w:cs="Arial" w:eastAsia="Arial" w:hAnsi="Arial"/>
                <w:b/>
                <w:bCs/>
                <w:color w:val="1F3864"/>
                <w:sz w:val="18"/>
                <w:szCs w:val="18"/>
              </w:rPr>
              <w:t xml:space="preserve">Step 4  </w:t>
            </w:r>
            <w:r>
              <w:rPr>
                <w:rFonts w:ascii="Arial" w:cs="Arial" w:eastAsia="Arial" w:hAnsi="Arial"/>
                <w:b/>
                <w:bCs/>
                <w:color w:val="111111"/>
                <w:sz w:val="18"/>
                <w:szCs w:val="18"/>
              </w:rPr>
              <w:t xml:space="preserve">ALL 9 DOCS  —  </w:t>
            </w:r>
            <w:r>
              <w:rPr>
                <w:rFonts w:ascii="Arial" w:cs="Arial" w:eastAsia="Arial" w:hAnsi="Arial"/>
                <w:color w:val="444444"/>
                <w:sz w:val="18"/>
                <w:szCs w:val="18"/>
              </w:rPr>
              <w:t xml:space="preserve">Validate all 9 documents. Zero validation errors required before adoption submission.</w:t>
            </w:r>
          </w:p>
          <w:p>
            <w:pPr>
              <w:spacing w:before="30" w:after="30"/>
              <w:ind w:left="320" w:hanging="220"/>
            </w:pPr>
            <w:r>
              <w:rPr>
                <w:rFonts w:ascii="Arial" w:cs="Arial" w:eastAsia="Arial" w:hAnsi="Arial"/>
                <w:b/>
                <w:bCs/>
                <w:color w:val="1F3864"/>
                <w:sz w:val="18"/>
                <w:szCs w:val="18"/>
              </w:rPr>
              <w:t xml:space="preserve">Step 5  </w:t>
            </w:r>
            <w:r>
              <w:rPr>
                <w:rFonts w:ascii="Arial" w:cs="Arial" w:eastAsia="Arial" w:hAnsi="Arial"/>
                <w:b/>
                <w:bCs/>
                <w:color w:val="111111"/>
                <w:sz w:val="18"/>
                <w:szCs w:val="18"/>
              </w:rPr>
              <w:t xml:space="preserve">CONTINUATION REF  —  </w:t>
            </w:r>
            <w:r>
              <w:rPr>
                <w:rFonts w:ascii="Arial" w:cs="Arial" w:eastAsia="Arial" w:hAnsi="Arial"/>
                <w:color w:val="444444"/>
                <w:sz w:val="18"/>
                <w:szCs w:val="18"/>
              </w:rPr>
              <w:t xml:space="preserve">Update Suite Continuation Reference to reflect Session 6 completion. Mark suite as ‘Committee-Ready for Adoption Vote.’</w:t>
            </w:r>
          </w:p>
        </w:tc>
      </w:tr>
    </w:tbl>
    <w:p>
      <w:pPr>
        <w:spacing w:before="160" w:after="0"/>
      </w:pPr>
      <w:r>
        <w:t xml:space="preserve"/>
      </w:r>
    </w:p>
    <w:p>
      <w:pPr>
        <w:pBdr>
          <w:bottom w:val="single" w:color="1F3864" w:sz="8" w:space="6"/>
        </w:pBdr>
        <w:spacing w:before="340" w:after="120"/>
      </w:pPr>
      <w:r>
        <w:rPr>
          <w:rFonts w:ascii="Arial" w:cs="Arial" w:eastAsia="Arial" w:hAnsi="Arial"/>
          <w:b/>
          <w:bCs/>
          <w:color w:val="1F3864"/>
          <w:sz w:val="32"/>
          <w:szCs w:val="32"/>
        </w:rPr>
        <w:t xml:space="preserve">11. Session Start Prompts — Copy and Paste Verbatim</w:t>
      </w:r>
    </w:p>
    <w:p>
      <w:pPr>
        <w:spacing w:before="60" w:after="60"/>
      </w:pPr>
      <w:r>
        <w:rPr>
          <w:rFonts w:ascii="Arial" w:cs="Arial" w:eastAsia="Arial" w:hAnsi="Arial"/>
          <w:color w:val="111111"/>
          <w:sz w:val="20"/>
          <w:szCs w:val="20"/>
        </w:rPr>
        <w:t xml:space="preserve">Use the exact prompt below for each session. Always upload the listed documents before pasting.</w:t>
      </w:r>
    </w:p>
    <w:p>
      <w:pPr>
        <w:spacing w:before="80" w:after="0"/>
      </w:pPr>
      <w:r>
        <w:t xml:space="preserve"/>
      </w:r>
    </w:p>
    <w:p>
      <w:pPr>
        <w:spacing w:before="240" w:after="80"/>
      </w:pPr>
      <w:r>
        <w:rPr>
          <w:rFonts w:ascii="Arial" w:cs="Arial" w:eastAsia="Arial" w:hAnsi="Arial"/>
          <w:b/>
          <w:bCs/>
          <w:color w:val="2E74B5"/>
          <w:sz w:val="25"/>
          <w:szCs w:val="25"/>
        </w:rPr>
        <w:t xml:space="preserve">Session 4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5F9" w:val="clear"/>
            <w:tcMar>
              <w:top w:type="dxa" w:w="140"/>
              <w:left w:type="dxa" w:w="200"/>
              <w:bottom w:type="dxa" w:w="140"/>
              <w:right w:type="dxa" w:w="200"/>
            </w:tcMar>
          </w:tcPr>
          <w:p>
            <w:pPr>
              <w:spacing w:before="0" w:after="40"/>
            </w:pPr>
            <w:r>
              <w:rPr>
                <w:rFonts w:ascii="Arial" w:cs="Arial" w:eastAsia="Arial" w:hAnsi="Arial"/>
                <w:b/>
                <w:bCs/>
                <w:color w:val="888888"/>
                <w:sz w:val="17"/>
                <w:szCs w:val="17"/>
              </w:rPr>
              <w:t xml:space="preserve">📋  PASTE THIS AT SESSION START</w:t>
            </w:r>
          </w:p>
          <w:p>
            <w:pPr>
              <w:spacing w:before="0" w:after="0"/>
            </w:pPr>
            <w:r>
              <w:rPr>
                <w:rFonts w:ascii="Arial" w:cs="Arial" w:eastAsia="Arial" w:hAnsi="Arial"/>
                <w:color w:val="222222"/>
                <w:sz w:val="18"/>
                <w:szCs w:val="18"/>
              </w:rPr>
              <w:t xml:space="preserve">We are continuing work on the ARAF ARA Standard Suite v1.1. Sessions 1–3 are complete — all 9 documents are in final pre-adoption state. Session 4 implements a major architectural expansion: the Two-Axis Certification Model (Evaluation Level × Assurance Class) and Platform Certification pathway. All architecture decisions are locked in the uploaded Session 4 Continuation Reference — do not re-open them. Begin with a global find-and-replace across all uploaded docs: ‘Level 3 Continuous Assurance’ → ‘Level 3 Comprehensive.’ Then follow the Session 4 work plan in Section 10 of the Continuation Reference: GOV first, then STD, then EVL. Documents uploaded: GOV, STD, EVL (Session 3 finals) + the Session 4 Continuation Reference.</w:t>
            </w:r>
          </w:p>
        </w:tc>
      </w:tr>
    </w:tbl>
    <w:p>
      <w:pPr>
        <w:spacing w:before="80" w:after="0"/>
      </w:pPr>
      <w:r>
        <w:t xml:space="preserve"/>
      </w:r>
    </w:p>
    <w:p>
      <w:pPr>
        <w:spacing w:before="240" w:after="80"/>
      </w:pPr>
      <w:r>
        <w:rPr>
          <w:rFonts w:ascii="Arial" w:cs="Arial" w:eastAsia="Arial" w:hAnsi="Arial"/>
          <w:b/>
          <w:bCs/>
          <w:color w:val="2E74B5"/>
          <w:sz w:val="25"/>
          <w:szCs w:val="25"/>
        </w:rPr>
        <w:t xml:space="preserve">Session 5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5F9" w:val="clear"/>
            <w:tcMar>
              <w:top w:type="dxa" w:w="140"/>
              <w:left w:type="dxa" w:w="200"/>
              <w:bottom w:type="dxa" w:w="140"/>
              <w:right w:type="dxa" w:w="200"/>
            </w:tcMar>
          </w:tcPr>
          <w:p>
            <w:pPr>
              <w:spacing w:before="0" w:after="40"/>
            </w:pPr>
            <w:r>
              <w:rPr>
                <w:rFonts w:ascii="Arial" w:cs="Arial" w:eastAsia="Arial" w:hAnsi="Arial"/>
                <w:b/>
                <w:bCs/>
                <w:color w:val="888888"/>
                <w:sz w:val="17"/>
                <w:szCs w:val="17"/>
              </w:rPr>
              <w:t xml:space="preserve">📋  PASTE THIS AT SESSION START</w:t>
            </w:r>
          </w:p>
          <w:p>
            <w:pPr>
              <w:spacing w:before="0" w:after="0"/>
            </w:pPr>
            <w:r>
              <w:rPr>
                <w:rFonts w:ascii="Arial" w:cs="Arial" w:eastAsia="Arial" w:hAnsi="Arial"/>
                <w:color w:val="222222"/>
                <w:sz w:val="18"/>
                <w:szCs w:val="18"/>
              </w:rPr>
              <w:t xml:space="preserve">We are continuing work on the ARAF ARA Standard Suite v1.1. Session 4 is complete — GOV, STD, and EVL have been updated with the Two-Axis Certification Model (Evaluation Level × Assurance Class) and Platform Certification pathway. Session 5 updates the companion documents: AVB, SDK, TMK, and the ACR xlsx. All architecture decisions remain locked — see the uploaded Session 4 Continuation Reference for definitions and locked decisions. Begin by verifying the Level 3 rename (‘Continuous Assurance’ → ‘Comprehensive’) is complete in the Session 4 outputs. Then follow the Session 5 work plan in Section 10. Documents uploaded: Session 4 outputs (GOV, STD, EVL) + Session 3 finals (AVB, SDK, TMK, ACR xlsx) + Session 4 Continuation Reference.</w:t>
            </w:r>
          </w:p>
        </w:tc>
      </w:tr>
    </w:tbl>
    <w:p>
      <w:pPr>
        <w:spacing w:before="80" w:after="0"/>
      </w:pPr>
      <w:r>
        <w:t xml:space="preserve"/>
      </w:r>
    </w:p>
    <w:p>
      <w:pPr>
        <w:spacing w:before="240" w:after="80"/>
      </w:pPr>
      <w:r>
        <w:rPr>
          <w:rFonts w:ascii="Arial" w:cs="Arial" w:eastAsia="Arial" w:hAnsi="Arial"/>
          <w:b/>
          <w:bCs/>
          <w:color w:val="2E74B5"/>
          <w:sz w:val="25"/>
          <w:szCs w:val="25"/>
        </w:rPr>
        <w:t xml:space="preserve">Session 6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5F9" w:val="clear"/>
            <w:tcMar>
              <w:top w:type="dxa" w:w="140"/>
              <w:left w:type="dxa" w:w="200"/>
              <w:bottom w:type="dxa" w:w="140"/>
              <w:right w:type="dxa" w:w="200"/>
            </w:tcMar>
          </w:tcPr>
          <w:p>
            <w:pPr>
              <w:spacing w:before="0" w:after="40"/>
            </w:pPr>
            <w:r>
              <w:rPr>
                <w:rFonts w:ascii="Arial" w:cs="Arial" w:eastAsia="Arial" w:hAnsi="Arial"/>
                <w:b/>
                <w:bCs/>
                <w:color w:val="888888"/>
                <w:sz w:val="17"/>
                <w:szCs w:val="17"/>
              </w:rPr>
              <w:t xml:space="preserve">📋  PASTE THIS AT SESSION START</w:t>
            </w:r>
          </w:p>
          <w:p>
            <w:pPr>
              <w:spacing w:before="0" w:after="0"/>
            </w:pPr>
            <w:r>
              <w:rPr>
                <w:rFonts w:ascii="Arial" w:cs="Arial" w:eastAsia="Arial" w:hAnsi="Arial"/>
                <w:color w:val="222222"/>
                <w:sz w:val="18"/>
                <w:szCs w:val="18"/>
              </w:rPr>
              <w:t xml:space="preserve">We are continuing work on the ARAF ARA Standard Suite v1.1. Sessions 4 and 5 are complete — all 7 Word docs and the ACR xlsx have been updated with the Two-Axis Certification Model and Platform Certification pathway. Session 6 completes PHY and REG, runs the full suite sweep, validates all 9 documents, and prepares the suite for the adoption vote. All architecture decisions remain locked — see the uploaded Session 4 Continuation Reference. Follow the Session 6 work plan in Section 10. Documents uploaded: all 9 Session 5 outputs + the Session 4 Continuation Reference.</w:t>
            </w:r>
          </w:p>
        </w:tc>
      </w:tr>
    </w:tbl>
    <w:p>
      <w:pPr>
        <w:spacing w:before="160" w:after="0"/>
      </w:pPr>
      <w:r>
        <w:t xml:space="preserve"/>
      </w:r>
    </w:p>
    <w:p>
      <w:pPr>
        <w:pBdr>
          <w:bottom w:val="single" w:color="1F3864" w:sz="8" w:space="6"/>
        </w:pBdr>
        <w:spacing w:before="340" w:after="120"/>
      </w:pPr>
      <w:r>
        <w:rPr>
          <w:rFonts w:ascii="Arial" w:cs="Arial" w:eastAsia="Arial" w:hAnsi="Arial"/>
          <w:b/>
          <w:bCs/>
          <w:color w:val="1F3864"/>
          <w:sz w:val="32"/>
          <w:szCs w:val="32"/>
        </w:rPr>
        <w:t xml:space="preserve">12. Honest Scope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Arial" w:cs="Arial" w:eastAsia="Arial" w:hAnsi="Arial"/>
                <w:b/>
                <w:bCs/>
                <w:color w:val="FFFFFF"/>
                <w:sz w:val="18"/>
                <w:szCs w:val="18"/>
              </w:rPr>
              <w:t xml:space="preserve">What</w:t>
            </w:r>
          </w:p>
        </w:tc>
        <w:tc>
          <w:tcPr>
            <w:tcW w:type="dxa" w:w="656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Arial" w:cs="Arial" w:eastAsia="Arial" w:hAnsi="Arial"/>
                <w:b/>
                <w:bCs/>
                <w:color w:val="FFFFFF"/>
                <w:sz w:val="18"/>
                <w:szCs w:val="18"/>
              </w:rPr>
              <w:t xml:space="preserve">Assessment</w:t>
            </w:r>
          </w:p>
        </w:tc>
      </w:tr>
      <w:tr>
        <w:tc>
          <w:tcPr>
            <w:tcW w:type="dxa" w:w="28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Documents with substantive new content</w:t>
            </w:r>
          </w:p>
        </w:tc>
        <w:tc>
          <w:tcPr>
            <w:tcW w:type="dxa" w:w="656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STD, EVL, GOV (Session 4) — largest effort</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Documents with targeted edits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AVB, SDK, TMK, PHY (Sessions 5–6)</w:t>
            </w:r>
          </w:p>
        </w:tc>
      </w:tr>
      <w:tr>
        <w:tc>
          <w:tcPr>
            <w:tcW w:type="dxa" w:w="28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Documents with structural change</w:t>
            </w:r>
          </w:p>
        </w:tc>
        <w:tc>
          <w:tcPr>
            <w:tcW w:type="dxa" w:w="656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ACR xlsx (Session 5) — 398-row new column</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Documents with review only</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REG xlsx (Session 6)</w:t>
            </w:r>
          </w:p>
        </w:tc>
      </w:tr>
      <w:tr>
        <w:tc>
          <w:tcPr>
            <w:tcW w:type="dxa" w:w="28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Hardest single change</w:t>
            </w:r>
          </w:p>
        </w:tc>
        <w:tc>
          <w:tcPr>
            <w:tcW w:type="dxa" w:w="656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STD Art. 7 (Two-Axis Model) + Art. 8 (Risk Classification framework) — new normative architecture with no prior text</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Most time-intensive single step</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ACR xlsx Platform Cert Eligible column — 398 rows; requires scripted approach</w:t>
            </w:r>
          </w:p>
        </w:tc>
      </w:tr>
      <w:tr>
        <w:tc>
          <w:tcPr>
            <w:tcW w:type="dxa" w:w="28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What does NOT change</w:t>
            </w:r>
          </w:p>
        </w:tc>
        <w:tc>
          <w:tcPr>
            <w:tcW w:type="dxa" w:w="656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The 398 ACRs themselves. The 15 domain structure. CAPO accreditation process structure. AVB authorization process structure. Insurance badge mechanics.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Riskiest change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111111"/>
                <w:sz w:val="18"/>
                <w:szCs w:val="18"/>
              </w:rPr>
              <w:t xml:space="preserve">Level 3 rename — high recurrence across all docs. Must be verified last in Session 6 sweep.</w:t>
            </w:r>
          </w:p>
        </w:tc>
      </w:tr>
      <w:tr>
        <w:tc>
          <w:tcPr>
            <w:tcW w:type="dxa" w:w="280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Adoption vote timing</w:t>
            </w:r>
          </w:p>
        </w:tc>
        <w:tc>
          <w:tcPr>
            <w:tcW w:type="dxa" w:w="6560"/>
            <w:tcBorders>
              <w:top w:val="single" w:color="CCCCCC" w:sz="1"/>
              <w:left w:val="single" w:color="CCCCCC" w:sz="1"/>
              <w:bottom w:val="single" w:color="CCCCCC" w:sz="1"/>
              <w:right w:val="single" w:color="CCCCCC" w:sz="1"/>
            </w:tcBorders>
            <w:shd w:fill="F7F9FC" w:val="clear"/>
            <w:tcMar>
              <w:top w:type="dxa" w:w="90"/>
              <w:left w:type="dxa" w:w="140"/>
              <w:bottom w:type="dxa" w:w="90"/>
              <w:right w:type="dxa" w:w="140"/>
            </w:tcMar>
          </w:tcPr>
          <w:p>
            <w:r>
              <w:rPr>
                <w:rFonts w:ascii="Arial" w:cs="Arial" w:eastAsia="Arial" w:hAnsi="Arial"/>
                <w:b w:val="false"/>
                <w:bCs w:val="false"/>
                <w:color w:val="111111"/>
                <w:sz w:val="18"/>
                <w:szCs w:val="18"/>
              </w:rPr>
              <w:t xml:space="preserve">Should occur after Session 6, not before. These changes are material to the commercial viability of the standard. Do it once on the complete package.</w:t>
            </w:r>
          </w:p>
        </w:tc>
      </w:tr>
    </w:tbl>
    <w:p>
      <w:pPr>
        <w:spacing w:before="160" w:after="0"/>
      </w:pPr>
      <w:r>
        <w:t xml:space="preserve"/>
      </w:r>
    </w:p>
    <w:p>
      <w:pPr>
        <w:pBdr>
          <w:left w:val="single" w:color="2E74B5" w:sz="8" w:space="12"/>
        </w:pBdr>
        <w:spacing w:before="100" w:after="100"/>
        <w:ind w:left="720"/>
      </w:pPr>
      <w:r>
        <w:rPr>
          <w:rFonts w:ascii="Arial" w:cs="Arial" w:eastAsia="Arial" w:hAnsi="Arial"/>
          <w:i/>
          <w:iCs/>
          <w:color w:val="333333"/>
          <w:sz w:val="19"/>
          <w:szCs w:val="19"/>
        </w:rPr>
        <w:t xml:space="preserve">A committee that votes on this standard without Platform Certification as a defined pathway is adopting an incomplete architecture. The two-axis model and Platform Certification are what make this a commercially viable and technically defensible standard. Three sessions is the right investment.</w:t>
      </w:r>
    </w:p>
    <w:p>
      <w:pPr>
        <w:spacing w:before="160" w:after="0"/>
      </w:pPr>
      <w:r>
        <w:t xml:space="preserve"/>
      </w:r>
    </w:p>
    <w:p>
      <w:pPr>
        <w:spacing w:before="60" w:after="60"/>
      </w:pPr>
      <w:r>
        <w:rPr>
          <w:rFonts w:ascii="Arial" w:cs="Arial" w:eastAsia="Arial" w:hAnsi="Arial"/>
          <w:i/>
          <w:iCs/>
          <w:color w:val="888888"/>
          <w:sz w:val="18"/>
          <w:szCs w:val="18"/>
        </w:rPr>
        <w:t xml:space="preserve">End of Continuation Reference  |  ARAF ARA Standard Suite  |  March 2026  |  Sessions 4–6 — Architecture Locked</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4" w:space="4"/>
      </w:pBdr>
      <w:tabs>
        <w:tab w:val="right" w:pos="8640"/>
      </w:tabs>
    </w:pPr>
    <w:r>
      <w:rPr>
        <w:rFonts w:ascii="Arial" w:cs="Arial" w:eastAsia="Arial" w:hAnsi="Arial"/>
        <w:color w:val="888888"/>
        <w:sz w:val="17"/>
        <w:szCs w:val="17"/>
      </w:rPr>
      <w:t xml:space="preserve">Pre-Adoption Working Draft  —  Internal Use Only</w:t>
    </w:r>
    <w:r>
      <w:rPr>
        <w:rFonts w:ascii="Arial" w:cs="Arial" w:eastAsia="Arial" w:hAnsi="Arial"/>
        <w:color w:val="888888"/>
        <w:sz w:val="17"/>
        <w:szCs w:val="17"/>
      </w:rPr>
      <w:t xml:space="preserve">	Page </w:t>
    </w:r>
    <w:r>
      <w:rPr>
        <w:rFonts w:ascii="Arial" w:cs="Arial" w:eastAsia="Arial" w:hAnsi="Arial"/>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4" w:space="4"/>
      </w:pBdr>
    </w:pPr>
    <w:r>
      <w:rPr>
        <w:rFonts w:ascii="Arial" w:cs="Arial" w:eastAsia="Arial" w:hAnsi="Arial"/>
        <w:color w:val="666666"/>
        <w:sz w:val="17"/>
        <w:szCs w:val="17"/>
      </w:rPr>
      <w:t xml:space="preserve">ARAF ARA Standard Suite  |  Session 4 Continuation Reference  |  Two-Axis Certification Architecture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2026-03-04T21:36:15.754Z</dcterms:created>
  <dcterms:modified xsi:type="dcterms:W3CDTF">2026-03-04T21:36:15.755Z</dcterms:modified>
</cp:coreProperties>
</file>

<file path=docProps/custom.xml><?xml version="1.0" encoding="utf-8"?>
<Properties xmlns="http://schemas.openxmlformats.org/officeDocument/2006/custom-properties" xmlns:vt="http://schemas.openxmlformats.org/officeDocument/2006/docPropsVTypes"/>
</file>