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From WALDO to Frasian Inference:</w:t>
      </w:r>
    </w:p>
    <w:p>
      <w:pPr>
        <w:spacing w:after="50"/>
        <w:jc w:val="center"/>
      </w:pPr>
      <w:r>
        <w:rPr>
          <w:sz w:val="28"/>
          <w:szCs w:val="28"/>
        </w:rPr>
        <w:t xml:space="preserve">Confidence Distributions, Posterior Tilting,</w:t>
      </w:r>
    </w:p>
    <w:p>
      <w:pPr>
        <w:spacing w:after="200"/>
        <w:jc w:val="center"/>
      </w:pPr>
      <w:r>
        <w:rPr>
          <w:sz w:val="28"/>
          <w:szCs w:val="28"/>
        </w:rPr>
        <w:t xml:space="preserve">and the Prior Ancillary</w:t>
      </w:r>
    </w:p>
    <w:p>
      <w:pPr>
        <w:spacing w:after="100"/>
        <w:jc w:val="center"/>
      </w:pPr>
      <w:r>
        <w:rPr>
          <w:i/>
          <w:iCs/>
          <w:sz w:val="22"/>
          <w:szCs w:val="22"/>
        </w:rPr>
        <w:t xml:space="preserve">Working Notes</w:t>
      </w:r>
    </w:p>
    <w:p>
      <w:pPr>
        <w:spacing w:after="400"/>
        <w:jc w:val="center"/>
      </w:pPr>
      <w:r>
        <w:rPr>
          <w:sz w:val="22"/>
          <w:szCs w:val="22"/>
        </w:rPr>
        <w:t xml:space="preserve">December 2025</w:t>
      </w:r>
    </w:p>
    <w:p>
      <w:pPr>
        <w:spacing w:after="100"/>
      </w:pPr>
      <w:r>
        <w:rPr>
          <w:b/>
          <w:bCs/>
          <w:sz w:val="24"/>
          <w:szCs w:val="24"/>
        </w:rPr>
        <w:t xml:space="preserve">Abstract</w:t>
      </w:r>
    </w:p>
    <w:p>
      <w:pPr>
        <w:spacing w:after="120"/>
      </w:pPr>
      <w:r>
        <w:t xml:space="preserve">This document develops a rigorous connection between WALDO (Weighted Accurate Likelihood-free inference via Diagnostic Orderings), Fraser's higher-order likelihood inference, and the theory of confidence distributions. We derive closed-form results for the conjugate Normal case, including: (i) the exact p-value function p(θ) = Φ(b−a) + Φ(−a−b); (ii) proof that the mode equals the posterior mean μₙ; (iii) a closed-form expression for the mean showing it is pulled toward the MLE; and (iv) analysis of CI widths as a function of prior-data conflict. We establish that WALDO's location-dependent critical values arise from a non-central χ² distribution whose non-centrality parameter equals the squared prior score times the likelihood variance.</w:t>
      </w:r>
    </w:p>
    <w:p>
      <w:pPr>
        <w:spacing w:after="120"/>
      </w:pPr>
      <w:r>
        <w:t xml:space="preserve">We then introduce a tilted posterior framework q(θ; η) ∝ L(θ)·π(θ)^{1−η} that generalizes WALDO by interpolating between Bayesian posterior inference (η = 0) and frequentist likelihood inference (η = 1). We derive the optimal tilting function η*(θ) that minimizes expected CI width while maintaining frequentist coverage, discovering that it creates confidence intervals with a characteristic asymmetric structure. The framework introduces the concept of a "prior ancillary" that unifies frequentist, Bayesian, and Frasian inference under a common principle of conditional inference.</w:t>
      </w:r>
    </w:p>
    <w:p>
      <w:pPr>
        <w:pStyle w:val="Heading1"/>
      </w:pPr>
      <w:r>
        <w:rPr>
          <w:b/>
          <w:bCs/>
        </w:rPr>
        <w:t xml:space="preserve">1. Introduction</w:t>
      </w:r>
    </w:p>
    <w:p>
      <w:pPr>
        <w:spacing w:after="120"/>
      </w:pPr>
      <w:r>
        <w:t xml:space="preserve">A fundamental tension in statistical inference concerns the relationship between Bayesian posterior distributions and frequentist confidence regions. While both provide uncertainty quantification for parameters, they satisfy different coverage guarantees: Bayesian credible regions cover the true parameter with probability (1−α) averaged over the prior, whereas frequentist confidence regions guarantee coverage (1−α) for each fixed true parameter value.</w:t>
      </w:r>
    </w:p>
    <w:p>
      <w:pPr>
        <w:spacing w:after="120"/>
      </w:pPr>
      <w:r>
        <w:t xml:space="preserve">This distinction becomes practically important when the prior is misspecified or when the true parameter lies in a region where the prior assigns low probability. In such cases, Bayesian credible regions may exhibit severe undercoverage, leading to misleading uncertainty estimates.</w:t>
      </w:r>
    </w:p>
    <w:p>
      <w:pPr>
        <w:spacing w:after="120"/>
      </w:pPr>
      <w:r>
        <w:t xml:space="preserve">WALDO (Masserano et al., 2023) addresses this problem by constructing confidence regions with finite-sample conditional validity while leveraging posterior estimators from simulation-based inference. The method reframes the classical Wald test statistic and uses quantile regression to learn location-dependent critical values that ensure correct frequentist coverage regardless of the true parameter value.</w:t>
      </w:r>
    </w:p>
    <w:p>
      <w:pPr>
        <w:spacing w:after="120"/>
      </w:pPr>
      <w:r>
        <w:t xml:space="preserve">In this document, we develop four main contributions:</w:t>
      </w:r>
    </w:p>
    <w:p>
      <w:pPr>
        <w:pStyle w:val="ListParagraph"/>
        <w:numPr>
          <w:ilvl w:val="0"/>
          <w:numId w:val="2"/>
        </w:numPr>
        <w:spacing w:after="80"/>
      </w:pPr>
      <w:r>
        <w:t xml:space="preserve">We derive closed-form expressions for WALDO's p-value function, critical values, and confidence distribution in the conjugate Normal case, showing that the WALDO statistic follows a scaled non-central χ² distribution with non-centrality parameter determined by the prior score.</w:t>
      </w:r>
    </w:p>
    <w:p>
      <w:pPr>
        <w:pStyle w:val="ListParagraph"/>
        <w:numPr>
          <w:ilvl w:val="0"/>
          <w:numId w:val="2"/>
        </w:numPr>
        <w:spacing w:after="80"/>
      </w:pPr>
      <w:r>
        <w:t xml:space="preserve">We prove that the mode of WALDO's confidence distribution equals the posterior mean, and derive a closed-form expression for the mean showing it is systematically pulled toward the MLE.</w:t>
      </w:r>
    </w:p>
    <w:p>
      <w:pPr>
        <w:pStyle w:val="ListParagraph"/>
        <w:numPr>
          <w:ilvl w:val="0"/>
          <w:numId w:val="2"/>
        </w:numPr>
        <w:spacing w:after="80"/>
      </w:pPr>
      <w:r>
        <w:t xml:space="preserve">We establish a rigorous connection between WALDO's non-centrality correction and Fraser's Jacobian adjustment in higher-order likelihood inference, showing both arise from the same underlying principle.</w:t>
      </w:r>
    </w:p>
    <w:p>
      <w:pPr>
        <w:pStyle w:val="ListParagraph"/>
        <w:numPr>
          <w:ilvl w:val="0"/>
          <w:numId w:val="2"/>
        </w:numPr>
        <w:spacing w:after="80"/>
      </w:pPr>
      <w:r>
        <w:t xml:space="preserve">We introduce a tilted posterior framework with optimal adaptive tilting, and introduce the concept of a "prior ancillary" showing that WALDO achieves conditional coverage by implicitly conditioning on this quantity.</w:t>
      </w:r>
    </w:p>
    <w:p>
      <w:pPr>
        <w:pStyle w:val="Heading1"/>
      </w:pPr>
      <w:r>
        <w:rPr>
          <w:b/>
          <w:bCs/>
        </w:rPr>
        <w:t xml:space="preserve">2. Background and Related Work</w:t>
      </w:r>
    </w:p>
    <w:p>
      <w:pPr>
        <w:pStyle w:val="Heading2"/>
      </w:pPr>
      <w:r>
        <w:rPr>
          <w:b/>
          <w:bCs/>
        </w:rPr>
        <w:t xml:space="preserve">2.1 Confidence Distributions</w:t>
      </w:r>
    </w:p>
    <w:p>
      <w:pPr>
        <w:spacing w:after="120"/>
      </w:pPr>
      <w:r>
        <w:rPr>
          <w:b/>
          <w:bCs/>
        </w:rPr>
        <w:t xml:space="preserve">Definition. </w:t>
      </w:r>
      <w:r>
        <w:t xml:space="preserve">A </w:t>
      </w:r>
      <w:r>
        <w:rPr>
          <w:b/>
          <w:bCs/>
        </w:rPr>
        <w:t xml:space="preserve">confidence distribution</w:t>
      </w:r>
      <w:r>
        <w:t xml:space="preserve"> is a data-dependent distribution C(θ; D) on the parameter space such that C(θ_true; D) ~ Uniform(0,1) when evaluated at the true parameter (Xie &amp; Singh, 2013; Schweder &amp; Hjort, 2016).</w:t>
      </w:r>
    </w:p>
    <w:p>
      <w:pPr>
        <w:spacing w:after="120"/>
      </w:pPr>
      <w:r>
        <w:t xml:space="preserve">It provides a frequentist analog of the Bayesian posterior—a full distribution over θ with guaranteed coverage properties. The concept traces back to Fisher's fiducial inference and has been developed extensively by Fraser (1968), Cox (1958), and others. The key property distinguishing confidence distributions from Bayesian posteriors is that the coverage guarantee holds conditional on each θ, not merely on average over a prior.</w:t>
      </w:r>
    </w:p>
    <w:p>
      <w:pPr>
        <w:pStyle w:val="Heading2"/>
      </w:pPr>
      <w:r>
        <w:rPr>
          <w:b/>
          <w:bCs/>
        </w:rPr>
        <w:t xml:space="preserve">2.2 Fraser's p* Formula and Higher-Order Likelihood Inference</w:t>
      </w:r>
    </w:p>
    <w:p>
      <w:pPr>
        <w:spacing w:after="120"/>
      </w:pPr>
      <w:r>
        <w:t xml:space="preserve">Barndorff-Nielsen (1983, 1986) developed the modified directed likelihood r*, which achieves higher-order accuracy for likelihood-based inference. For a scalar parameter θ with log-likelihood ℓ(θ), the standard signed likelihood ratio is:</w:t>
      </w:r>
    </w:p>
    <w:p>
      <w:pPr>
        <w:spacing w:before="120" w:after="120"/>
        <w:jc w:val="center"/>
      </w:pPr>
      <w:r>
        <w:rPr>
          <w:i/>
          <w:iCs/>
          <w:sz w:val="22"/>
          <w:szCs w:val="22"/>
        </w:rPr>
        <w:t xml:space="preserve">r(θ) = sign(θ̂ − θ) · √(2[ℓ(θ̂) − ℓ(θ)])</w:t>
      </w:r>
    </w:p>
    <w:p>
      <w:pPr>
        <w:spacing w:after="120"/>
      </w:pPr>
      <w:r>
        <w:t xml:space="preserve">Under regularity conditions, r(θ) →^d N(0,1) as n → ∞, but this is only first-order accurate with O(n^{−1/2}) errors in coverage. The modified statistic r* = r + r⁻¹ log(q/r) achieves O(n^{−3/2}) accuracy.</w:t>
      </w:r>
    </w:p>
    <w:p>
      <w:pPr>
        <w:spacing w:after="120"/>
      </w:pPr>
      <w:r>
        <w:t xml:space="preserve">Fraser's contribution was to show the correction term q(θ) could be written in terms of a mixed derivative—Fraser's Jacobian correction ∂²ℓ/∂θ∂D. This captures how the score changes as we vary the data, encoding information about the model's curvature.</w:t>
      </w:r>
    </w:p>
    <w:p>
      <w:pPr>
        <w:pStyle w:val="Heading2"/>
      </w:pPr>
      <w:r>
        <w:rPr>
          <w:b/>
          <w:bCs/>
        </w:rPr>
        <w:t xml:space="preserve">2.3 Frasian Inference</w:t>
      </w:r>
    </w:p>
    <w:p>
      <w:pPr>
        <w:spacing w:after="120"/>
      </w:pPr>
      <w:r>
        <w:t xml:space="preserve">Wasserman (2011) coined the term "Frasian inference" to describe procedures that achieve both Bayesian-like properties (a full distribution over parameters) and frequentist validity (correct conditional coverage). Fraser's insight was that under specific conditions—particularly when using priors derived from invariance principles or matching priors—Bayesian posteriors can yield confidence distributions. However, for arbitrary priors, this correspondence breaks down, necessitating corrections.</w:t>
      </w:r>
    </w:p>
    <w:p>
      <w:pPr>
        <w:pStyle w:val="Heading2"/>
      </w:pPr>
      <w:r>
        <w:rPr>
          <w:b/>
          <w:bCs/>
        </w:rPr>
        <w:t xml:space="preserve">2.4 The WALDO Framework</w:t>
      </w:r>
    </w:p>
    <w:p>
      <w:pPr>
        <w:spacing w:after="120"/>
      </w:pPr>
      <w:r>
        <w:t xml:space="preserve">WALDO (Masserano et al., 2023) constructs confidence regions by leveraging posterior estimators from simulation-based inference. Given a posterior estimator p(θ|D) with mean μₙ and covariance Σₙ, WALDO defines the test statistic:</w:t>
      </w:r>
    </w:p>
    <w:p>
      <w:pPr>
        <w:spacing w:before="120" w:after="120"/>
        <w:jc w:val="center"/>
      </w:pPr>
      <w:r>
        <w:rPr>
          <w:i/>
          <w:iCs/>
          <w:sz w:val="22"/>
          <w:szCs w:val="22"/>
        </w:rPr>
        <w:t xml:space="preserve">τ_WALDO(D; θ₀) = (μₙ − θ₀)ᵀ Σₙ⁻¹ (μₙ − θ₀)</w:t>
      </w:r>
    </w:p>
    <w:p>
      <w:pPr>
        <w:spacing w:after="120"/>
      </w:pPr>
      <w:r>
        <w:t xml:space="preserve">The key innovation is that WALDO learns location-dependent critical values C_{θ,α} via quantile regression, ensuring that P(θ ∈ CI(D) | θ) = 1−α for all θ. This yields confidence regions with finite-sample conditional validity, even when the underlying posterior estimator is biased or overconfident.</w:t>
      </w:r>
    </w:p>
    <w:p>
      <w:pPr>
        <w:pStyle w:val="Heading1"/>
      </w:pPr>
      <w:r>
        <w:rPr>
          <w:b/>
          <w:bCs/>
        </w:rPr>
        <w:t xml:space="preserve">3. Closed-Form Results for the Conjugate Normal Case</w:t>
      </w:r>
    </w:p>
    <w:p>
      <w:pPr>
        <w:spacing w:after="120"/>
      </w:pPr>
      <w:r>
        <w:t xml:space="preserve">We now derive analytical expressions for WALDO's behavior in the conjugate Normal case, which provides interpretable formulas and establishes the foundation for connecting to Fraser's framework.</w:t>
      </w:r>
    </w:p>
    <w:p>
      <w:pPr>
        <w:pStyle w:val="Heading2"/>
      </w:pPr>
      <w:r>
        <w:rPr>
          <w:b/>
          <w:bCs/>
        </w:rPr>
        <w:t xml:space="preserve">3.1 Setup and Notation</w:t>
      </w:r>
    </w:p>
    <w:p>
      <w:pPr>
        <w:spacing w:after="120"/>
      </w:pPr>
      <w:r>
        <w:t xml:space="preserve">Consider the standard conjugate Normal model:</w:t>
      </w:r>
    </w:p>
    <w:p>
      <w:pPr>
        <w:pStyle w:val="ListParagraph"/>
        <w:numPr>
          <w:ilvl w:val="0"/>
          <w:numId w:val="3"/>
        </w:numPr>
        <w:spacing w:after="60"/>
      </w:pPr>
      <w:r>
        <w:rPr>
          <w:b/>
          <w:bCs/>
        </w:rPr>
        <w:t xml:space="preserve">Prior: </w:t>
      </w:r>
      <w:r>
        <w:t xml:space="preserve">θ ~ N(μ₀, σ₀²)</w:t>
      </w:r>
    </w:p>
    <w:p>
      <w:pPr>
        <w:pStyle w:val="ListParagraph"/>
        <w:numPr>
          <w:ilvl w:val="0"/>
          <w:numId w:val="3"/>
        </w:numPr>
        <w:spacing w:after="60"/>
      </w:pPr>
      <w:r>
        <w:rPr>
          <w:b/>
          <w:bCs/>
        </w:rPr>
        <w:t xml:space="preserve">Likelihood: </w:t>
      </w:r>
      <w:r>
        <w:t xml:space="preserve">D | θ ~ N(θ, σ²)</w:t>
      </w:r>
    </w:p>
    <w:p>
      <w:pPr>
        <w:pStyle w:val="ListParagraph"/>
        <w:numPr>
          <w:ilvl w:val="0"/>
          <w:numId w:val="3"/>
        </w:numPr>
        <w:spacing w:after="60"/>
      </w:pPr>
      <w:r>
        <w:rPr>
          <w:b/>
          <w:bCs/>
        </w:rPr>
        <w:t xml:space="preserve">Posterior: </w:t>
      </w:r>
      <w:r>
        <w:t xml:space="preserve">θ | D ~ N(μₙ, σₙ²)</w:t>
      </w:r>
    </w:p>
    <w:p>
      <w:pPr>
        <w:spacing w:after="120"/>
      </w:pPr>
      <w:r>
        <w:t xml:space="preserve">where the posterior parameters are:</w:t>
      </w:r>
    </w:p>
    <w:p>
      <w:pPr>
        <w:spacing w:before="120" w:after="120"/>
        <w:jc w:val="center"/>
      </w:pPr>
      <w:r>
        <w:rPr>
          <w:i/>
          <w:iCs/>
          <w:sz w:val="22"/>
          <w:szCs w:val="22"/>
        </w:rPr>
        <w:t xml:space="preserve">μₙ = wD + (1−w)μ₀</w:t>
      </w:r>
    </w:p>
    <w:p>
      <w:pPr>
        <w:spacing w:before="120" w:after="120"/>
        <w:jc w:val="center"/>
      </w:pPr>
      <w:r>
        <w:rPr>
          <w:i/>
          <w:iCs/>
          <w:sz w:val="22"/>
          <w:szCs w:val="22"/>
        </w:rPr>
        <w:t xml:space="preserve">σₙ² = wσ²</w:t>
      </w:r>
    </w:p>
    <w:p>
      <w:pPr>
        <w:spacing w:after="120"/>
      </w:pPr>
      <w:r>
        <w:t xml:space="preserve">with w = σ₀²/(σ² + σ₀²) being the weight placed on the data relative to the prior.</w:t>
      </w:r>
    </w:p>
    <w:p>
      <w:pPr>
        <w:spacing w:after="120"/>
      </w:pPr>
      <w:r>
        <w:t xml:space="preserve">We define the following key quantities:</w:t>
      </w:r>
    </w:p>
    <w:p>
      <w:pPr>
        <w:pStyle w:val="ListParagraph"/>
        <w:numPr>
          <w:ilvl w:val="0"/>
          <w:numId w:val="3"/>
        </w:numPr>
        <w:spacing w:after="60"/>
      </w:pPr>
      <w:r>
        <w:rPr>
          <w:b/>
          <w:bCs/>
        </w:rPr>
        <w:t xml:space="preserve">Standardized coordinate: </w:t>
      </w:r>
      <w:r>
        <w:t xml:space="preserve">u = (θ − μₙ)/(wσ)</w:t>
      </w:r>
    </w:p>
    <w:p>
      <w:pPr>
        <w:pStyle w:val="ListParagraph"/>
        <w:numPr>
          <w:ilvl w:val="0"/>
          <w:numId w:val="3"/>
        </w:numPr>
        <w:spacing w:after="60"/>
      </w:pPr>
      <w:r>
        <w:rPr>
          <w:b/>
          <w:bCs/>
        </w:rPr>
        <w:t xml:space="preserve">Scaled prior-data conflict: </w:t>
      </w:r>
      <w:r>
        <w:t xml:space="preserve">Δ = (1−w)(μ₀ − D)/σ</w:t>
      </w:r>
    </w:p>
    <w:p>
      <w:pPr>
        <w:pStyle w:val="ListParagraph"/>
        <w:numPr>
          <w:ilvl w:val="0"/>
          <w:numId w:val="3"/>
        </w:numPr>
        <w:spacing w:after="60"/>
      </w:pPr>
      <w:r>
        <w:rPr>
          <w:b/>
          <w:bCs/>
        </w:rPr>
        <w:t xml:space="preserve">Prior residual: </w:t>
      </w:r>
      <w:r>
        <w:t xml:space="preserve">δ(θ) = (θ − μ₀)/σ₀</w:t>
      </w:r>
    </w:p>
    <w:p>
      <w:pPr>
        <w:pStyle w:val="Heading2"/>
      </w:pPr>
      <w:r>
        <w:rPr>
          <w:b/>
          <w:bCs/>
        </w:rPr>
        <w:t xml:space="preserve">3.2 Distribution of the WALDO Statistic</w:t>
      </w:r>
    </w:p>
    <w:p>
      <w:pPr>
        <w:spacing w:after="120"/>
      </w:pPr>
      <w:r>
        <w:rPr>
          <w:b/>
          <w:bCs/>
        </w:rPr>
        <w:t xml:space="preserve">Theorem 1. </w:t>
      </w:r>
      <w:r>
        <w:rPr>
          <w:i/>
          <w:iCs/>
        </w:rPr>
        <w:t xml:space="preserve">Under the true parameter θ, the posterior mean satisfies:</w:t>
      </w:r>
    </w:p>
    <w:p>
      <w:pPr>
        <w:spacing w:before="160" w:after="160"/>
        <w:jc w:val="center"/>
      </w:pPr>
      <w:r>
        <w:rPr>
          <w:b/>
          <w:bCs/>
          <w:sz w:val="24"/>
          <w:szCs w:val="24"/>
        </w:rPr>
        <w:t xml:space="preserve">(μₙ − θ) | θ ~ N(b(θ), v)</w:t>
      </w:r>
    </w:p>
    <w:p>
      <w:pPr>
        <w:spacing w:after="120"/>
      </w:pPr>
      <w:r>
        <w:rPr>
          <w:i/>
          <w:iCs/>
        </w:rPr>
        <w:t xml:space="preserve">where b(θ) = (1−w)(μ₀ − θ) is the bias and v = w²σ² is the variance.</w:t>
      </w:r>
    </w:p>
    <w:p>
      <w:pPr>
        <w:spacing w:before="80" w:after="60"/>
      </w:pPr>
      <w:r>
        <w:rPr>
          <w:b/>
          <w:bCs/>
          <w:i/>
          <w:iCs/>
        </w:rPr>
        <w:t xml:space="preserve">Proof. </w:t>
      </w:r>
      <w:r>
        <w:rPr>
          <w:i w:val="false"/>
          <w:iCs w:val="false"/>
        </w:rPr>
        <w:t xml:space="preserve">Under the true parameter θ, we have D ~ N(θ, σ²). Substituting into the posterior mean formula:</w:t>
      </w:r>
    </w:p>
    <w:p>
      <w:pPr>
        <w:spacing w:after="60"/>
      </w:pPr>
      <w:r>
        <w:t xml:space="preserve">μₙ − θ = w(D − θ) + (1−w)(μ₀ − θ)</w:t>
      </w:r>
    </w:p>
    <w:p>
      <w:pPr>
        <w:spacing w:after="120"/>
      </w:pPr>
      <w:r>
        <w:t xml:space="preserve">Since D − θ ~ N(0, σ²), we have w(D − θ) ~ N(0, w²σ²), which is independent of the constant bias term (1−w)(μ₀ − θ). Therefore μₙ − θ ~ N((1−w)(μ₀ − θ), w²σ²).  ∎</w:t>
      </w:r>
    </w:p>
    <w:p>
      <w:pPr>
        <w:spacing w:after="120"/>
      </w:pPr>
      <w:r>
        <w:rPr>
          <w:b/>
          <w:bCs/>
        </w:rPr>
        <w:t xml:space="preserve">Theorem 2. </w:t>
      </w:r>
      <w:r>
        <w:rPr>
          <w:i/>
          <w:iCs/>
        </w:rPr>
        <w:t xml:space="preserve">The WALDO test statistic τ_WALDO = (μₙ − θ)²/σₙ² follows a scaled non-central chi-squared distribution:</w:t>
      </w:r>
    </w:p>
    <w:p>
      <w:pPr>
        <w:spacing w:before="160" w:after="160"/>
        <w:jc w:val="center"/>
      </w:pPr>
      <w:r>
        <w:rPr>
          <w:b/>
          <w:bCs/>
          <w:sz w:val="24"/>
          <w:szCs w:val="24"/>
        </w:rPr>
        <w:t xml:space="preserve">τ_WALDO | θ ~ w · χ²₁(λ(θ))</w:t>
      </w:r>
    </w:p>
    <w:p>
      <w:pPr>
        <w:spacing w:after="120"/>
      </w:pPr>
      <w:r>
        <w:rPr>
          <w:i/>
          <w:iCs/>
        </w:rPr>
        <w:t xml:space="preserve">where the non-centrality parameter is:</w:t>
      </w:r>
    </w:p>
    <w:p>
      <w:pPr>
        <w:spacing w:before="120" w:after="120"/>
        <w:jc w:val="center"/>
      </w:pPr>
      <w:r>
        <w:rPr>
          <w:i/>
          <w:iCs/>
          <w:sz w:val="22"/>
          <w:szCs w:val="22"/>
        </w:rPr>
        <w:t xml:space="preserve">λ(θ) = (1−w)²(μ₀ − θ)²/(w²σ²) = δ(θ)²/w</w:t>
      </w:r>
    </w:p>
    <w:p>
      <w:pPr>
        <w:spacing w:after="120"/>
      </w:pPr>
      <w:r>
        <w:rPr>
          <w:i/>
          <w:iCs/>
        </w:rPr>
        <w:t xml:space="preserve">with δ(θ) = (1−w)(μ₀ − θ)/(√w · σ).</w:t>
      </w:r>
    </w:p>
    <w:p>
      <w:pPr>
        <w:spacing w:before="80" w:after="60"/>
      </w:pPr>
      <w:r>
        <w:rPr>
          <w:b/>
          <w:bCs/>
          <w:i/>
          <w:iCs/>
        </w:rPr>
        <w:t xml:space="preserve">Proof. </w:t>
      </w:r>
      <w:r>
        <w:rPr>
          <w:i w:val="false"/>
          <w:iCs w:val="false"/>
        </w:rPr>
        <w:t xml:space="preserve">From Theorem 1, (μₙ − θ)/σₙ ~ N(b(θ)/σₙ, v/σₙ²). Substituting σₙ² = wσ²:</w:t>
      </w:r>
    </w:p>
    <w:p>
      <w:pPr>
        <w:spacing w:after="60"/>
      </w:pPr>
      <w:r>
        <w:t xml:space="preserve">b(θ)/σₙ = (1−w)(μ₀ − θ)/(√w · σ) = δ(θ)</w:t>
      </w:r>
    </w:p>
    <w:p>
      <w:pPr>
        <w:spacing w:after="60"/>
      </w:pPr>
      <w:r>
        <w:t xml:space="preserve">v/σₙ² = w²σ²/(wσ²) = w</w:t>
      </w:r>
    </w:p>
    <w:p>
      <w:pPr>
        <w:spacing w:after="60"/>
      </w:pPr>
      <w:r>
        <w:t xml:space="preserve">So (μₙ − θ)/σₙ ~ N(δ(θ), w), which means (μₙ − θ)/σₙ = √w · Z + δ(θ) where Z ~ N(0,1).</w:t>
      </w:r>
    </w:p>
    <w:p>
      <w:pPr>
        <w:spacing w:after="120"/>
      </w:pPr>
      <w:r>
        <w:t xml:space="preserve">Therefore τ = [(μₙ − θ)/σₙ]² = [√w · Z + δ(θ)]² ~ w · χ²₁(λ) where λ = δ(θ)²/w.  ∎</w:t>
      </w:r>
    </w:p>
    <w:p>
      <w:pPr>
        <w:spacing w:after="120"/>
      </w:pPr>
      <w:r>
        <w:rPr>
          <w:b/>
          <w:bCs/>
        </w:rPr>
        <w:t xml:space="preserve">Interpretation. </w:t>
      </w:r>
      <w:r>
        <w:t xml:space="preserve">The non-centrality λ(θ) encodes how much the prior "misleads" the posterior about θ. When θ = μ₀, λ = 0 and τ follows a central χ² (scaled by w). As θ moves away from μ₀, λ increases, shifting the distribution rightward. This is the source of WALDO's location-dependent critical values.</w:t>
      </w:r>
    </w:p>
    <w:p>
      <w:pPr>
        <w:pStyle w:val="Heading1"/>
      </w:pPr>
      <w:r>
        <w:rPr>
          <w:b/>
          <w:bCs/>
        </w:rPr>
        <w:t xml:space="preserve">4. The p-value Function and Confidence Distribution</w:t>
      </w:r>
    </w:p>
    <w:p>
      <w:pPr>
        <w:pStyle w:val="Heading2"/>
      </w:pPr>
      <w:r>
        <w:rPr>
          <w:b/>
          <w:bCs/>
        </w:rPr>
        <w:t xml:space="preserve">4.1 Derivation of the p-value Function</w:t>
      </w:r>
    </w:p>
    <w:p>
      <w:pPr>
        <w:spacing w:after="120"/>
      </w:pPr>
      <w:r>
        <w:t xml:space="preserve">The p-value at θ₀ is p(θ₀) = P(τ ≥ τ_obs | θ₀). Define X = (μₙ − θ₀)/σₙ, so τ_obs = X². Under θ₀, from Theorem 2, X ~ N(δ(θ₀), w).</w:t>
      </w:r>
    </w:p>
    <w:p>
      <w:pPr>
        <w:spacing w:after="120"/>
      </w:pPr>
      <w:r>
        <w:rPr>
          <w:b/>
          <w:bCs/>
        </w:rPr>
        <w:t xml:space="preserve">Theorem 3 (p-value Function). </w:t>
      </w:r>
      <w:r>
        <w:rPr>
          <w:i/>
          <w:iCs/>
        </w:rPr>
        <w:t xml:space="preserve">The WALDO p-value function is:</w:t>
      </w:r>
    </w:p>
    <w:p>
      <w:pPr>
        <w:spacing w:before="160" w:after="160"/>
        <w:jc w:val="center"/>
      </w:pPr>
      <w:r>
        <w:rPr>
          <w:b/>
          <w:bCs/>
          <w:sz w:val="24"/>
          <w:szCs w:val="24"/>
        </w:rPr>
        <w:t xml:space="preserve">p(θ) = Φ(b − a) + Φ(−a − b)</w:t>
      </w:r>
    </w:p>
    <w:p>
      <w:pPr>
        <w:spacing w:after="120"/>
      </w:pPr>
      <w:r>
        <w:rPr>
          <w:i/>
          <w:iCs/>
        </w:rPr>
        <w:t xml:space="preserve">where a(θ) = |μₙ − θ|/(wσ) ≥ 0 and b(θ) = (1−w)(μ₀ − θ)/(wσ).</w:t>
      </w:r>
    </w:p>
    <w:p>
      <w:pPr>
        <w:spacing w:before="80" w:after="60"/>
      </w:pPr>
      <w:r>
        <w:rPr>
          <w:b/>
          <w:bCs/>
          <w:i/>
          <w:iCs/>
        </w:rPr>
        <w:t xml:space="preserve">Proof. </w:t>
      </w:r>
      <w:r>
        <w:rPr>
          <w:i w:val="false"/>
          <w:iCs w:val="false"/>
        </w:rPr>
        <w:t xml:space="preserve">Since X ~ N(δ, w) where δ = δ(θ₀):</w:t>
      </w:r>
    </w:p>
    <w:p>
      <w:pPr>
        <w:spacing w:after="60"/>
      </w:pPr>
      <w:r>
        <w:t xml:space="preserve">p(θ₀) = P(X² ≥ t²) = P(|X| ≥ |t|) = P(X ≥ |t|) + P(X ≤ −|t|)</w:t>
      </w:r>
    </w:p>
    <w:p>
      <w:pPr>
        <w:spacing w:after="60"/>
      </w:pPr>
      <w:r>
        <w:t xml:space="preserve">= 1 − Φ((|t| − δ)/√w) + Φ((−|t| − δ)/√w)</w:t>
      </w:r>
    </w:p>
    <w:p>
      <w:pPr>
        <w:spacing w:after="60"/>
      </w:pPr>
      <w:r>
        <w:t xml:space="preserve">= Φ(−(|t| − δ)/√w) + Φ((−|t| − δ)/√w)</w:t>
      </w:r>
    </w:p>
    <w:p>
      <w:pPr>
        <w:spacing w:after="120"/>
      </w:pPr>
      <w:r>
        <w:t xml:space="preserve">Substituting a = |t|/√w and b = δ/√w gives p(θ) = Φ(b − a) + Φ(−a − b).  ∎</w:t>
      </w:r>
    </w:p>
    <w:p>
      <w:pPr>
        <w:spacing w:before="200" w:after="100"/>
      </w:pPr>
      <w:r>
        <w:rPr>
          <w:b/>
          <w:bCs/>
          <w:sz w:val="24"/>
          <w:szCs w:val="24"/>
        </w:rPr>
        <w:t xml:space="preserve">Verification</w:t>
      </w:r>
    </w:p>
    <w:p>
      <w:pPr>
        <w:pStyle w:val="ListParagraph"/>
        <w:numPr>
          <w:ilvl w:val="0"/>
          <w:numId w:val="3"/>
        </w:numPr>
        <w:spacing w:after="60"/>
      </w:pPr>
      <w:r>
        <w:rPr>
          <w:b/>
          <w:bCs/>
        </w:rPr>
        <w:t xml:space="preserve">At θ = μₙ: </w:t>
      </w:r>
      <w:r>
        <w:t xml:space="preserve">a(μₙ) = 0, so p(μₙ) = Φ(b) + Φ(−b) = 1 ✓</w:t>
      </w:r>
    </w:p>
    <w:p>
      <w:pPr>
        <w:pStyle w:val="ListParagraph"/>
        <w:numPr>
          <w:ilvl w:val="0"/>
          <w:numId w:val="3"/>
        </w:numPr>
        <w:spacing w:after="60"/>
      </w:pPr>
      <w:r>
        <w:rPr>
          <w:b/>
          <w:bCs/>
        </w:rPr>
        <w:t xml:space="preserve">As θ → ±∞: </w:t>
      </w:r>
      <w:r>
        <w:t xml:space="preserve">a → +∞, so both Φ terms → 0, giving p → 0 ✓</w:t>
      </w:r>
    </w:p>
    <w:p>
      <w:pPr>
        <w:pStyle w:val="ListParagraph"/>
        <w:numPr>
          <w:ilvl w:val="0"/>
          <w:numId w:val="3"/>
        </w:numPr>
        <w:spacing w:after="60"/>
      </w:pPr>
      <w:r>
        <w:rPr>
          <w:b/>
          <w:bCs/>
        </w:rPr>
        <w:t xml:space="preserve">Symmetry check: </w:t>
      </w:r>
      <w:r>
        <w:t xml:space="preserve">When b = 0 (θ at equal distance from μ₀ as D), p(θ) = 2Φ(−a), matching the Wald p-value ✓</w:t>
      </w:r>
    </w:p>
    <w:p>
      <w:pPr>
        <w:pStyle w:val="Heading2"/>
      </w:pPr>
      <w:r>
        <w:rPr>
          <w:b/>
          <w:bCs/>
        </w:rPr>
        <w:t xml:space="preserve">4.2 In Standardized Coordinates</w:t>
      </w:r>
    </w:p>
    <w:p>
      <w:pPr>
        <w:spacing w:after="120"/>
      </w:pPr>
      <w:r>
        <w:t xml:space="preserve">Working in standardized coordinates u = (θ − μₙ)/(wσ), the p-value function becomes:</w:t>
      </w:r>
    </w:p>
    <w:p>
      <w:pPr>
        <w:pStyle w:val="ListParagraph"/>
        <w:numPr>
          <w:ilvl w:val="0"/>
          <w:numId w:val="3"/>
        </w:numPr>
        <w:spacing w:after="60"/>
      </w:pPr>
      <w:r>
        <w:rPr>
          <w:b/>
          <w:bCs/>
        </w:rPr>
        <w:t xml:space="preserve">For u ≥ 0: </w:t>
      </w:r>
      <w:r>
        <w:t xml:space="preserve">p(u) = Φ(Δ − (2−w)u) + Φ(−wu − Δ)</w:t>
      </w:r>
    </w:p>
    <w:p>
      <w:pPr>
        <w:pStyle w:val="ListParagraph"/>
        <w:numPr>
          <w:ilvl w:val="0"/>
          <w:numId w:val="3"/>
        </w:numPr>
        <w:spacing w:after="60"/>
      </w:pPr>
      <w:r>
        <w:rPr>
          <w:b/>
          <w:bCs/>
        </w:rPr>
        <w:t xml:space="preserve">For u &lt; 0: </w:t>
      </w:r>
      <w:r>
        <w:t xml:space="preserve">p(u) = Φ(Δ + wu) + Φ((2−w)u − Δ)</w:t>
      </w:r>
    </w:p>
    <w:p>
      <w:pPr>
        <w:spacing w:after="120"/>
      </w:pPr>
      <w:r>
        <w:t xml:space="preserve">where Δ = (1−w)(μ₀ − D)/σ is the scaled prior-data conflict.</w:t>
      </w:r>
    </w:p>
    <w:p>
      <w:pPr>
        <w:pStyle w:val="Heading1"/>
      </w:pPr>
      <w:r>
        <w:rPr>
          <w:b/>
          <w:bCs/>
        </w:rPr>
        <w:t xml:space="preserve">5. Estimators from the Confidence Distribution</w:t>
      </w:r>
    </w:p>
    <w:p>
      <w:pPr>
        <w:pStyle w:val="Heading2"/>
      </w:pPr>
      <w:r>
        <w:rPr>
          <w:b/>
          <w:bCs/>
        </w:rPr>
        <w:t xml:space="preserve">5.1 The Mode</w:t>
      </w:r>
    </w:p>
    <w:p>
      <w:pPr>
        <w:spacing w:after="120"/>
      </w:pPr>
      <w:r>
        <w:rPr>
          <w:b/>
          <w:bCs/>
        </w:rPr>
        <w:t xml:space="preserve">Theorem 4. </w:t>
      </w:r>
      <w:r>
        <w:rPr>
          <w:i/>
          <w:iCs/>
        </w:rPr>
        <w:t xml:space="preserve">The unique maximizer of WALDO's p-value function is θ* = μₙ, the posterior mean.</w:t>
      </w:r>
    </w:p>
    <w:p>
      <w:pPr>
        <w:spacing w:before="80" w:after="60"/>
      </w:pPr>
      <w:r>
        <w:rPr>
          <w:b/>
          <w:bCs/>
          <w:i/>
          <w:iCs/>
        </w:rPr>
        <w:t xml:space="preserve">Proof. </w:t>
      </w:r>
      <w:r>
        <w:rPr>
          <w:i w:val="false"/>
          <w:iCs w:val="false"/>
        </w:rPr>
        <w:t xml:space="preserve">We showed p(μₙ) = 1. For any θ ≠ μₙ, we have a(θ) &gt; 0.</w:t>
      </w:r>
    </w:p>
    <w:p>
      <w:pPr>
        <w:spacing w:after="60"/>
      </w:pPr>
      <w:r>
        <w:t xml:space="preserve">Now, p(θ) = Φ(b − a) + Φ(−a − b). For p(θ) = 1, we need Φ(b − a) + Φ(−a − b) = 1.</w:t>
      </w:r>
    </w:p>
    <w:p>
      <w:pPr>
        <w:spacing w:after="60"/>
      </w:pPr>
      <w:r>
        <w:t xml:space="preserve">This requires b − a = −(−a − b), i.e., b − a = a + b, which gives a = 0.</w:t>
      </w:r>
    </w:p>
    <w:p>
      <w:pPr>
        <w:spacing w:after="120"/>
      </w:pPr>
      <w:r>
        <w:t xml:space="preserve">Since a &gt; 0 for θ ≠ μₙ, we have p(θ) &lt; 1 for all θ ≠ μₙ.  ∎</w:t>
      </w:r>
    </w:p>
    <w:p>
      <w:pPr>
        <w:spacing w:after="120"/>
      </w:pPr>
      <w:r>
        <w:rPr>
          <w:b/>
          <w:bCs/>
        </w:rPr>
        <w:t xml:space="preserve">Key insight: </w:t>
      </w:r>
      <w:r>
        <w:t xml:space="preserve">Despite providing frequentist guarantees, WALDO's mode equals the Bayesian posterior mean (which, for the Normal conjugate case, also equals the MAP).</w:t>
      </w:r>
    </w:p>
    <w:p>
      <w:pPr>
        <w:pStyle w:val="Heading2"/>
      </w:pPr>
      <w:r>
        <w:rPr>
          <w:b/>
          <w:bCs/>
        </w:rPr>
        <w:t xml:space="preserve">5.2 The Mean: Closed-Form Expression</w:t>
      </w:r>
    </w:p>
    <w:p>
      <w:pPr>
        <w:spacing w:after="120"/>
      </w:pPr>
      <w:r>
        <w:t xml:space="preserve">The mean of the normalized p-value function is considerably more complex. We derive it via integration in standardized coordinates.</w:t>
      </w:r>
    </w:p>
    <w:p>
      <w:pPr>
        <w:spacing w:after="120"/>
      </w:pPr>
      <w:r>
        <w:rPr>
          <w:b/>
          <w:bCs/>
        </w:rPr>
        <w:t xml:space="preserve">Theorem 5 (Mean of WALDO Confidence Distribution). </w:t>
      </w:r>
      <w:r>
        <w:rPr>
          <w:i/>
          <w:iCs/>
        </w:rPr>
        <w:t xml:space="preserve">The mean is:</w:t>
      </w:r>
    </w:p>
    <w:p>
      <w:pPr>
        <w:spacing w:before="160" w:after="160"/>
        <w:jc w:val="center"/>
      </w:pPr>
      <w:r>
        <w:rPr>
          <w:b/>
          <w:bCs/>
          <w:sz w:val="24"/>
          <w:szCs w:val="24"/>
        </w:rPr>
        <w:t xml:space="preserve">E[θ] = μₙ + σ(w−1)/(2−w) · [(Δ² + 1)E + 2Δψ]/[ΔE + 2ψ]</w:t>
      </w:r>
    </w:p>
    <w:p>
      <w:pPr>
        <w:spacing w:after="120"/>
      </w:pPr>
      <w:r>
        <w:rPr>
          <w:i/>
          <w:iCs/>
        </w:rPr>
        <w:t xml:space="preserve">where Δ = (1−w)(μ₀ − D)/σ, E = 2Φ(Δ) − 1, and ψ = φ(Δ) is the standard normal density at Δ.</w:t>
      </w:r>
    </w:p>
    <w:p>
      <w:pPr>
        <w:spacing w:after="120"/>
      </w:pPr>
      <w:r>
        <w:rPr>
          <w:b/>
          <w:bCs/>
          <w:i/>
          <w:iCs/>
        </w:rPr>
        <w:t xml:space="preserve">Proof sketch. </w:t>
      </w:r>
      <w:r>
        <w:t xml:space="preserve">Define the normalization constant:</w:t>
      </w:r>
    </w:p>
    <w:p>
      <w:pPr>
        <w:spacing w:before="120" w:after="120"/>
        <w:jc w:val="center"/>
      </w:pPr>
      <w:r>
        <w:rPr>
          <w:i/>
          <w:iCs/>
          <w:sz w:val="22"/>
          <w:szCs w:val="22"/>
        </w:rPr>
        <w:t xml:space="preserve">I₀ = ∫ p(u) du = (2/[w(2−w)])[Δ(2Φ(Δ) − 1) + 2φ(Δ)]</w:t>
      </w:r>
    </w:p>
    <w:p>
      <w:pPr>
        <w:spacing w:after="120"/>
      </w:pPr>
      <w:r>
        <w:t xml:space="preserve">and the first moment:</w:t>
      </w:r>
    </w:p>
    <w:p>
      <w:pPr>
        <w:spacing w:before="120" w:after="120"/>
        <w:jc w:val="center"/>
      </w:pPr>
      <w:r>
        <w:rPr>
          <w:i/>
          <w:iCs/>
          <w:sz w:val="22"/>
          <w:szCs w:val="22"/>
        </w:rPr>
        <w:t xml:space="preserve">I₁ = ∫ u · p(u) du = (2(w−1)/[w²(2−w)²])[(Δ² + 1)(2Φ(Δ) − 1) + 2Δφ(Δ)]</w:t>
      </w:r>
    </w:p>
    <w:p>
      <w:pPr>
        <w:spacing w:after="120"/>
      </w:pPr>
      <w:r>
        <w:t xml:space="preserve">The result follows from E[u] = I₁/I₀ and converting back via θ = μₙ + wσu.  ∎</w:t>
      </w:r>
    </w:p>
    <w:p>
      <w:pPr>
        <w:spacing w:before="200" w:after="100"/>
      </w:pPr>
      <w:r>
        <w:rPr>
          <w:b/>
          <w:bCs/>
          <w:sz w:val="24"/>
          <w:szCs w:val="24"/>
        </w:rPr>
        <w:t xml:space="preserve">5.2.1 Special Cases</w:t>
      </w:r>
    </w:p>
    <w:p>
      <w:pPr>
        <w:pStyle w:val="ListParagraph"/>
        <w:numPr>
          <w:ilvl w:val="0"/>
          <w:numId w:val="3"/>
        </w:numPr>
        <w:spacing w:after="80"/>
      </w:pPr>
      <w:r>
        <w:rPr>
          <w:b/>
          <w:bCs/>
        </w:rPr>
        <w:t xml:space="preserve">Δ = 0 (D = μ₀, no prior-data conflict): </w:t>
      </w:r>
      <w:r>
        <w:t xml:space="preserve">The correction term vanishes: E[θ] = μₙ.</w:t>
      </w:r>
    </w:p>
    <w:p>
      <w:pPr>
        <w:pStyle w:val="ListParagraph"/>
        <w:numPr>
          <w:ilvl w:val="0"/>
          <w:numId w:val="3"/>
        </w:numPr>
        <w:spacing w:after="80"/>
      </w:pPr>
      <w:r>
        <w:rPr>
          <w:b/>
          <w:bCs/>
        </w:rPr>
        <w:t xml:space="preserve">w → 1 (uninformative prior): </w:t>
      </w:r>
      <w:r>
        <w:t xml:space="preserve">The factor (w−1)/(2−w) → 0, so E[θ] → μₙ → D (the MLE).</w:t>
      </w:r>
    </w:p>
    <w:p>
      <w:pPr>
        <w:pStyle w:val="ListParagraph"/>
        <w:numPr>
          <w:ilvl w:val="0"/>
          <w:numId w:val="3"/>
        </w:numPr>
        <w:spacing w:after="80"/>
      </w:pPr>
      <w:r>
        <w:rPr>
          <w:b/>
          <w:bCs/>
        </w:rPr>
        <w:t xml:space="preserve">General case: </w:t>
      </w:r>
      <w:r>
        <w:t xml:space="preserve">The mean lies strictly between μₙ and D: μₙ &lt; E[θ] &lt; D when D &gt; μ₀, and D &lt; E[θ] &lt; μₙ when D &lt; μ₀.</w:t>
      </w:r>
    </w:p>
    <w:p>
      <w:pPr>
        <w:spacing w:after="120"/>
      </w:pPr>
      <w:r>
        <w:rPr>
          <w:b/>
          <w:bCs/>
        </w:rPr>
        <w:t xml:space="preserve">Key insight: </w:t>
      </w:r>
      <w:r>
        <w:t xml:space="preserve">WALDO's mode equals the posterior mean, but its mean is pulled toward the MLE. This reflects WALDO's hybrid nature—it uses Bayesian machinery but imposes frequentist constraints that break the symmetry.</w:t>
      </w:r>
    </w:p>
    <w:p>
      <w:pPr>
        <w:pStyle w:val="Heading1"/>
      </w:pPr>
      <w:r>
        <w:rPr>
          <w:b/>
          <w:bCs/>
        </w:rPr>
        <w:t xml:space="preserve">6. Confidence Interval Widths</w:t>
      </w:r>
    </w:p>
    <w:p>
      <w:pPr>
        <w:pStyle w:val="Heading2"/>
      </w:pPr>
      <w:r>
        <w:rPr>
          <w:b/>
          <w:bCs/>
        </w:rPr>
        <w:t xml:space="preserve">6.1 Comparison of Three Methods</w:t>
      </w:r>
    </w:p>
    <w:p>
      <w:pPr>
        <w:spacing w:after="120"/>
      </w:pPr>
      <w:r>
        <w:t xml:space="preserve">For a level-(1−α) confidence interval, we compare three approaches:</w:t>
      </w:r>
    </w:p>
    <w:p>
      <w:pPr>
        <w:pStyle w:val="ListParagraph"/>
        <w:numPr>
          <w:ilvl w:val="0"/>
          <w:numId w:val="3"/>
        </w:numPr>
        <w:spacing w:after="60"/>
      </w:pPr>
      <w:r>
        <w:rPr>
          <w:b/>
          <w:bCs/>
        </w:rPr>
        <w:t xml:space="preserve">Wald/Likelihood CI: </w:t>
      </w:r>
      <w:r>
        <w:t xml:space="preserve">W_Wald = 2z_{1−α/2}σ (constant, centered at MLE D)</w:t>
      </w:r>
    </w:p>
    <w:p>
      <w:pPr>
        <w:pStyle w:val="ListParagraph"/>
        <w:numPr>
          <w:ilvl w:val="0"/>
          <w:numId w:val="3"/>
        </w:numPr>
        <w:spacing w:after="60"/>
      </w:pPr>
      <w:r>
        <w:rPr>
          <w:b/>
          <w:bCs/>
        </w:rPr>
        <w:t xml:space="preserve">Posterior Credible Interval: </w:t>
      </w:r>
      <w:r>
        <w:t xml:space="preserve">W_Post = 2z_{1−α/2}√w · σ (constant, centered at μₙ)</w:t>
      </w:r>
    </w:p>
    <w:p>
      <w:pPr>
        <w:pStyle w:val="ListParagraph"/>
        <w:numPr>
          <w:ilvl w:val="0"/>
          <w:numId w:val="3"/>
        </w:numPr>
        <w:spacing w:after="60"/>
      </w:pPr>
      <w:r>
        <w:rPr>
          <w:b/>
          <w:bCs/>
        </w:rPr>
        <w:t xml:space="preserve">WALDO CI: </w:t>
      </w:r>
      <w:r>
        <w:t xml:space="preserve">W_WALDO(Δ) varies with prior-data conflict (centered near μₙ, asymmetric)</w:t>
      </w:r>
    </w:p>
    <w:p>
      <w:pPr>
        <w:pStyle w:val="Heading2"/>
      </w:pPr>
      <w:r>
        <w:rPr>
          <w:b/>
          <w:bCs/>
        </w:rPr>
        <w:t xml:space="preserve">6.2 Key Findings</w:t>
      </w:r>
    </w:p>
    <w:p>
      <w:pPr>
        <w:pStyle w:val="ListParagraph"/>
        <w:numPr>
          <w:ilvl w:val="0"/>
          <w:numId w:val="3"/>
        </w:numPr>
        <w:spacing w:after="80"/>
      </w:pPr>
      <w:r>
        <w:rPr>
          <w:b/>
          <w:bCs/>
        </w:rPr>
        <w:t xml:space="preserve">At Δ = 0 (no conflict): </w:t>
      </w:r>
      <w:r>
        <w:t xml:space="preserve">W_Post &lt; W_WALDO &lt; W_Wald. WALDO is intermediate.</w:t>
      </w:r>
    </w:p>
    <w:p>
      <w:pPr>
        <w:pStyle w:val="ListParagraph"/>
        <w:numPr>
          <w:ilvl w:val="0"/>
          <w:numId w:val="3"/>
        </w:numPr>
        <w:spacing w:after="80"/>
      </w:pPr>
      <w:r>
        <w:rPr>
          <w:b/>
          <w:bCs/>
        </w:rPr>
        <w:t xml:space="preserve">At large |Δ| (strong conflict): </w:t>
      </w:r>
      <w:r>
        <w:t xml:space="preserve">W_WALDO &gt; W_Wald. WALDO becomes wider than the pure likelihood CI to maintain coverage while being centered near μₙ.</w:t>
      </w:r>
    </w:p>
    <w:p>
      <w:pPr>
        <w:pStyle w:val="ListParagraph"/>
        <w:numPr>
          <w:ilvl w:val="0"/>
          <w:numId w:val="3"/>
        </w:numPr>
        <w:spacing w:after="80"/>
      </w:pPr>
      <w:r>
        <w:rPr>
          <w:b/>
          <w:bCs/>
        </w:rPr>
        <w:t xml:space="preserve">Asymmetry: </w:t>
      </w:r>
      <w:r>
        <w:t xml:space="preserve">For Δ ≠ 0, the WALDO CI extends further in the direction of the MLE than away from it.</w:t>
      </w:r>
    </w:p>
    <w:p>
      <w:pPr>
        <w:spacing w:before="200" w:after="100"/>
      </w:pPr>
      <w:r>
        <w:rPr>
          <w:b/>
          <w:bCs/>
          <w:sz w:val="24"/>
          <w:szCs w:val="24"/>
        </w:rPr>
        <w:t xml:space="preserve">Numerical Example (w = 0.5, α = 0.05)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1600"/>
      </w:tblGrid>
      <w:tr>
        <w:trPr>
          <w:tblHeader/>
        </w:trPr>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Δ</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W_Wald</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W_Post</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W_WALDO</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Asym</w:t>
            </w:r>
          </w:p>
        </w:tc>
      </w:tr>
      <w:tr>
        <w:tc>
          <w:tcPr>
            <w:tcBorders>
              <w:top w:val="single" w:color="888888" w:sz="1"/>
              <w:left w:val="single" w:color="888888" w:sz="1"/>
              <w:bottom w:val="single" w:color="888888" w:sz="1"/>
              <w:right w:val="single" w:color="888888" w:sz="1"/>
            </w:tcBorders>
          </w:tcPr>
          <w:p>
            <w:pPr>
              <w:spacing w:after="120"/>
            </w:pPr>
            <w:r>
              <w:t xml:space="preserve">0</w:t>
            </w:r>
          </w:p>
        </w:tc>
        <w:tc>
          <w:tcPr>
            <w:tcBorders>
              <w:top w:val="single" w:color="888888" w:sz="1"/>
              <w:left w:val="single" w:color="888888" w:sz="1"/>
              <w:bottom w:val="single" w:color="888888" w:sz="1"/>
              <w:right w:val="single" w:color="888888" w:sz="1"/>
            </w:tcBorders>
          </w:tcPr>
          <w:p>
            <w:pPr>
              <w:spacing w:after="120"/>
            </w:pPr>
            <w:r>
              <w:t xml:space="preserve">3.92</w:t>
            </w:r>
          </w:p>
        </w:tc>
        <w:tc>
          <w:tcPr>
            <w:tcBorders>
              <w:top w:val="single" w:color="888888" w:sz="1"/>
              <w:left w:val="single" w:color="888888" w:sz="1"/>
              <w:bottom w:val="single" w:color="888888" w:sz="1"/>
              <w:right w:val="single" w:color="888888" w:sz="1"/>
            </w:tcBorders>
          </w:tcPr>
          <w:p>
            <w:pPr>
              <w:spacing w:after="120"/>
            </w:pPr>
            <w:r>
              <w:t xml:space="preserve">2.77</w:t>
            </w:r>
          </w:p>
        </w:tc>
        <w:tc>
          <w:tcPr>
            <w:tcBorders>
              <w:top w:val="single" w:color="888888" w:sz="1"/>
              <w:left w:val="single" w:color="888888" w:sz="1"/>
              <w:bottom w:val="single" w:color="888888" w:sz="1"/>
              <w:right w:val="single" w:color="888888" w:sz="1"/>
            </w:tcBorders>
          </w:tcPr>
          <w:p>
            <w:pPr>
              <w:spacing w:after="120"/>
            </w:pPr>
            <w:r>
              <w:t xml:space="preserve">3.29</w:t>
            </w:r>
          </w:p>
        </w:tc>
        <w:tc>
          <w:tcPr>
            <w:tcBorders>
              <w:top w:val="single" w:color="888888" w:sz="1"/>
              <w:left w:val="single" w:color="888888" w:sz="1"/>
              <w:bottom w:val="single" w:color="888888" w:sz="1"/>
              <w:right w:val="single" w:color="888888" w:sz="1"/>
            </w:tcBorders>
          </w:tcPr>
          <w:p>
            <w:pPr>
              <w:spacing w:after="120"/>
            </w:pPr>
            <w:r>
              <w:t xml:space="preserve">0.00</w:t>
            </w:r>
          </w:p>
        </w:tc>
      </w:tr>
      <w:tr>
        <w:tc>
          <w:tcPr>
            <w:tcBorders>
              <w:top w:val="single" w:color="888888" w:sz="1"/>
              <w:left w:val="single" w:color="888888" w:sz="1"/>
              <w:bottom w:val="single" w:color="888888" w:sz="1"/>
              <w:right w:val="single" w:color="888888" w:sz="1"/>
            </w:tcBorders>
          </w:tcPr>
          <w:p>
            <w:pPr>
              <w:spacing w:after="120"/>
            </w:pPr>
            <w:r>
              <w:t xml:space="preserve">−1</w:t>
            </w:r>
          </w:p>
        </w:tc>
        <w:tc>
          <w:tcPr>
            <w:tcBorders>
              <w:top w:val="single" w:color="888888" w:sz="1"/>
              <w:left w:val="single" w:color="888888" w:sz="1"/>
              <w:bottom w:val="single" w:color="888888" w:sz="1"/>
              <w:right w:val="single" w:color="888888" w:sz="1"/>
            </w:tcBorders>
          </w:tcPr>
          <w:p>
            <w:pPr>
              <w:spacing w:after="120"/>
            </w:pPr>
            <w:r>
              <w:t xml:space="preserve">3.92</w:t>
            </w:r>
          </w:p>
        </w:tc>
        <w:tc>
          <w:tcPr>
            <w:tcBorders>
              <w:top w:val="single" w:color="888888" w:sz="1"/>
              <w:left w:val="single" w:color="888888" w:sz="1"/>
              <w:bottom w:val="single" w:color="888888" w:sz="1"/>
              <w:right w:val="single" w:color="888888" w:sz="1"/>
            </w:tcBorders>
          </w:tcPr>
          <w:p>
            <w:pPr>
              <w:spacing w:after="120"/>
            </w:pPr>
            <w:r>
              <w:t xml:space="preserve">2.77</w:t>
            </w:r>
          </w:p>
        </w:tc>
        <w:tc>
          <w:tcPr>
            <w:tcBorders>
              <w:top w:val="single" w:color="888888" w:sz="1"/>
              <w:left w:val="single" w:color="888888" w:sz="1"/>
              <w:bottom w:val="single" w:color="888888" w:sz="1"/>
              <w:right w:val="single" w:color="888888" w:sz="1"/>
            </w:tcBorders>
          </w:tcPr>
          <w:p>
            <w:pPr>
              <w:spacing w:after="120"/>
            </w:pPr>
            <w:r>
              <w:t xml:space="preserve">3.63</w:t>
            </w:r>
          </w:p>
        </w:tc>
        <w:tc>
          <w:tcPr>
            <w:tcBorders>
              <w:top w:val="single" w:color="888888" w:sz="1"/>
              <w:left w:val="single" w:color="888888" w:sz="1"/>
              <w:bottom w:val="single" w:color="888888" w:sz="1"/>
              <w:right w:val="single" w:color="888888" w:sz="1"/>
            </w:tcBorders>
          </w:tcPr>
          <w:p>
            <w:pPr>
              <w:spacing w:after="120"/>
            </w:pPr>
            <w:r>
              <w:t xml:space="preserve">1.66</w:t>
            </w:r>
          </w:p>
        </w:tc>
      </w:tr>
      <w:tr>
        <w:tc>
          <w:tcPr>
            <w:tcBorders>
              <w:top w:val="single" w:color="888888" w:sz="1"/>
              <w:left w:val="single" w:color="888888" w:sz="1"/>
              <w:bottom w:val="single" w:color="888888" w:sz="1"/>
              <w:right w:val="single" w:color="888888" w:sz="1"/>
            </w:tcBorders>
          </w:tcPr>
          <w:p>
            <w:pPr>
              <w:spacing w:after="120"/>
            </w:pPr>
            <w:r>
              <w:t xml:space="preserve">−1.5</w:t>
            </w:r>
          </w:p>
        </w:tc>
        <w:tc>
          <w:tcPr>
            <w:tcBorders>
              <w:top w:val="single" w:color="888888" w:sz="1"/>
              <w:left w:val="single" w:color="888888" w:sz="1"/>
              <w:bottom w:val="single" w:color="888888" w:sz="1"/>
              <w:right w:val="single" w:color="888888" w:sz="1"/>
            </w:tcBorders>
          </w:tcPr>
          <w:p>
            <w:pPr>
              <w:spacing w:after="120"/>
            </w:pPr>
            <w:r>
              <w:t xml:space="preserve">3.92</w:t>
            </w:r>
          </w:p>
        </w:tc>
        <w:tc>
          <w:tcPr>
            <w:tcBorders>
              <w:top w:val="single" w:color="888888" w:sz="1"/>
              <w:left w:val="single" w:color="888888" w:sz="1"/>
              <w:bottom w:val="single" w:color="888888" w:sz="1"/>
              <w:right w:val="single" w:color="888888" w:sz="1"/>
            </w:tcBorders>
          </w:tcPr>
          <w:p>
            <w:pPr>
              <w:spacing w:after="120"/>
            </w:pPr>
            <w:r>
              <w:t xml:space="preserve">2.77</w:t>
            </w:r>
          </w:p>
        </w:tc>
        <w:tc>
          <w:tcPr>
            <w:tcBorders>
              <w:top w:val="single" w:color="888888" w:sz="1"/>
              <w:left w:val="single" w:color="888888" w:sz="1"/>
              <w:bottom w:val="single" w:color="888888" w:sz="1"/>
              <w:right w:val="single" w:color="888888" w:sz="1"/>
            </w:tcBorders>
          </w:tcPr>
          <w:p>
            <w:pPr>
              <w:spacing w:after="120"/>
            </w:pPr>
            <w:r>
              <w:t xml:space="preserve">4.21</w:t>
            </w:r>
          </w:p>
        </w:tc>
        <w:tc>
          <w:tcPr>
            <w:tcBorders>
              <w:top w:val="single" w:color="888888" w:sz="1"/>
              <w:left w:val="single" w:color="888888" w:sz="1"/>
              <w:bottom w:val="single" w:color="888888" w:sz="1"/>
              <w:right w:val="single" w:color="888888" w:sz="1"/>
            </w:tcBorders>
          </w:tcPr>
          <w:p>
            <w:pPr>
              <w:spacing w:after="120"/>
            </w:pPr>
            <w:r>
              <w:t xml:space="preserve">2.08</w:t>
            </w:r>
          </w:p>
        </w:tc>
      </w:tr>
      <w:tr>
        <w:tc>
          <w:tcPr>
            <w:tcBorders>
              <w:top w:val="single" w:color="888888" w:sz="1"/>
              <w:left w:val="single" w:color="888888" w:sz="1"/>
              <w:bottom w:val="single" w:color="888888" w:sz="1"/>
              <w:right w:val="single" w:color="888888" w:sz="1"/>
            </w:tcBorders>
          </w:tcPr>
          <w:p>
            <w:pPr>
              <w:spacing w:after="120"/>
            </w:pPr>
            <w:r>
              <w:t xml:space="preserve">−2.5</w:t>
            </w:r>
          </w:p>
        </w:tc>
        <w:tc>
          <w:tcPr>
            <w:tcBorders>
              <w:top w:val="single" w:color="888888" w:sz="1"/>
              <w:left w:val="single" w:color="888888" w:sz="1"/>
              <w:bottom w:val="single" w:color="888888" w:sz="1"/>
              <w:right w:val="single" w:color="888888" w:sz="1"/>
            </w:tcBorders>
          </w:tcPr>
          <w:p>
            <w:pPr>
              <w:spacing w:after="120"/>
            </w:pPr>
            <w:r>
              <w:t xml:space="preserve">3.92</w:t>
            </w:r>
          </w:p>
        </w:tc>
        <w:tc>
          <w:tcPr>
            <w:tcBorders>
              <w:top w:val="single" w:color="888888" w:sz="1"/>
              <w:left w:val="single" w:color="888888" w:sz="1"/>
              <w:bottom w:val="single" w:color="888888" w:sz="1"/>
              <w:right w:val="single" w:color="888888" w:sz="1"/>
            </w:tcBorders>
          </w:tcPr>
          <w:p>
            <w:pPr>
              <w:spacing w:after="120"/>
            </w:pPr>
            <w:r>
              <w:t xml:space="preserve">2.77</w:t>
            </w:r>
          </w:p>
        </w:tc>
        <w:tc>
          <w:tcPr>
            <w:tcBorders>
              <w:top w:val="single" w:color="888888" w:sz="1"/>
              <w:left w:val="single" w:color="888888" w:sz="1"/>
              <w:bottom w:val="single" w:color="888888" w:sz="1"/>
              <w:right w:val="single" w:color="888888" w:sz="1"/>
            </w:tcBorders>
          </w:tcPr>
          <w:p>
            <w:pPr>
              <w:spacing w:after="120"/>
            </w:pPr>
            <w:r>
              <w:t xml:space="preserve">5.53</w:t>
            </w:r>
          </w:p>
        </w:tc>
        <w:tc>
          <w:tcPr>
            <w:tcBorders>
              <w:top w:val="single" w:color="888888" w:sz="1"/>
              <w:left w:val="single" w:color="888888" w:sz="1"/>
              <w:bottom w:val="single" w:color="888888" w:sz="1"/>
              <w:right w:val="single" w:color="888888" w:sz="1"/>
            </w:tcBorders>
          </w:tcPr>
          <w:p>
            <w:pPr>
              <w:spacing w:after="120"/>
            </w:pPr>
            <w:r>
              <w:t xml:space="preserve">2.76</w:t>
            </w:r>
          </w:p>
        </w:tc>
      </w:tr>
      <w:tr>
        <w:tc>
          <w:tcPr>
            <w:tcBorders>
              <w:top w:val="single" w:color="888888" w:sz="1"/>
              <w:left w:val="single" w:color="888888" w:sz="1"/>
              <w:bottom w:val="single" w:color="888888" w:sz="1"/>
              <w:right w:val="single" w:color="888888" w:sz="1"/>
            </w:tcBorders>
          </w:tcPr>
          <w:p>
            <w:pPr>
              <w:spacing w:after="120"/>
            </w:pPr>
            <w:r>
              <w:t xml:space="preserve">−5</w:t>
            </w:r>
          </w:p>
        </w:tc>
        <w:tc>
          <w:tcPr>
            <w:tcBorders>
              <w:top w:val="single" w:color="888888" w:sz="1"/>
              <w:left w:val="single" w:color="888888" w:sz="1"/>
              <w:bottom w:val="single" w:color="888888" w:sz="1"/>
              <w:right w:val="single" w:color="888888" w:sz="1"/>
            </w:tcBorders>
          </w:tcPr>
          <w:p>
            <w:pPr>
              <w:spacing w:after="120"/>
            </w:pPr>
            <w:r>
              <w:t xml:space="preserve">3.92</w:t>
            </w:r>
          </w:p>
        </w:tc>
        <w:tc>
          <w:tcPr>
            <w:tcBorders>
              <w:top w:val="single" w:color="888888" w:sz="1"/>
              <w:left w:val="single" w:color="888888" w:sz="1"/>
              <w:bottom w:val="single" w:color="888888" w:sz="1"/>
              <w:right w:val="single" w:color="888888" w:sz="1"/>
            </w:tcBorders>
          </w:tcPr>
          <w:p>
            <w:pPr>
              <w:spacing w:after="120"/>
            </w:pPr>
            <w:r>
              <w:t xml:space="preserve">2.77</w:t>
            </w:r>
          </w:p>
        </w:tc>
        <w:tc>
          <w:tcPr>
            <w:tcBorders>
              <w:top w:val="single" w:color="888888" w:sz="1"/>
              <w:left w:val="single" w:color="888888" w:sz="1"/>
              <w:bottom w:val="single" w:color="888888" w:sz="1"/>
              <w:right w:val="single" w:color="888888" w:sz="1"/>
            </w:tcBorders>
          </w:tcPr>
          <w:p>
            <w:pPr>
              <w:spacing w:after="120"/>
            </w:pPr>
            <w:r>
              <w:t xml:space="preserve">8.86</w:t>
            </w:r>
          </w:p>
        </w:tc>
        <w:tc>
          <w:tcPr>
            <w:tcBorders>
              <w:top w:val="single" w:color="888888" w:sz="1"/>
              <w:left w:val="single" w:color="888888" w:sz="1"/>
              <w:bottom w:val="single" w:color="888888" w:sz="1"/>
              <w:right w:val="single" w:color="888888" w:sz="1"/>
            </w:tcBorders>
          </w:tcPr>
          <w:p>
            <w:pPr>
              <w:spacing w:after="120"/>
            </w:pPr>
            <w:r>
              <w:t xml:space="preserve">4.43</w:t>
            </w:r>
          </w:p>
        </w:tc>
      </w:tr>
    </w:tbl>
    <w:p>
      <w:pPr>
        <w:spacing w:after="120"/>
      </w:pPr>
      <w:r/>
    </w:p>
    <w:p>
      <w:pPr>
        <w:pStyle w:val="Heading1"/>
      </w:pPr>
      <w:r>
        <w:rPr>
          <w:b/>
          <w:bCs/>
        </w:rPr>
        <w:t xml:space="preserve">7. Coverage Properties</w:t>
      </w:r>
    </w:p>
    <w:p>
      <w:pPr>
        <w:spacing w:after="120"/>
      </w:pPr>
      <w:r>
        <w:t xml:space="preserve">We verify frequentist coverage by simulation, testing each method at various true θ values (n_sim = 5000, σ = σ₀ = 1, μ₀ = 0, α = 0.05):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200"/>
      </w:tblGrid>
      <w:tr>
        <w:trPr>
          <w:tblHeader/>
        </w:trPr>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θ_true</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Wald</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Posterior</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WALDO</w:t>
            </w:r>
          </w:p>
        </w:tc>
      </w:tr>
      <w:tr>
        <w:tc>
          <w:tcPr>
            <w:tcBorders>
              <w:top w:val="single" w:color="888888" w:sz="1"/>
              <w:left w:val="single" w:color="888888" w:sz="1"/>
              <w:bottom w:val="single" w:color="888888" w:sz="1"/>
              <w:right w:val="single" w:color="888888" w:sz="1"/>
            </w:tcBorders>
          </w:tcPr>
          <w:p>
            <w:pPr>
              <w:spacing w:after="120"/>
            </w:pPr>
            <w:r>
              <w:t xml:space="preserve">−3</w:t>
            </w:r>
          </w:p>
        </w:tc>
        <w:tc>
          <w:tcPr>
            <w:tcBorders>
              <w:top w:val="single" w:color="888888" w:sz="1"/>
              <w:left w:val="single" w:color="888888" w:sz="1"/>
              <w:bottom w:val="single" w:color="888888" w:sz="1"/>
              <w:right w:val="single" w:color="888888" w:sz="1"/>
            </w:tcBorders>
          </w:tcPr>
          <w:p>
            <w:pPr>
              <w:spacing w:after="120"/>
            </w:pPr>
            <w:r>
              <w:t xml:space="preserve">95.0%</w:t>
            </w:r>
          </w:p>
        </w:tc>
        <w:tc>
          <w:tcPr>
            <w:tcBorders>
              <w:top w:val="single" w:color="888888" w:sz="1"/>
              <w:left w:val="single" w:color="888888" w:sz="1"/>
              <w:bottom w:val="single" w:color="888888" w:sz="1"/>
              <w:right w:val="single" w:color="888888" w:sz="1"/>
            </w:tcBorders>
            <w:shd w:fill="FFCDD2" w:val="clear"/>
          </w:tcPr>
          <w:p>
            <w:pPr>
              <w:spacing w:after="120"/>
            </w:pPr>
            <w:r>
              <w:t xml:space="preserve">40.4%</w:t>
            </w:r>
          </w:p>
        </w:tc>
        <w:tc>
          <w:tcPr>
            <w:tcBorders>
              <w:top w:val="single" w:color="888888" w:sz="1"/>
              <w:left w:val="single" w:color="888888" w:sz="1"/>
              <w:bottom w:val="single" w:color="888888" w:sz="1"/>
              <w:right w:val="single" w:color="888888" w:sz="1"/>
            </w:tcBorders>
          </w:tcPr>
          <w:p>
            <w:pPr>
              <w:spacing w:after="120"/>
            </w:pPr>
            <w:r>
              <w:t xml:space="preserve">95.1%</w:t>
            </w:r>
          </w:p>
        </w:tc>
      </w:tr>
      <w:tr>
        <w:tc>
          <w:tcPr>
            <w:tcBorders>
              <w:top w:val="single" w:color="888888" w:sz="1"/>
              <w:left w:val="single" w:color="888888" w:sz="1"/>
              <w:bottom w:val="single" w:color="888888" w:sz="1"/>
              <w:right w:val="single" w:color="888888" w:sz="1"/>
            </w:tcBorders>
          </w:tcPr>
          <w:p>
            <w:pPr>
              <w:spacing w:after="120"/>
            </w:pPr>
            <w:r>
              <w:t xml:space="preserve">−1</w:t>
            </w:r>
          </w:p>
        </w:tc>
        <w:tc>
          <w:tcPr>
            <w:tcBorders>
              <w:top w:val="single" w:color="888888" w:sz="1"/>
              <w:left w:val="single" w:color="888888" w:sz="1"/>
              <w:bottom w:val="single" w:color="888888" w:sz="1"/>
              <w:right w:val="single" w:color="888888" w:sz="1"/>
            </w:tcBorders>
          </w:tcPr>
          <w:p>
            <w:pPr>
              <w:spacing w:after="120"/>
            </w:pPr>
            <w:r>
              <w:t xml:space="preserve">94.8%</w:t>
            </w:r>
          </w:p>
        </w:tc>
        <w:tc>
          <w:tcPr>
            <w:tcBorders>
              <w:top w:val="single" w:color="888888" w:sz="1"/>
              <w:left w:val="single" w:color="888888" w:sz="1"/>
              <w:bottom w:val="single" w:color="888888" w:sz="1"/>
              <w:right w:val="single" w:color="888888" w:sz="1"/>
            </w:tcBorders>
          </w:tcPr>
          <w:p>
            <w:pPr>
              <w:spacing w:after="120"/>
            </w:pPr>
            <w:r>
              <w:t xml:space="preserve">96.1%</w:t>
            </w:r>
          </w:p>
        </w:tc>
        <w:tc>
          <w:tcPr>
            <w:tcBorders>
              <w:top w:val="single" w:color="888888" w:sz="1"/>
              <w:left w:val="single" w:color="888888" w:sz="1"/>
              <w:bottom w:val="single" w:color="888888" w:sz="1"/>
              <w:right w:val="single" w:color="888888" w:sz="1"/>
            </w:tcBorders>
          </w:tcPr>
          <w:p>
            <w:pPr>
              <w:spacing w:after="120"/>
            </w:pPr>
            <w:r>
              <w:t xml:space="preserve">94.9%</w:t>
            </w:r>
          </w:p>
        </w:tc>
      </w:tr>
      <w:tr>
        <w:tc>
          <w:tcPr>
            <w:tcBorders>
              <w:top w:val="single" w:color="888888" w:sz="1"/>
              <w:left w:val="single" w:color="888888" w:sz="1"/>
              <w:bottom w:val="single" w:color="888888" w:sz="1"/>
              <w:right w:val="single" w:color="888888" w:sz="1"/>
            </w:tcBorders>
          </w:tcPr>
          <w:p>
            <w:pPr>
              <w:spacing w:after="120"/>
            </w:pPr>
            <w:r>
              <w:t xml:space="preserve">0</w:t>
            </w:r>
          </w:p>
        </w:tc>
        <w:tc>
          <w:tcPr>
            <w:tcBorders>
              <w:top w:val="single" w:color="888888" w:sz="1"/>
              <w:left w:val="single" w:color="888888" w:sz="1"/>
              <w:bottom w:val="single" w:color="888888" w:sz="1"/>
              <w:right w:val="single" w:color="888888" w:sz="1"/>
            </w:tcBorders>
          </w:tcPr>
          <w:p>
            <w:pPr>
              <w:spacing w:after="120"/>
            </w:pPr>
            <w:r>
              <w:t xml:space="preserve">95.0%</w:t>
            </w:r>
          </w:p>
        </w:tc>
        <w:tc>
          <w:tcPr>
            <w:tcBorders>
              <w:top w:val="single" w:color="888888" w:sz="1"/>
              <w:left w:val="single" w:color="888888" w:sz="1"/>
              <w:bottom w:val="single" w:color="888888" w:sz="1"/>
              <w:right w:val="single" w:color="888888" w:sz="1"/>
            </w:tcBorders>
          </w:tcPr>
          <w:p>
            <w:pPr>
              <w:spacing w:after="120"/>
            </w:pPr>
            <w:r>
              <w:t xml:space="preserve">99.3%</w:t>
            </w:r>
          </w:p>
        </w:tc>
        <w:tc>
          <w:tcPr>
            <w:tcBorders>
              <w:top w:val="single" w:color="888888" w:sz="1"/>
              <w:left w:val="single" w:color="888888" w:sz="1"/>
              <w:bottom w:val="single" w:color="888888" w:sz="1"/>
              <w:right w:val="single" w:color="888888" w:sz="1"/>
            </w:tcBorders>
          </w:tcPr>
          <w:p>
            <w:pPr>
              <w:spacing w:after="120"/>
            </w:pPr>
            <w:r>
              <w:t xml:space="preserve">95.0%</w:t>
            </w:r>
          </w:p>
        </w:tc>
      </w:tr>
      <w:tr>
        <w:tc>
          <w:tcPr>
            <w:tcBorders>
              <w:top w:val="single" w:color="888888" w:sz="1"/>
              <w:left w:val="single" w:color="888888" w:sz="1"/>
              <w:bottom w:val="single" w:color="888888" w:sz="1"/>
              <w:right w:val="single" w:color="888888" w:sz="1"/>
            </w:tcBorders>
          </w:tcPr>
          <w:p>
            <w:pPr>
              <w:spacing w:after="120"/>
            </w:pPr>
            <w:r>
              <w:t xml:space="preserve">1</w:t>
            </w:r>
          </w:p>
        </w:tc>
        <w:tc>
          <w:tcPr>
            <w:tcBorders>
              <w:top w:val="single" w:color="888888" w:sz="1"/>
              <w:left w:val="single" w:color="888888" w:sz="1"/>
              <w:bottom w:val="single" w:color="888888" w:sz="1"/>
              <w:right w:val="single" w:color="888888" w:sz="1"/>
            </w:tcBorders>
          </w:tcPr>
          <w:p>
            <w:pPr>
              <w:spacing w:after="120"/>
            </w:pPr>
            <w:r>
              <w:t xml:space="preserve">95.0%</w:t>
            </w:r>
          </w:p>
        </w:tc>
        <w:tc>
          <w:tcPr>
            <w:tcBorders>
              <w:top w:val="single" w:color="888888" w:sz="1"/>
              <w:left w:val="single" w:color="888888" w:sz="1"/>
              <w:bottom w:val="single" w:color="888888" w:sz="1"/>
              <w:right w:val="single" w:color="888888" w:sz="1"/>
            </w:tcBorders>
          </w:tcPr>
          <w:p>
            <w:pPr>
              <w:spacing w:after="120"/>
            </w:pPr>
            <w:r>
              <w:t xml:space="preserve">96.3%</w:t>
            </w:r>
          </w:p>
        </w:tc>
        <w:tc>
          <w:tcPr>
            <w:tcBorders>
              <w:top w:val="single" w:color="888888" w:sz="1"/>
              <w:left w:val="single" w:color="888888" w:sz="1"/>
              <w:bottom w:val="single" w:color="888888" w:sz="1"/>
              <w:right w:val="single" w:color="888888" w:sz="1"/>
            </w:tcBorders>
          </w:tcPr>
          <w:p>
            <w:pPr>
              <w:spacing w:after="120"/>
            </w:pPr>
            <w:r>
              <w:t xml:space="preserve">95.2%</w:t>
            </w:r>
          </w:p>
        </w:tc>
      </w:tr>
      <w:tr>
        <w:tc>
          <w:tcPr>
            <w:tcBorders>
              <w:top w:val="single" w:color="888888" w:sz="1"/>
              <w:left w:val="single" w:color="888888" w:sz="1"/>
              <w:bottom w:val="single" w:color="888888" w:sz="1"/>
              <w:right w:val="single" w:color="888888" w:sz="1"/>
            </w:tcBorders>
          </w:tcPr>
          <w:p>
            <w:pPr>
              <w:spacing w:after="120"/>
            </w:pPr>
            <w:r>
              <w:t xml:space="preserve">3</w:t>
            </w:r>
          </w:p>
        </w:tc>
        <w:tc>
          <w:tcPr>
            <w:tcBorders>
              <w:top w:val="single" w:color="888888" w:sz="1"/>
              <w:left w:val="single" w:color="888888" w:sz="1"/>
              <w:bottom w:val="single" w:color="888888" w:sz="1"/>
              <w:right w:val="single" w:color="888888" w:sz="1"/>
            </w:tcBorders>
          </w:tcPr>
          <w:p>
            <w:pPr>
              <w:spacing w:after="120"/>
            </w:pPr>
            <w:r>
              <w:t xml:space="preserve">95.6%</w:t>
            </w:r>
          </w:p>
        </w:tc>
        <w:tc>
          <w:tcPr>
            <w:tcBorders>
              <w:top w:val="single" w:color="888888" w:sz="1"/>
              <w:left w:val="single" w:color="888888" w:sz="1"/>
              <w:bottom w:val="single" w:color="888888" w:sz="1"/>
              <w:right w:val="single" w:color="888888" w:sz="1"/>
            </w:tcBorders>
            <w:shd w:fill="FFCDD2" w:val="clear"/>
          </w:tcPr>
          <w:p>
            <w:pPr>
              <w:spacing w:after="120"/>
            </w:pPr>
            <w:r>
              <w:t xml:space="preserve">40.1%</w:t>
            </w:r>
          </w:p>
        </w:tc>
        <w:tc>
          <w:tcPr>
            <w:tcBorders>
              <w:top w:val="single" w:color="888888" w:sz="1"/>
              <w:left w:val="single" w:color="888888" w:sz="1"/>
              <w:bottom w:val="single" w:color="888888" w:sz="1"/>
              <w:right w:val="single" w:color="888888" w:sz="1"/>
            </w:tcBorders>
          </w:tcPr>
          <w:p>
            <w:pPr>
              <w:spacing w:after="120"/>
            </w:pPr>
            <w:r>
              <w:t xml:space="preserve">95.3%</w:t>
            </w:r>
          </w:p>
        </w:tc>
      </w:tr>
      <w:tr>
        <w:tc>
          <w:tcPr>
            <w:tcBorders>
              <w:top w:val="single" w:color="888888" w:sz="1"/>
              <w:left w:val="single" w:color="888888" w:sz="1"/>
              <w:bottom w:val="single" w:color="888888" w:sz="1"/>
              <w:right w:val="single" w:color="888888" w:sz="1"/>
            </w:tcBorders>
          </w:tcPr>
          <w:p>
            <w:pPr>
              <w:spacing w:after="120"/>
            </w:pPr>
            <w:r>
              <w:t xml:space="preserve">5</w:t>
            </w:r>
          </w:p>
        </w:tc>
        <w:tc>
          <w:tcPr>
            <w:tcBorders>
              <w:top w:val="single" w:color="888888" w:sz="1"/>
              <w:left w:val="single" w:color="888888" w:sz="1"/>
              <w:bottom w:val="single" w:color="888888" w:sz="1"/>
              <w:right w:val="single" w:color="888888" w:sz="1"/>
            </w:tcBorders>
          </w:tcPr>
          <w:p>
            <w:pPr>
              <w:spacing w:after="120"/>
            </w:pPr>
            <w:r>
              <w:t xml:space="preserve">95.1%</w:t>
            </w:r>
          </w:p>
        </w:tc>
        <w:tc>
          <w:tcPr>
            <w:tcBorders>
              <w:top w:val="single" w:color="888888" w:sz="1"/>
              <w:left w:val="single" w:color="888888" w:sz="1"/>
              <w:bottom w:val="single" w:color="888888" w:sz="1"/>
              <w:right w:val="single" w:color="888888" w:sz="1"/>
            </w:tcBorders>
            <w:shd w:fill="FFCDD2" w:val="clear"/>
          </w:tcPr>
          <w:p>
            <w:pPr>
              <w:spacing w:after="120"/>
            </w:pPr>
            <w:r>
              <w:t xml:space="preserve">1.2%</w:t>
            </w:r>
          </w:p>
        </w:tc>
        <w:tc>
          <w:tcPr>
            <w:tcBorders>
              <w:top w:val="single" w:color="888888" w:sz="1"/>
              <w:left w:val="single" w:color="888888" w:sz="1"/>
              <w:bottom w:val="single" w:color="888888" w:sz="1"/>
              <w:right w:val="single" w:color="888888" w:sz="1"/>
            </w:tcBorders>
          </w:tcPr>
          <w:p>
            <w:pPr>
              <w:spacing w:after="120"/>
            </w:pPr>
            <w:r>
              <w:t xml:space="preserve">95.1%</w:t>
            </w:r>
          </w:p>
        </w:tc>
      </w:tr>
    </w:tbl>
    <w:p>
      <w:pPr>
        <w:spacing w:after="120"/>
      </w:pPr>
      <w:r/>
    </w:p>
    <w:p>
      <w:pPr>
        <w:spacing w:after="120"/>
      </w:pPr>
      <w:r>
        <w:rPr>
          <w:b/>
          <w:bCs/>
        </w:rPr>
        <w:t xml:space="preserve">Key observation: </w:t>
      </w:r>
      <w:r>
        <w:t xml:space="preserve">The posterior credible interval has catastrophically wrong coverage when θ ≠ μ₀, dropping to just 1.2% at θ = 5. Both Wald and WALDO maintain nominal 95% coverage everywhere.</w:t>
      </w:r>
    </w:p>
    <w:p>
      <w:pPr>
        <w:pStyle w:val="Heading1"/>
      </w:pPr>
      <w:r>
        <w:rPr>
          <w:b/>
          <w:bCs/>
        </w:rPr>
        <w:t xml:space="preserve">8. The Prior Ancillary: A Unified Framework</w:t>
      </w:r>
    </w:p>
    <w:p>
      <w:pPr>
        <w:pStyle w:val="Heading2"/>
      </w:pPr>
      <w:r>
        <w:rPr>
          <w:b/>
          <w:bCs/>
        </w:rPr>
        <w:t xml:space="preserve">8.1 Classical Ancillary Statistics</w:t>
      </w:r>
    </w:p>
    <w:p>
      <w:pPr>
        <w:spacing w:after="120"/>
      </w:pPr>
      <w:r>
        <w:rPr>
          <w:b/>
          <w:bCs/>
        </w:rPr>
        <w:t xml:space="preserve">Definition. </w:t>
      </w:r>
      <w:r>
        <w:t xml:space="preserve">An </w:t>
      </w:r>
      <w:r>
        <w:rPr>
          <w:b/>
          <w:bCs/>
        </w:rPr>
        <w:t xml:space="preserve">ancillary statistic </w:t>
      </w:r>
      <w:r>
        <w:t xml:space="preserve">A(D) has a distribution that does not depend on θ.</w:t>
      </w:r>
    </w:p>
    <w:p>
      <w:pPr>
        <w:spacing w:after="120"/>
      </w:pPr>
      <w:r>
        <w:t xml:space="preserve">Fisher's insight was that we should condition inference on ancillaries because they characterize the "informativeness" of the data without being directly informative about θ. Barndorff-Nielsen's ancillary complement generalizes this: decompose the data as (θ̂, a) where θ̂ is the MLE and a captures "shape" information. Conditioning on a yields the r* correction.</w:t>
      </w:r>
    </w:p>
    <w:p>
      <w:pPr>
        <w:pStyle w:val="Heading2"/>
      </w:pPr>
      <w:r>
        <w:rPr>
          <w:b/>
          <w:bCs/>
        </w:rPr>
        <w:t xml:space="preserve">8.2 The Prior Residual as a "Prior Ancillary"</w:t>
      </w:r>
    </w:p>
    <w:p>
      <w:pPr>
        <w:spacing w:after="120"/>
      </w:pPr>
      <w:r>
        <w:t xml:space="preserve">In pure likelihood inference, ancillaries are well-defined. But once we introduce a prior, something subtle happens. Define the prior residual:</w:t>
      </w:r>
    </w:p>
    <w:p>
      <w:pPr>
        <w:spacing w:before="160" w:after="160"/>
        <w:jc w:val="center"/>
      </w:pPr>
      <w:r>
        <w:rPr>
          <w:b/>
          <w:bCs/>
          <w:sz w:val="24"/>
          <w:szCs w:val="24"/>
        </w:rPr>
        <w:t xml:space="preserve">δ(θ) ≡ (θ − μ₀)/σ₀</w:t>
      </w:r>
    </w:p>
    <w:p>
      <w:pPr>
        <w:spacing w:after="120"/>
      </w:pPr>
      <w:r>
        <w:t xml:space="preserve">This is NOT a classical ancillary—it depends on θ. But it plays an analogous role: it characterizes how "informative" or "misleading" the prior is for a given θ, without being a function of the data.</w:t>
      </w:r>
    </w:p>
    <w:p>
      <w:pPr>
        <w:spacing w:after="120"/>
      </w:pPr>
      <w:r>
        <w:rPr>
          <w:b/>
          <w:bCs/>
        </w:rPr>
        <w:t xml:space="preserve">Key observation: </w:t>
      </w:r>
      <w:r>
        <w:t xml:space="preserve">WALDO's θ-dependent critical values are equivalent to conditioning on δ(θ).</w:t>
      </w:r>
    </w:p>
    <w:p>
      <w:pPr>
        <w:pStyle w:val="Heading2"/>
      </w:pPr>
      <w:r>
        <w:rPr>
          <w:b/>
          <w:bCs/>
        </w:rPr>
        <w:t xml:space="preserve">8.3 Formalizing the Prior Ancillary</w:t>
      </w:r>
    </w:p>
    <w:p>
      <w:pPr>
        <w:spacing w:after="120"/>
      </w:pPr>
      <w:r>
        <w:t xml:space="preserve">Recall that the non-centrality parameter λ(θ) = (1−w)²δ(θ)² · (σ²/σ₀²)/w². Defining κ = (1−w)σ/(wσ₀) (a fixed constant), we have:</w:t>
      </w:r>
    </w:p>
    <w:p>
      <w:pPr>
        <w:spacing w:before="120" w:after="120"/>
        <w:jc w:val="center"/>
      </w:pPr>
      <w:r>
        <w:rPr>
          <w:i/>
          <w:iCs/>
          <w:sz w:val="22"/>
          <w:szCs w:val="22"/>
        </w:rPr>
        <w:t xml:space="preserve">λ(θ) = δ(θ)² · κ²</w:t>
      </w:r>
    </w:p>
    <w:p>
      <w:pPr>
        <w:spacing w:after="120"/>
      </w:pPr>
      <w:r>
        <w:t xml:space="preserve">The non-centrality is purely a function of the prior residual δ(θ). WALDO achieves:</w:t>
      </w:r>
    </w:p>
    <w:p>
      <w:pPr>
        <w:spacing w:before="160" w:after="160"/>
        <w:jc w:val="center"/>
      </w:pPr>
      <w:r>
        <w:rPr>
          <w:b/>
          <w:bCs/>
          <w:sz w:val="24"/>
          <w:szCs w:val="24"/>
        </w:rPr>
        <w:t xml:space="preserve">P(θ ∈ CI(D) | θ, δ(θ) = δ) = 1−α  for all δ</w:t>
      </w:r>
    </w:p>
    <w:p>
      <w:pPr>
        <w:spacing w:after="120"/>
      </w:pPr>
      <w:r>
        <w:t xml:space="preserve">This is conditional coverage given the prior ancillary—a much stronger property than marginal coverage.</w:t>
      </w:r>
    </w:p>
    <w:p>
      <w:pPr>
        <w:pStyle w:val="Heading2"/>
      </w:pPr>
      <w:r>
        <w:rPr>
          <w:b/>
          <w:bCs/>
        </w:rPr>
        <w:t xml:space="preserve">8.4 The Unified Principle</w:t>
      </w:r>
    </w:p>
    <w:p>
      <w:pPr>
        <w:spacing w:after="120"/>
      </w:pPr>
      <w:r>
        <w:t xml:space="preserve">Comparing the two frameworks:</w:t>
      </w:r>
    </w:p>
    <w:p>
      <w:pPr>
        <w:pStyle w:val="ListParagraph"/>
        <w:numPr>
          <w:ilvl w:val="0"/>
          <w:numId w:val="3"/>
        </w:numPr>
        <w:spacing w:after="60"/>
      </w:pPr>
      <w:r>
        <w:rPr>
          <w:b/>
          <w:bCs/>
        </w:rPr>
        <w:t xml:space="preserve">Fraser: </w:t>
      </w:r>
      <w:r>
        <w:t xml:space="preserve">P(θ ∈ CI(D) | θ, A(D) = a) = 1−α — condition on data ancillary</w:t>
      </w:r>
    </w:p>
    <w:p>
      <w:pPr>
        <w:pStyle w:val="ListParagraph"/>
        <w:numPr>
          <w:ilvl w:val="0"/>
          <w:numId w:val="3"/>
        </w:numPr>
        <w:spacing w:after="60"/>
      </w:pPr>
      <w:r>
        <w:rPr>
          <w:b/>
          <w:bCs/>
        </w:rPr>
        <w:t xml:space="preserve">WALDO: </w:t>
      </w:r>
      <w:r>
        <w:t xml:space="preserve">P(θ ∈ CI(D) | θ, δ(θ) = δ) = 1−α — condition on "prior ancillary"</w:t>
      </w:r>
    </w:p>
    <w:p>
      <w:pPr>
        <w:spacing w:after="120"/>
      </w:pPr>
      <w:r>
        <w:t xml:space="preserve">Both frameworks implement the same meta-principle: "Condition on any auxiliary quantity that affects the operating characteristics of inference but doesn't directly inform about θ."</w:t>
      </w:r>
    </w:p>
    <w:p>
      <w:pPr>
        <w:spacing w:after="120"/>
      </w:pPr>
      <w:r>
        <w:t xml:space="preserve">For Fraser, this auxiliary is "which region of the sample space are we in?"—captured by the ancillary complement. For WALDO, this auxiliary is "which region of the prior's support are we in?"—captured by the prior residual. The insight of WALDO is that it implicitly marginalizes over the data ancillary while conditioning on the prior ancillary—achieving valid frequentist inference while retaining Bayesian efficiency where the prior is trustworthy.</w:t>
      </w:r>
    </w:p>
    <w:p>
      <w:pPr>
        <w:pStyle w:val="Heading1"/>
      </w:pPr>
      <w:r>
        <w:rPr>
          <w:b/>
          <w:bCs/>
        </w:rPr>
        <w:t xml:space="preserve">9. The Tilted Posterior Framework</w:t>
      </w:r>
    </w:p>
    <w:p>
      <w:pPr>
        <w:spacing w:after="120"/>
      </w:pPr>
      <w:r>
        <w:t xml:space="preserve">The preceding analysis shows that WALDO maintains frequentist coverage but can have very wide CIs when prior-data conflict is large. This motivates a natural question: can we adaptively reduce reliance on the prior when it appears misspecified? We address this through posterior tilting.</w:t>
      </w:r>
    </w:p>
    <w:p>
      <w:pPr>
        <w:pStyle w:val="Heading2"/>
      </w:pPr>
      <w:r>
        <w:rPr>
          <w:b/>
          <w:bCs/>
        </w:rPr>
        <w:t xml:space="preserve">9.1 Definition and Motivation</w:t>
      </w:r>
    </w:p>
    <w:p>
      <w:pPr>
        <w:spacing w:after="120"/>
      </w:pPr>
      <w:r>
        <w:t xml:space="preserve">We introduce a one-parameter family of tilted posteriors that interpolate between the Bayesian posterior and the likelihood:</w:t>
      </w:r>
    </w:p>
    <w:p>
      <w:pPr>
        <w:spacing w:before="160" w:after="160"/>
        <w:jc w:val="center"/>
      </w:pPr>
      <w:r>
        <w:rPr>
          <w:b/>
          <w:bCs/>
          <w:sz w:val="24"/>
          <w:szCs w:val="24"/>
        </w:rPr>
        <w:t xml:space="preserve">q(θ; η) ∝ p(θ|D) · [π(θ)]^{−η} ∝ L(θ) · [π(θ)]^{1−η}</w:t>
      </w:r>
    </w:p>
    <w:p>
      <w:pPr>
        <w:spacing w:after="120"/>
      </w:pPr>
      <w:r>
        <w:t xml:space="preserve">The tilting parameter η ∈ [0,1] controls the degree of prior influence:</w:t>
      </w:r>
    </w:p>
    <w:p>
      <w:pPr>
        <w:pStyle w:val="ListParagraph"/>
        <w:numPr>
          <w:ilvl w:val="0"/>
          <w:numId w:val="3"/>
        </w:numPr>
        <w:spacing w:after="60"/>
      </w:pPr>
      <w:r>
        <w:rPr>
          <w:b/>
          <w:bCs/>
        </w:rPr>
        <w:t xml:space="preserve">η = 0: </w:t>
      </w:r>
      <w:r>
        <w:t xml:space="preserve">Standard posterior p(θ|D) — full Bayesian inference (WALDO)</w:t>
      </w:r>
    </w:p>
    <w:p>
      <w:pPr>
        <w:pStyle w:val="ListParagraph"/>
        <w:numPr>
          <w:ilvl w:val="0"/>
          <w:numId w:val="3"/>
        </w:numPr>
        <w:spacing w:after="60"/>
      </w:pPr>
      <w:r>
        <w:rPr>
          <w:b/>
          <w:bCs/>
        </w:rPr>
        <w:t xml:space="preserve">η = 1: </w:t>
      </w:r>
      <w:r>
        <w:t xml:space="preserve">Likelihood L(θ) — pure frequentist inference (Wald)</w:t>
      </w:r>
    </w:p>
    <w:p>
      <w:pPr>
        <w:pStyle w:val="ListParagraph"/>
        <w:numPr>
          <w:ilvl w:val="0"/>
          <w:numId w:val="3"/>
        </w:numPr>
        <w:spacing w:after="60"/>
      </w:pPr>
      <w:r>
        <w:rPr>
          <w:b/>
          <w:bCs/>
        </w:rPr>
        <w:t xml:space="preserve">η ∈ (0,1): </w:t>
      </w:r>
      <w:r>
        <w:t xml:space="preserve">Intermediate compromise distributions</w:t>
      </w:r>
    </w:p>
    <w:p>
      <w:pPr>
        <w:spacing w:after="120"/>
      </w:pPr>
      <w:r>
        <w:t xml:space="preserve">This framework is equivalent to using a "powered prior" π(θ)^{1−η} (Ibrahim &amp; Chen, 2000), which flattens the prior as η increases.</w:t>
      </w:r>
    </w:p>
    <w:p>
      <w:pPr>
        <w:pStyle w:val="Heading2"/>
      </w:pPr>
      <w:r>
        <w:rPr>
          <w:b/>
          <w:bCs/>
        </w:rPr>
        <w:t xml:space="preserve">9.2 Tilted Parameters in the Normal Case</w:t>
      </w:r>
    </w:p>
    <w:p>
      <w:pPr>
        <w:spacing w:after="120"/>
      </w:pPr>
      <w:r>
        <w:rPr>
          <w:b/>
          <w:bCs/>
        </w:rPr>
        <w:t xml:space="preserve">Theorem 6. </w:t>
      </w:r>
      <w:r>
        <w:rPr>
          <w:i/>
          <w:iCs/>
        </w:rPr>
        <w:t xml:space="preserve">For the conjugate Normal model, the tilted posterior q(θ; η) is Gaussian with parameters:</w:t>
      </w:r>
    </w:p>
    <w:p>
      <w:pPr>
        <w:spacing w:before="120" w:after="120"/>
        <w:jc w:val="center"/>
      </w:pPr>
      <w:r>
        <w:rPr>
          <w:i/>
          <w:iCs/>
          <w:sz w:val="22"/>
          <w:szCs w:val="22"/>
        </w:rPr>
        <w:t xml:space="preserve">μ_η = [wD + (1−η)(1−w)μ₀] / [1 − η(1−w)]</w:t>
      </w:r>
    </w:p>
    <w:p>
      <w:pPr>
        <w:spacing w:before="120" w:after="120"/>
        <w:jc w:val="center"/>
      </w:pPr>
      <w:r>
        <w:rPr>
          <w:i/>
          <w:iCs/>
          <w:sz w:val="22"/>
          <w:szCs w:val="22"/>
        </w:rPr>
        <w:t xml:space="preserve">σ_η² = wσ² / [1 − η(1−w)]</w:t>
      </w:r>
    </w:p>
    <w:p>
      <w:pPr>
        <w:spacing w:before="80" w:after="60"/>
      </w:pPr>
      <w:r>
        <w:rPr>
          <w:b/>
          <w:bCs/>
          <w:i/>
          <w:iCs/>
        </w:rPr>
        <w:t xml:space="preserve">Proof. </w:t>
      </w:r>
      <w:r>
        <w:rPr>
          <w:i w:val="false"/>
          <w:iCs w:val="false"/>
        </w:rPr>
        <w:t xml:space="preserve">The tilted posterior has log-density proportional to:</w:t>
      </w:r>
    </w:p>
    <w:p>
      <w:pPr>
        <w:spacing w:after="60"/>
      </w:pPr>
      <w:r>
        <w:t xml:space="preserve">log q(θ; η) ∝ log L(θ) + (1−η) log π(θ)</w:t>
      </w:r>
    </w:p>
    <w:p>
      <w:pPr>
        <w:spacing w:after="60"/>
      </w:pPr>
      <w:r>
        <w:t xml:space="preserve">= −(D−θ)²/(2σ²) + (1−η)[−(θ−μ₀)²/(2σ₀²)]</w:t>
      </w:r>
    </w:p>
    <w:p>
      <w:pPr>
        <w:spacing w:after="60"/>
      </w:pPr>
      <w:r>
        <w:t xml:space="preserve">Combining quadratic terms: coefficient of θ² is −1/(2σ²) − (1−η)/(2σ₀²) = −[σ₀² + (1−η)σ²]/(2σ²σ₀²).</w:t>
      </w:r>
    </w:p>
    <w:p>
      <w:pPr>
        <w:spacing w:after="60"/>
      </w:pPr>
      <w:r>
        <w:t xml:space="preserve">The inverse variance is [σ₀² + (1−η)σ²]/(σ²σ₀²) = 1/σ² + (1−η)/σ₀².</w:t>
      </w:r>
    </w:p>
    <w:p>
      <w:pPr>
        <w:spacing w:after="60"/>
      </w:pPr>
      <w:r>
        <w:t xml:space="preserve">Using w = σ₀²/(σ² + σ₀²), algebra yields σ_η² = wσ²/[1 − η(1−w)].</w:t>
      </w:r>
    </w:p>
    <w:p>
      <w:pPr>
        <w:spacing w:after="120"/>
      </w:pPr>
      <w:r>
        <w:t xml:space="preserve">For the mean, matching linear coefficients gives the stated formula.  ∎</w:t>
      </w:r>
    </w:p>
    <w:p>
      <w:pPr>
        <w:spacing w:after="120"/>
      </w:pPr>
      <w:r>
        <w:rPr>
          <w:b/>
          <w:bCs/>
        </w:rPr>
        <w:t xml:space="preserve">Corollary. </w:t>
      </w:r>
      <w:r>
        <w:rPr>
          <w:i/>
          <w:iCs/>
        </w:rPr>
        <w:t xml:space="preserve">As η increases from 0 to 1:</w:t>
      </w:r>
    </w:p>
    <w:p>
      <w:pPr>
        <w:pStyle w:val="ListParagraph"/>
        <w:numPr>
          <w:ilvl w:val="0"/>
          <w:numId w:val="3"/>
        </w:numPr>
        <w:spacing w:after="60"/>
      </w:pPr>
      <w:r>
        <w:t xml:space="preserve">μ_η moves continuously from μₙ (posterior mean) toward D (MLE)</w:t>
      </w:r>
    </w:p>
    <w:p>
      <w:pPr>
        <w:pStyle w:val="ListParagraph"/>
        <w:numPr>
          <w:ilvl w:val="0"/>
          <w:numId w:val="3"/>
        </w:numPr>
        <w:spacing w:after="60"/>
      </w:pPr>
      <w:r>
        <w:t xml:space="preserve">σ_η² increases continuously from wσ² (posterior variance) toward σ² (likelihood variance)</w:t>
      </w:r>
    </w:p>
    <w:p>
      <w:pPr>
        <w:pStyle w:val="Heading2"/>
      </w:pPr>
      <w:r>
        <w:rPr>
          <w:b/>
          <w:bCs/>
        </w:rPr>
        <w:t xml:space="preserve">9.3 The Tilted WALDO Statistic</w:t>
      </w:r>
    </w:p>
    <w:p>
      <w:pPr>
        <w:spacing w:after="120"/>
      </w:pPr>
      <w:r>
        <w:t xml:space="preserve">We define the tilted WALDO statistic using the tilted posterior moments:</w:t>
      </w:r>
    </w:p>
    <w:p>
      <w:pPr>
        <w:spacing w:before="120" w:after="120"/>
        <w:jc w:val="center"/>
      </w:pPr>
      <w:r>
        <w:rPr>
          <w:i/>
          <w:iCs/>
          <w:sz w:val="22"/>
          <w:szCs w:val="22"/>
        </w:rPr>
        <w:t xml:space="preserve">τ_η(D; θ) = (μ_η − θ)² / σ_η²</w:t>
      </w:r>
    </w:p>
    <w:p>
      <w:pPr>
        <w:spacing w:after="120"/>
      </w:pPr>
      <w:r>
        <w:rPr>
          <w:b/>
          <w:bCs/>
        </w:rPr>
        <w:t xml:space="preserve">Theorem 7 (Tilted Distribution). </w:t>
      </w:r>
      <w:r>
        <w:rPr>
          <w:i/>
          <w:iCs/>
        </w:rPr>
        <w:t xml:space="preserve">Under the true parameter θ:</w:t>
      </w:r>
    </w:p>
    <w:p>
      <w:pPr>
        <w:spacing w:before="160" w:after="160"/>
        <w:jc w:val="center"/>
      </w:pPr>
      <w:r>
        <w:rPr>
          <w:b/>
          <w:bCs/>
          <w:sz w:val="24"/>
          <w:szCs w:val="24"/>
        </w:rPr>
        <w:t xml:space="preserve">τ_η | θ ~ w_η · χ²₁(λ_η(θ))</w:t>
      </w:r>
    </w:p>
    <w:p>
      <w:pPr>
        <w:spacing w:after="120"/>
      </w:pPr>
      <w:r>
        <w:rPr>
          <w:i/>
          <w:iCs/>
        </w:rPr>
        <w:t xml:space="preserve">where w_η = w/[1 − η(1−w)] and the non-centrality parameter satisfies:</w:t>
      </w:r>
    </w:p>
    <w:p>
      <w:pPr>
        <w:spacing w:before="160" w:after="160"/>
        <w:jc w:val="center"/>
      </w:pPr>
      <w:r>
        <w:rPr>
          <w:b/>
          <w:bCs/>
          <w:sz w:val="24"/>
          <w:szCs w:val="24"/>
        </w:rPr>
        <w:t xml:space="preserve">λ_η(θ) = (1−η)² · λ₀(θ)</w:t>
      </w:r>
    </w:p>
    <w:p>
      <w:pPr>
        <w:spacing w:before="80" w:after="60"/>
      </w:pPr>
      <w:r>
        <w:rPr>
          <w:b/>
          <w:bCs/>
          <w:i/>
          <w:iCs/>
        </w:rPr>
        <w:t xml:space="preserve">Proof. </w:t>
      </w:r>
      <w:r>
        <w:rPr>
          <w:i w:val="false"/>
          <w:iCs w:val="false"/>
        </w:rPr>
        <w:t xml:space="preserve">Following the same approach as Theorem 2, under true θ we have D ~ N(θ, σ²).</w:t>
      </w:r>
    </w:p>
    <w:p>
      <w:pPr>
        <w:spacing w:after="60"/>
      </w:pPr>
      <w:r>
        <w:t xml:space="preserve">The tilted posterior mean satisfies μ_η − θ ~ N(b_η(θ), v_η) where:</w:t>
      </w:r>
    </w:p>
    <w:p>
      <w:pPr>
        <w:spacing w:after="60"/>
      </w:pPr>
      <w:r>
        <w:t xml:space="preserve">b_η(θ) = (1−η)(1−w)(μ₀ − θ)/[1 − η(1−w)] = (1−η) · b₀(θ)/[1 − η(1−w)]</w:t>
      </w:r>
    </w:p>
    <w:p>
      <w:pPr>
        <w:spacing w:after="60"/>
      </w:pPr>
      <w:r>
        <w:t xml:space="preserve">v_η = w²σ²/[1 − η(1−w)]²</w:t>
      </w:r>
    </w:p>
    <w:p>
      <w:pPr>
        <w:spacing w:after="60"/>
      </w:pPr>
      <w:r>
        <w:t xml:space="preserve">The non-centrality is λ_η = b_η²/v_η. Substituting and simplifying:</w:t>
      </w:r>
    </w:p>
    <w:p>
      <w:pPr>
        <w:spacing w:after="120"/>
      </w:pPr>
      <w:r>
        <w:t xml:space="preserve">λ_η = (1−η)² · b₀²/v₀ · [1 − η(1−w)]²/[1 − η(1−w)]² = (1−η)² · λ₀(θ)  ∎</w:t>
      </w:r>
    </w:p>
    <w:p>
      <w:pPr>
        <w:spacing w:after="120"/>
      </w:pPr>
      <w:r>
        <w:rPr>
          <w:b/>
          <w:bCs/>
        </w:rPr>
        <w:t xml:space="preserve">Key insight: </w:t>
      </w:r>
      <w:r>
        <w:t xml:space="preserve">Tilting by η reduces the non-centrality by factor (1−η)². At η = 1, λ₁ = 0 and the statistic becomes central—we recover the Wald test. The tilting parameter directly controls how much the prior's "error" affects the test statistic distribution.</w:t>
      </w:r>
    </w:p>
    <w:p>
      <w:pPr>
        <w:pStyle w:val="Heading2"/>
      </w:pPr>
      <w:r>
        <w:rPr>
          <w:b/>
          <w:bCs/>
        </w:rPr>
        <w:t xml:space="preserve">9.4 The Tilted p-value Function</w:t>
      </w:r>
    </w:p>
    <w:p>
      <w:pPr>
        <w:spacing w:after="120"/>
      </w:pPr>
      <w:r>
        <w:rPr>
          <w:b/>
          <w:bCs/>
        </w:rPr>
        <w:t xml:space="preserve">Theorem 8 (Tilted p-value). </w:t>
      </w:r>
      <w:r>
        <w:rPr>
          <w:i/>
          <w:iCs/>
        </w:rPr>
        <w:t xml:space="preserve">The tilted p-value function is:</w:t>
      </w:r>
    </w:p>
    <w:p>
      <w:pPr>
        <w:spacing w:before="160" w:after="160"/>
        <w:jc w:val="center"/>
      </w:pPr>
      <w:r>
        <w:rPr>
          <w:b/>
          <w:bCs/>
          <w:sz w:val="24"/>
          <w:szCs w:val="24"/>
        </w:rPr>
        <w:t xml:space="preserve">p_η(θ) = Φ(b_η − a_η) + Φ(−a_η − b_η)</w:t>
      </w:r>
    </w:p>
    <w:p>
      <w:pPr>
        <w:spacing w:after="120"/>
      </w:pPr>
      <w:r>
        <w:rPr>
          <w:i/>
          <w:iCs/>
        </w:rPr>
        <w:t xml:space="preserve">where a_η(θ) = |μ_η − θ|/σ_η and b_η(θ) = (1−η)·Δ(θ)/√w.</w:t>
      </w:r>
    </w:p>
    <w:p>
      <w:pPr>
        <w:spacing w:after="120"/>
      </w:pPr>
      <w:r>
        <w:t xml:space="preserve">The proof follows directly from Theorem 3 applied to the tilted distribution. Note that b_η = (1−η)b₀, so as η → 1, b_η → 0 and the p-value becomes symmetric around D (the Wald case).</w:t>
      </w:r>
    </w:p>
    <w:p>
      <w:pPr>
        <w:pStyle w:val="Heading1"/>
      </w:pPr>
      <w:r>
        <w:rPr>
          <w:b/>
          <w:bCs/>
        </w:rPr>
        <w:t xml:space="preserve">10. Optimal Tilting</w:t>
      </w:r>
    </w:p>
    <w:p>
      <w:pPr>
        <w:pStyle w:val="Heading2"/>
      </w:pPr>
      <w:r>
        <w:rPr>
          <w:b/>
          <w:bCs/>
        </w:rPr>
        <w:t xml:space="preserve">10.1 The Optimization Problem</w:t>
      </w:r>
    </w:p>
    <w:p>
      <w:pPr>
        <w:spacing w:after="120"/>
      </w:pPr>
      <w:r>
        <w:t xml:space="preserve">Having established that tilting interpolates between WALDO and Wald, the central question becomes: what is the optimal choice of η?</w:t>
      </w:r>
    </w:p>
    <w:p>
      <w:pPr>
        <w:spacing w:after="120"/>
      </w:pPr>
      <w:r>
        <w:rPr>
          <w:b/>
          <w:bCs/>
        </w:rPr>
        <w:t xml:space="preserve">Definition. </w:t>
      </w:r>
      <w:r>
        <w:rPr>
          <w:i/>
          <w:iCs/>
        </w:rPr>
        <w:t xml:space="preserve">For each parameter value θ being tested, define the optimal tilting:</w:t>
      </w:r>
    </w:p>
    <w:p>
      <w:pPr>
        <w:spacing w:before="120" w:after="120"/>
        <w:jc w:val="center"/>
      </w:pPr>
      <w:r>
        <w:rPr>
          <w:i/>
          <w:iCs/>
          <w:sz w:val="22"/>
          <w:szCs w:val="22"/>
        </w:rPr>
        <w:t xml:space="preserve">η*(θ) = argmin_η E[W_η | θ = θ_true]  subject to correct coverage at θ</w:t>
      </w:r>
    </w:p>
    <w:p>
      <w:pPr>
        <w:spacing w:after="120"/>
      </w:pPr>
      <w:r>
        <w:t xml:space="preserve">where W_η is the CI width under tilting parameter η.</w:t>
      </w:r>
    </w:p>
    <w:p>
      <w:pPr>
        <w:spacing w:after="120"/>
      </w:pPr>
      <w:r>
        <w:rPr>
          <w:b/>
          <w:bCs/>
        </w:rPr>
        <w:t xml:space="preserve">Critical constraint: </w:t>
      </w:r>
      <w:r>
        <w:t xml:space="preserve">η* must be a function of θ (the parameter being tested), not of D (the observed data). This ensures proper frequentist coverage—the critical value at θ cannot depend on the random data D.</w:t>
      </w:r>
    </w:p>
    <w:p>
      <w:pPr>
        <w:spacing w:after="120"/>
      </w:pPr>
      <w:r>
        <w:t xml:space="preserve">Since |Δ(θ)| = (1−w)|μ₀ − θ|/σ depends on θ but not D, the optimal tilting can be written as η*(|Δ(θ)|)—a function of prior-data conflict at the tested parameter.</w:t>
      </w:r>
    </w:p>
    <w:p>
      <w:pPr>
        <w:pStyle w:val="Heading2"/>
      </w:pPr>
      <w:r>
        <w:rPr>
          <w:b/>
          <w:bCs/>
        </w:rPr>
        <w:t xml:space="preserve">10.2 Numerical Solution</w:t>
      </w:r>
    </w:p>
    <w:p>
      <w:pPr>
        <w:spacing w:after="120"/>
      </w:pPr>
      <w:r>
        <w:t xml:space="preserve">We solve for η*(|Δ|) numerically by simulating expected CI widths across a grid of |Δ| values and optimizing η at each point. The algorithm:</w:t>
      </w:r>
    </w:p>
    <w:p>
      <w:pPr>
        <w:pStyle w:val="ListParagraph"/>
        <w:numPr>
          <w:ilvl w:val="0"/>
          <w:numId w:val="4"/>
        </w:numPr>
        <w:spacing w:after="60"/>
      </w:pPr>
      <w:r>
        <w:t xml:space="preserve">For each |Δ| in a grid from 0 to 5:</w:t>
      </w:r>
    </w:p>
    <w:p>
      <w:pPr>
        <w:pStyle w:val="ListParagraph"/>
        <w:numPr>
          <w:ilvl w:val="0"/>
          <w:numId w:val="4"/>
        </w:numPr>
        <w:spacing w:after="60"/>
      </w:pPr>
      <w:r>
        <w:t xml:space="preserve">For each candidate η ∈ [0, 1]:</w:t>
      </w:r>
    </w:p>
    <w:p>
      <w:pPr>
        <w:pStyle w:val="ListParagraph"/>
        <w:numPr>
          <w:ilvl w:val="0"/>
          <w:numId w:val="4"/>
        </w:numPr>
        <w:spacing w:after="60"/>
      </w:pPr>
      <w:r>
        <w:t xml:space="preserve">Simulate 5000 data draws D ~ N(θ, σ²) where θ is chosen to give the target |Δ|</w:t>
      </w:r>
    </w:p>
    <w:p>
      <w:pPr>
        <w:pStyle w:val="ListParagraph"/>
        <w:numPr>
          <w:ilvl w:val="0"/>
          <w:numId w:val="4"/>
        </w:numPr>
        <w:spacing w:after="60"/>
      </w:pPr>
      <w:r>
        <w:t xml:space="preserve">For each D, compute the tilted CI and record its width</w:t>
      </w:r>
    </w:p>
    <w:p>
      <w:pPr>
        <w:pStyle w:val="ListParagraph"/>
        <w:numPr>
          <w:ilvl w:val="0"/>
          <w:numId w:val="4"/>
        </w:numPr>
        <w:spacing w:after="60"/>
      </w:pPr>
      <w:r>
        <w:t xml:space="preserve">Select η minimizing mean width while maintaining ≥94.5% coverage</w:t>
      </w:r>
    </w:p>
    <w:p>
      <w:pPr>
        <w:spacing w:after="120"/>
      </w:pPr>
      <w:r>
        <w:t xml:space="preserve">Results (w = 0.5, α = 0.05):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400"/>
      </w:tblGrid>
      <w:tr>
        <w:trPr>
          <w:tblHeader/>
        </w:trPr>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|Δ|</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η*(θ)</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E[W]/W_Wald</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Interpretation</w:t>
            </w:r>
          </w:p>
        </w:tc>
      </w:tr>
      <w:tr>
        <w:tc>
          <w:tcPr>
            <w:tcBorders>
              <w:top w:val="single" w:color="888888" w:sz="1"/>
              <w:left w:val="single" w:color="888888" w:sz="1"/>
              <w:bottom w:val="single" w:color="888888" w:sz="1"/>
              <w:right w:val="single" w:color="888888" w:sz="1"/>
            </w:tcBorders>
          </w:tcPr>
          <w:p>
            <w:pPr>
              <w:spacing w:after="120"/>
            </w:pPr>
            <w:r>
              <w:t xml:space="preserve">0.0</w:t>
            </w:r>
          </w:p>
        </w:tc>
        <w:tc>
          <w:tcPr>
            <w:tcBorders>
              <w:top w:val="single" w:color="888888" w:sz="1"/>
              <w:left w:val="single" w:color="888888" w:sz="1"/>
              <w:bottom w:val="single" w:color="888888" w:sz="1"/>
              <w:right w:val="single" w:color="888888" w:sz="1"/>
            </w:tcBorders>
          </w:tcPr>
          <w:p>
            <w:pPr>
              <w:spacing w:after="120"/>
            </w:pPr>
            <w:r>
              <w:t xml:space="preserve">0.23</w:t>
            </w:r>
          </w:p>
        </w:tc>
        <w:tc>
          <w:tcPr>
            <w:tcBorders>
              <w:top w:val="single" w:color="888888" w:sz="1"/>
              <w:left w:val="single" w:color="888888" w:sz="1"/>
              <w:bottom w:val="single" w:color="888888" w:sz="1"/>
              <w:right w:val="single" w:color="888888" w:sz="1"/>
            </w:tcBorders>
          </w:tcPr>
          <w:p>
            <w:pPr>
              <w:spacing w:after="120"/>
            </w:pPr>
            <w:r>
              <w:t xml:space="preserve">0.85</w:t>
            </w:r>
          </w:p>
        </w:tc>
        <w:tc>
          <w:tcPr>
            <w:tcBorders>
              <w:top w:val="single" w:color="888888" w:sz="1"/>
              <w:left w:val="single" w:color="888888" w:sz="1"/>
              <w:bottom w:val="single" w:color="888888" w:sz="1"/>
              <w:right w:val="single" w:color="888888" w:sz="1"/>
            </w:tcBorders>
          </w:tcPr>
          <w:p>
            <w:pPr>
              <w:spacing w:after="120"/>
            </w:pPr>
            <w:r>
              <w:t xml:space="preserve">Mostly Bayesian</w:t>
            </w:r>
          </w:p>
        </w:tc>
      </w:tr>
      <w:tr>
        <w:tc>
          <w:tcPr>
            <w:tcBorders>
              <w:top w:val="single" w:color="888888" w:sz="1"/>
              <w:left w:val="single" w:color="888888" w:sz="1"/>
              <w:bottom w:val="single" w:color="888888" w:sz="1"/>
              <w:right w:val="single" w:color="888888" w:sz="1"/>
            </w:tcBorders>
          </w:tcPr>
          <w:p>
            <w:pPr>
              <w:spacing w:after="120"/>
            </w:pPr>
            <w:r>
              <w:t xml:space="preserve">0.5</w:t>
            </w:r>
          </w:p>
        </w:tc>
        <w:tc>
          <w:tcPr>
            <w:tcBorders>
              <w:top w:val="single" w:color="888888" w:sz="1"/>
              <w:left w:val="single" w:color="888888" w:sz="1"/>
              <w:bottom w:val="single" w:color="888888" w:sz="1"/>
              <w:right w:val="single" w:color="888888" w:sz="1"/>
            </w:tcBorders>
          </w:tcPr>
          <w:p>
            <w:pPr>
              <w:spacing w:after="120"/>
            </w:pPr>
            <w:r>
              <w:t xml:space="preserve">0.52</w:t>
            </w:r>
          </w:p>
        </w:tc>
        <w:tc>
          <w:tcPr>
            <w:tcBorders>
              <w:top w:val="single" w:color="888888" w:sz="1"/>
              <w:left w:val="single" w:color="888888" w:sz="1"/>
              <w:bottom w:val="single" w:color="888888" w:sz="1"/>
              <w:right w:val="single" w:color="888888" w:sz="1"/>
            </w:tcBorders>
          </w:tcPr>
          <w:p>
            <w:pPr>
              <w:spacing w:after="120"/>
            </w:pPr>
            <w:r>
              <w:t xml:space="preserve">0.88</w:t>
            </w:r>
          </w:p>
        </w:tc>
        <w:tc>
          <w:tcPr>
            <w:tcBorders>
              <w:top w:val="single" w:color="888888" w:sz="1"/>
              <w:left w:val="single" w:color="888888" w:sz="1"/>
              <w:bottom w:val="single" w:color="888888" w:sz="1"/>
              <w:right w:val="single" w:color="888888" w:sz="1"/>
            </w:tcBorders>
          </w:tcPr>
          <w:p>
            <w:pPr>
              <w:spacing w:after="120"/>
            </w:pPr>
            <w:r>
              <w:t xml:space="preserve">Balanced</w:t>
            </w:r>
          </w:p>
        </w:tc>
      </w:tr>
      <w:tr>
        <w:tc>
          <w:tcPr>
            <w:tcBorders>
              <w:top w:val="single" w:color="888888" w:sz="1"/>
              <w:left w:val="single" w:color="888888" w:sz="1"/>
              <w:bottom w:val="single" w:color="888888" w:sz="1"/>
              <w:right w:val="single" w:color="888888" w:sz="1"/>
            </w:tcBorders>
          </w:tcPr>
          <w:p>
            <w:pPr>
              <w:spacing w:after="120"/>
            </w:pPr>
            <w:r>
              <w:t xml:space="preserve">1.0</w:t>
            </w:r>
          </w:p>
        </w:tc>
        <w:tc>
          <w:tcPr>
            <w:tcBorders>
              <w:top w:val="single" w:color="888888" w:sz="1"/>
              <w:left w:val="single" w:color="888888" w:sz="1"/>
              <w:bottom w:val="single" w:color="888888" w:sz="1"/>
              <w:right w:val="single" w:color="888888" w:sz="1"/>
            </w:tcBorders>
          </w:tcPr>
          <w:p>
            <w:pPr>
              <w:spacing w:after="120"/>
            </w:pPr>
            <w:r>
              <w:t xml:space="preserve">0.77</w:t>
            </w:r>
          </w:p>
        </w:tc>
        <w:tc>
          <w:tcPr>
            <w:tcBorders>
              <w:top w:val="single" w:color="888888" w:sz="1"/>
              <w:left w:val="single" w:color="888888" w:sz="1"/>
              <w:bottom w:val="single" w:color="888888" w:sz="1"/>
              <w:right w:val="single" w:color="888888" w:sz="1"/>
            </w:tcBorders>
          </w:tcPr>
          <w:p>
            <w:pPr>
              <w:spacing w:after="120"/>
            </w:pPr>
            <w:r>
              <w:t xml:space="preserve">0.93</w:t>
            </w:r>
          </w:p>
        </w:tc>
        <w:tc>
          <w:tcPr>
            <w:tcBorders>
              <w:top w:val="single" w:color="888888" w:sz="1"/>
              <w:left w:val="single" w:color="888888" w:sz="1"/>
              <w:bottom w:val="single" w:color="888888" w:sz="1"/>
              <w:right w:val="single" w:color="888888" w:sz="1"/>
            </w:tcBorders>
          </w:tcPr>
          <w:p>
            <w:pPr>
              <w:spacing w:after="120"/>
            </w:pPr>
            <w:r>
              <w:t xml:space="preserve">Mostly frequentist</w:t>
            </w:r>
          </w:p>
        </w:tc>
      </w:tr>
      <w:tr>
        <w:tc>
          <w:tcPr>
            <w:tcBorders>
              <w:top w:val="single" w:color="888888" w:sz="1"/>
              <w:left w:val="single" w:color="888888" w:sz="1"/>
              <w:bottom w:val="single" w:color="888888" w:sz="1"/>
              <w:right w:val="single" w:color="888888" w:sz="1"/>
            </w:tcBorders>
          </w:tcPr>
          <w:p>
            <w:pPr>
              <w:spacing w:after="120"/>
            </w:pPr>
            <w:r>
              <w:t xml:space="preserve">2.0</w:t>
            </w:r>
          </w:p>
        </w:tc>
        <w:tc>
          <w:tcPr>
            <w:tcBorders>
              <w:top w:val="single" w:color="888888" w:sz="1"/>
              <w:left w:val="single" w:color="888888" w:sz="1"/>
              <w:bottom w:val="single" w:color="888888" w:sz="1"/>
              <w:right w:val="single" w:color="888888" w:sz="1"/>
            </w:tcBorders>
          </w:tcPr>
          <w:p>
            <w:pPr>
              <w:spacing w:after="120"/>
            </w:pPr>
            <w:r>
              <w:t xml:space="preserve">0.94</w:t>
            </w:r>
          </w:p>
        </w:tc>
        <w:tc>
          <w:tcPr>
            <w:tcBorders>
              <w:top w:val="single" w:color="888888" w:sz="1"/>
              <w:left w:val="single" w:color="888888" w:sz="1"/>
              <w:bottom w:val="single" w:color="888888" w:sz="1"/>
              <w:right w:val="single" w:color="888888" w:sz="1"/>
            </w:tcBorders>
          </w:tcPr>
          <w:p>
            <w:pPr>
              <w:spacing w:after="120"/>
            </w:pPr>
            <w:r>
              <w:t xml:space="preserve">0.97</w:t>
            </w:r>
          </w:p>
        </w:tc>
        <w:tc>
          <w:tcPr>
            <w:tcBorders>
              <w:top w:val="single" w:color="888888" w:sz="1"/>
              <w:left w:val="single" w:color="888888" w:sz="1"/>
              <w:bottom w:val="single" w:color="888888" w:sz="1"/>
              <w:right w:val="single" w:color="888888" w:sz="1"/>
            </w:tcBorders>
          </w:tcPr>
          <w:p>
            <w:pPr>
              <w:spacing w:after="120"/>
            </w:pPr>
            <w:r>
              <w:t xml:space="preserve">Nearly Wald</w:t>
            </w:r>
          </w:p>
        </w:tc>
      </w:tr>
      <w:tr>
        <w:tc>
          <w:tcPr>
            <w:tcBorders>
              <w:top w:val="single" w:color="888888" w:sz="1"/>
              <w:left w:val="single" w:color="888888" w:sz="1"/>
              <w:bottom w:val="single" w:color="888888" w:sz="1"/>
              <w:right w:val="single" w:color="888888" w:sz="1"/>
            </w:tcBorders>
          </w:tcPr>
          <w:p>
            <w:pPr>
              <w:spacing w:after="120"/>
            </w:pPr>
            <w:r>
              <w:t xml:space="preserve">3.0</w:t>
            </w:r>
          </w:p>
        </w:tc>
        <w:tc>
          <w:tcPr>
            <w:tcBorders>
              <w:top w:val="single" w:color="888888" w:sz="1"/>
              <w:left w:val="single" w:color="888888" w:sz="1"/>
              <w:bottom w:val="single" w:color="888888" w:sz="1"/>
              <w:right w:val="single" w:color="888888" w:sz="1"/>
            </w:tcBorders>
          </w:tcPr>
          <w:p>
            <w:pPr>
              <w:spacing w:after="120"/>
            </w:pPr>
            <w:r>
              <w:t xml:space="preserve">0.97</w:t>
            </w:r>
          </w:p>
        </w:tc>
        <w:tc>
          <w:tcPr>
            <w:tcBorders>
              <w:top w:val="single" w:color="888888" w:sz="1"/>
              <w:left w:val="single" w:color="888888" w:sz="1"/>
              <w:bottom w:val="single" w:color="888888" w:sz="1"/>
              <w:right w:val="single" w:color="888888" w:sz="1"/>
            </w:tcBorders>
          </w:tcPr>
          <w:p>
            <w:pPr>
              <w:spacing w:after="120"/>
            </w:pPr>
            <w:r>
              <w:t xml:space="preserve">0.99</w:t>
            </w:r>
          </w:p>
        </w:tc>
        <w:tc>
          <w:tcPr>
            <w:tcBorders>
              <w:top w:val="single" w:color="888888" w:sz="1"/>
              <w:left w:val="single" w:color="888888" w:sz="1"/>
              <w:bottom w:val="single" w:color="888888" w:sz="1"/>
              <w:right w:val="single" w:color="888888" w:sz="1"/>
            </w:tcBorders>
          </w:tcPr>
          <w:p>
            <w:pPr>
              <w:spacing w:after="120"/>
            </w:pPr>
            <w:r>
              <w:t xml:space="preserve">Essentially Wald</w:t>
            </w:r>
          </w:p>
        </w:tc>
      </w:tr>
      <w:tr>
        <w:tc>
          <w:tcPr>
            <w:tcBorders>
              <w:top w:val="single" w:color="888888" w:sz="1"/>
              <w:left w:val="single" w:color="888888" w:sz="1"/>
              <w:bottom w:val="single" w:color="888888" w:sz="1"/>
              <w:right w:val="single" w:color="888888" w:sz="1"/>
            </w:tcBorders>
          </w:tcPr>
          <w:p>
            <w:pPr>
              <w:spacing w:after="120"/>
            </w:pPr>
            <w:r>
              <w:t xml:space="preserve">5.0</w:t>
            </w:r>
          </w:p>
        </w:tc>
        <w:tc>
          <w:tcPr>
            <w:tcBorders>
              <w:top w:val="single" w:color="888888" w:sz="1"/>
              <w:left w:val="single" w:color="888888" w:sz="1"/>
              <w:bottom w:val="single" w:color="888888" w:sz="1"/>
              <w:right w:val="single" w:color="888888" w:sz="1"/>
            </w:tcBorders>
          </w:tcPr>
          <w:p>
            <w:pPr>
              <w:spacing w:after="120"/>
            </w:pPr>
            <w:r>
              <w:t xml:space="preserve">0.99</w:t>
            </w:r>
          </w:p>
        </w:tc>
        <w:tc>
          <w:tcPr>
            <w:tcBorders>
              <w:top w:val="single" w:color="888888" w:sz="1"/>
              <w:left w:val="single" w:color="888888" w:sz="1"/>
              <w:bottom w:val="single" w:color="888888" w:sz="1"/>
              <w:right w:val="single" w:color="888888" w:sz="1"/>
            </w:tcBorders>
          </w:tcPr>
          <w:p>
            <w:pPr>
              <w:spacing w:after="120"/>
            </w:pPr>
            <w:r>
              <w:t xml:space="preserve">~1.00</w:t>
            </w:r>
          </w:p>
        </w:tc>
        <w:tc>
          <w:tcPr>
            <w:tcBorders>
              <w:top w:val="single" w:color="888888" w:sz="1"/>
              <w:left w:val="single" w:color="888888" w:sz="1"/>
              <w:bottom w:val="single" w:color="888888" w:sz="1"/>
              <w:right w:val="single" w:color="888888" w:sz="1"/>
            </w:tcBorders>
          </w:tcPr>
          <w:p>
            <w:pPr>
              <w:spacing w:after="120"/>
            </w:pPr>
            <w:r>
              <w:t xml:space="preserve">Wald</w:t>
            </w:r>
          </w:p>
        </w:tc>
      </w:tr>
    </w:tbl>
    <w:p>
      <w:pPr>
        <w:spacing w:after="120"/>
      </w:pPr>
      <w:r/>
    </w:p>
    <w:p>
      <w:pPr>
        <w:pStyle w:val="Heading2"/>
      </w:pPr>
      <w:r>
        <w:rPr>
          <w:b/>
          <w:bCs/>
        </w:rPr>
        <w:t xml:space="preserve">10.3 Asymptotic Scaling</w:t>
      </w:r>
    </w:p>
    <w:p>
      <w:pPr>
        <w:spacing w:after="120"/>
      </w:pPr>
      <w:r>
        <w:t xml:space="preserve">The numerical results suggest the power-law approximation:</w:t>
      </w:r>
    </w:p>
    <w:p>
      <w:pPr>
        <w:spacing w:before="160" w:after="160"/>
        <w:jc w:val="center"/>
      </w:pPr>
      <w:r>
        <w:rPr>
          <w:b/>
          <w:bCs/>
          <w:sz w:val="24"/>
          <w:szCs w:val="24"/>
        </w:rPr>
        <w:t xml:space="preserve">1 − η*(|Δ|) ≈ 0.18 / |Δ|^{1.7}</w:t>
      </w:r>
    </w:p>
    <w:p>
      <w:pPr>
        <w:spacing w:after="120"/>
      </w:pPr>
      <w:r>
        <w:t xml:space="preserve">This means η* approaches 1 polynomially (not exponentially) as prior-data conflict increases. Even at |Δ| = 0, the optimal η* ≈ 0.23 is positive—some tilting is beneficial even without conflict, reflecting the efficiency cost of the non-centrality correction in WALDO.</w:t>
      </w:r>
    </w:p>
    <w:p>
      <w:pPr>
        <w:pStyle w:val="Heading2"/>
      </w:pPr>
      <w:r>
        <w:rPr>
          <w:b/>
          <w:bCs/>
        </w:rPr>
        <w:t xml:space="preserve">10.4 Width Comparison</w:t>
      </w:r>
    </w:p>
    <w:p>
      <w:pPr>
        <w:spacing w:after="120"/>
      </w:pPr>
      <w:r>
        <w:t xml:space="preserve">The expected CI width under optimal tilting satisfies:</w:t>
      </w:r>
    </w:p>
    <w:p>
      <w:pPr>
        <w:pStyle w:val="ListParagraph"/>
        <w:numPr>
          <w:ilvl w:val="0"/>
          <w:numId w:val="3"/>
        </w:numPr>
        <w:spacing w:after="60"/>
      </w:pPr>
      <w:r>
        <w:t xml:space="preserve">E[W_Tilt] &lt; E[W_WALDO] for all |Δ| (tilting always helps)</w:t>
      </w:r>
    </w:p>
    <w:p>
      <w:pPr>
        <w:pStyle w:val="ListParagraph"/>
        <w:numPr>
          <w:ilvl w:val="0"/>
          <w:numId w:val="3"/>
        </w:numPr>
        <w:spacing w:after="60"/>
      </w:pPr>
      <w:r>
        <w:t xml:space="preserve">E[W_Tilt] ≤ W_Wald for all |Δ| (tilted width bounded by Wald)</w:t>
      </w:r>
    </w:p>
    <w:p>
      <w:pPr>
        <w:pStyle w:val="ListParagraph"/>
        <w:numPr>
          <w:ilvl w:val="0"/>
          <w:numId w:val="3"/>
        </w:numPr>
        <w:spacing w:after="60"/>
      </w:pPr>
      <w:r>
        <w:t xml:space="preserve">At |Δ| = 0: E[W_Tilt] ≈ 0.85 · W_Wald (15% efficiency gain)</w:t>
      </w:r>
    </w:p>
    <w:p>
      <w:pPr>
        <w:pStyle w:val="ListParagraph"/>
        <w:numPr>
          <w:ilvl w:val="0"/>
          <w:numId w:val="3"/>
        </w:numPr>
        <w:spacing w:after="60"/>
      </w:pPr>
      <w:r>
        <w:t xml:space="preserve">At |Δ| &gt; 3: E[W_Tilt] ≈ W_Wald (essentially no gain, but also no loss)</w:t>
      </w:r>
    </w:p>
    <w:p>
      <w:pPr>
        <w:pStyle w:val="Heading1"/>
      </w:pPr>
      <w:r>
        <w:rPr>
          <w:b/>
          <w:bCs/>
        </w:rPr>
        <w:t xml:space="preserve">11. The Asymmetric CI Structure</w:t>
      </w:r>
    </w:p>
    <w:p>
      <w:pPr>
        <w:spacing w:after="120"/>
      </w:pPr>
      <w:r>
        <w:t xml:space="preserve">A surprising consequence of dynamic tilting is that the resulting confidence intervals are inherently asymmetric. This section explains why and characterizes the structure.</w:t>
      </w:r>
    </w:p>
    <w:p>
      <w:pPr>
        <w:pStyle w:val="Heading2"/>
      </w:pPr>
      <w:r>
        <w:rPr>
          <w:b/>
          <w:bCs/>
        </w:rPr>
        <w:t xml:space="preserve">11.1 The Mechanism</w:t>
      </w:r>
    </w:p>
    <w:p>
      <w:pPr>
        <w:spacing w:after="120"/>
      </w:pPr>
      <w:r>
        <w:t xml:space="preserve">When we use η = η*(θ), the tilting parameter varies as we test different θ values. Consider a CI for data D with moderate prior-data conflict. At the two CI boundaries:</w:t>
      </w:r>
    </w:p>
    <w:p>
      <w:pPr>
        <w:pStyle w:val="ListParagraph"/>
        <w:numPr>
          <w:ilvl w:val="0"/>
          <w:numId w:val="3"/>
        </w:numPr>
        <w:spacing w:after="60"/>
      </w:pPr>
      <w:r>
        <w:rPr>
          <w:b/>
          <w:bCs/>
        </w:rPr>
        <w:t xml:space="preserve">Boundary closer to μ₀: </w:t>
      </w:r>
      <w:r>
        <w:t xml:space="preserve">|Δ(θ)| is small → η* is low → WALDO-like (narrow) test</w:t>
      </w:r>
    </w:p>
    <w:p>
      <w:pPr>
        <w:pStyle w:val="ListParagraph"/>
        <w:numPr>
          <w:ilvl w:val="0"/>
          <w:numId w:val="3"/>
        </w:numPr>
        <w:spacing w:after="60"/>
      </w:pPr>
      <w:r>
        <w:rPr>
          <w:b/>
          <w:bCs/>
        </w:rPr>
        <w:t xml:space="preserve">Boundary farther from μ₀: </w:t>
      </w:r>
      <w:r>
        <w:t xml:space="preserve">|Δ(θ)| is large → η* is high → Wald-like (wider) test</w:t>
      </w:r>
    </w:p>
    <w:p>
      <w:pPr>
        <w:spacing w:after="120"/>
      </w:pPr>
      <w:r>
        <w:t xml:space="preserve">The CI boundary closer to μ₀ benefits from Bayesian shrinkage, while the boundary farther from μ₀ must be protected against prior misspecification. This creates fundamental asymmetry.</w:t>
      </w:r>
    </w:p>
    <w:p>
      <w:pPr>
        <w:pStyle w:val="Heading2"/>
      </w:pPr>
      <w:r>
        <w:rPr>
          <w:b/>
          <w:bCs/>
        </w:rPr>
        <w:t xml:space="preserve">11.2 Three Regimes</w:t>
      </w:r>
    </w:p>
    <w:p>
      <w:pPr>
        <w:spacing w:after="120"/>
      </w:pPr>
      <w:r>
        <w:rPr>
          <w:b/>
          <w:bCs/>
        </w:rPr>
        <w:t xml:space="preserve">Theorem 9 (Three-Regime Structure). </w:t>
      </w:r>
      <w:r>
        <w:rPr>
          <w:i/>
          <w:iCs/>
        </w:rPr>
        <w:t xml:space="preserve">The dynamically-tilted CI exhibits three distinct behavioral regimes: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2400"/>
      </w:tblGrid>
      <w:tr>
        <w:trPr>
          <w:tblHeader/>
        </w:trPr>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Regime</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|Δ| Range</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η* at Boundaries</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Width vs Wald</w:t>
            </w:r>
          </w:p>
        </w:tc>
      </w:tr>
      <w:tr>
        <w:tc>
          <w:tcPr>
            <w:tcBorders>
              <w:top w:val="single" w:color="888888" w:sz="1"/>
              <w:left w:val="single" w:color="888888" w:sz="1"/>
              <w:bottom w:val="single" w:color="888888" w:sz="1"/>
              <w:right w:val="single" w:color="888888" w:sz="1"/>
            </w:tcBorders>
            <w:shd w:fill="E8F5E9" w:val="clear"/>
          </w:tcPr>
          <w:p>
            <w:pPr>
              <w:spacing w:after="120"/>
            </w:pPr>
            <w:r>
              <w:rPr>
                <w:b/>
                <w:bCs/>
              </w:rPr>
              <w:t xml:space="preserve">Low</w:t>
            </w:r>
          </w:p>
        </w:tc>
        <w:tc>
          <w:tcPr>
            <w:tcBorders>
              <w:top w:val="single" w:color="888888" w:sz="1"/>
              <w:left w:val="single" w:color="888888" w:sz="1"/>
              <w:bottom w:val="single" w:color="888888" w:sz="1"/>
              <w:right w:val="single" w:color="888888" w:sz="1"/>
            </w:tcBorders>
          </w:tcPr>
          <w:p>
            <w:pPr>
              <w:spacing w:after="120"/>
            </w:pPr>
            <w:r>
              <w:t xml:space="preserve">&lt; 1</w:t>
            </w:r>
          </w:p>
        </w:tc>
        <w:tc>
          <w:tcPr>
            <w:tcBorders>
              <w:top w:val="single" w:color="888888" w:sz="1"/>
              <w:left w:val="single" w:color="888888" w:sz="1"/>
              <w:bottom w:val="single" w:color="888888" w:sz="1"/>
              <w:right w:val="single" w:color="888888" w:sz="1"/>
            </w:tcBorders>
          </w:tcPr>
          <w:p>
            <w:pPr>
              <w:spacing w:after="120"/>
            </w:pPr>
            <w:r>
              <w:t xml:space="preserve">Both low (0.2–0.5)</w:t>
            </w:r>
          </w:p>
        </w:tc>
        <w:tc>
          <w:tcPr>
            <w:tcBorders>
              <w:top w:val="single" w:color="888888" w:sz="1"/>
              <w:left w:val="single" w:color="888888" w:sz="1"/>
              <w:bottom w:val="single" w:color="888888" w:sz="1"/>
              <w:right w:val="single" w:color="888888" w:sz="1"/>
            </w:tcBorders>
          </w:tcPr>
          <w:p>
            <w:pPr>
              <w:spacing w:after="120"/>
            </w:pPr>
            <w:r>
              <w:t xml:space="preserve">W_Tilt &lt; W_Wald</w:t>
            </w:r>
          </w:p>
        </w:tc>
      </w:tr>
      <w:tr>
        <w:tc>
          <w:tcPr>
            <w:tcBorders>
              <w:top w:val="single" w:color="888888" w:sz="1"/>
              <w:left w:val="single" w:color="888888" w:sz="1"/>
              <w:bottom w:val="single" w:color="888888" w:sz="1"/>
              <w:right w:val="single" w:color="888888" w:sz="1"/>
            </w:tcBorders>
            <w:shd w:fill="FFF8E1" w:val="clear"/>
          </w:tcPr>
          <w:p>
            <w:pPr>
              <w:spacing w:after="120"/>
            </w:pPr>
            <w:r>
              <w:rPr>
                <w:b/>
                <w:bCs/>
              </w:rPr>
              <w:t xml:space="preserve">Transition</w:t>
            </w:r>
          </w:p>
        </w:tc>
        <w:tc>
          <w:tcPr>
            <w:tcBorders>
              <w:top w:val="single" w:color="888888" w:sz="1"/>
              <w:left w:val="single" w:color="888888" w:sz="1"/>
              <w:bottom w:val="single" w:color="888888" w:sz="1"/>
              <w:right w:val="single" w:color="888888" w:sz="1"/>
            </w:tcBorders>
          </w:tcPr>
          <w:p>
            <w:pPr>
              <w:spacing w:after="120"/>
            </w:pPr>
            <w:r>
              <w:t xml:space="preserve">1 – 3</w:t>
            </w:r>
          </w:p>
        </w:tc>
        <w:tc>
          <w:tcPr>
            <w:tcBorders>
              <w:top w:val="single" w:color="888888" w:sz="1"/>
              <w:left w:val="single" w:color="888888" w:sz="1"/>
              <w:bottom w:val="single" w:color="888888" w:sz="1"/>
              <w:right w:val="single" w:color="888888" w:sz="1"/>
            </w:tcBorders>
          </w:tcPr>
          <w:p>
            <w:pPr>
              <w:spacing w:after="120"/>
            </w:pPr>
            <w:r>
              <w:t xml:space="preserve">Mixed (~0.3 and ~0.98)</w:t>
            </w:r>
          </w:p>
        </w:tc>
        <w:tc>
          <w:tcPr>
            <w:tcBorders>
              <w:top w:val="single" w:color="888888" w:sz="1"/>
              <w:left w:val="single" w:color="888888" w:sz="1"/>
              <w:bottom w:val="single" w:color="888888" w:sz="1"/>
              <w:right w:val="single" w:color="888888" w:sz="1"/>
            </w:tcBorders>
          </w:tcPr>
          <w:p>
            <w:pPr>
              <w:spacing w:after="120"/>
            </w:pPr>
            <w:r>
              <w:t xml:space="preserve">W_Tilt can exceed W_Wald</w:t>
            </w:r>
          </w:p>
        </w:tc>
      </w:tr>
      <w:tr>
        <w:tc>
          <w:tcPr>
            <w:tcBorders>
              <w:top w:val="single" w:color="888888" w:sz="1"/>
              <w:left w:val="single" w:color="888888" w:sz="1"/>
              <w:bottom w:val="single" w:color="888888" w:sz="1"/>
              <w:right w:val="single" w:color="888888" w:sz="1"/>
            </w:tcBorders>
            <w:shd w:fill="FFEBEE" w:val="clear"/>
          </w:tcPr>
          <w:p>
            <w:pPr>
              <w:spacing w:after="120"/>
            </w:pPr>
            <w:r>
              <w:rPr>
                <w:b/>
                <w:bCs/>
              </w:rPr>
              <w:t xml:space="preserve">High</w:t>
            </w:r>
          </w:p>
        </w:tc>
        <w:tc>
          <w:tcPr>
            <w:tcBorders>
              <w:top w:val="single" w:color="888888" w:sz="1"/>
              <w:left w:val="single" w:color="888888" w:sz="1"/>
              <w:bottom w:val="single" w:color="888888" w:sz="1"/>
              <w:right w:val="single" w:color="888888" w:sz="1"/>
            </w:tcBorders>
          </w:tcPr>
          <w:p>
            <w:pPr>
              <w:spacing w:after="120"/>
            </w:pPr>
            <w:r>
              <w:t xml:space="preserve">&gt; 3</w:t>
            </w:r>
          </w:p>
        </w:tc>
        <w:tc>
          <w:tcPr>
            <w:tcBorders>
              <w:top w:val="single" w:color="888888" w:sz="1"/>
              <w:left w:val="single" w:color="888888" w:sz="1"/>
              <w:bottom w:val="single" w:color="888888" w:sz="1"/>
              <w:right w:val="single" w:color="888888" w:sz="1"/>
            </w:tcBorders>
          </w:tcPr>
          <w:p>
            <w:pPr>
              <w:spacing w:after="120"/>
            </w:pPr>
            <w:r>
              <w:t xml:space="preserve">Both high (~0.98+)</w:t>
            </w:r>
          </w:p>
        </w:tc>
        <w:tc>
          <w:tcPr>
            <w:tcBorders>
              <w:top w:val="single" w:color="888888" w:sz="1"/>
              <w:left w:val="single" w:color="888888" w:sz="1"/>
              <w:bottom w:val="single" w:color="888888" w:sz="1"/>
              <w:right w:val="single" w:color="888888" w:sz="1"/>
            </w:tcBorders>
          </w:tcPr>
          <w:p>
            <w:pPr>
              <w:spacing w:after="120"/>
            </w:pPr>
            <w:r>
              <w:t xml:space="preserve">W_Tilt ≈ W_Wald</w:t>
            </w:r>
          </w:p>
        </w:tc>
      </w:tr>
    </w:tbl>
    <w:p>
      <w:pPr>
        <w:spacing w:after="120"/>
      </w:pPr>
      <w:r/>
    </w:p>
    <w:p>
      <w:pPr>
        <w:spacing w:after="120"/>
      </w:pPr>
      <w:r>
        <w:rPr>
          <w:b/>
          <w:bCs/>
        </w:rPr>
        <w:t xml:space="preserve">The transition regime paradox: </w:t>
      </w:r>
      <w:r>
        <w:t xml:space="preserve">In the transition regime (|Δ| ≈ 1–3), individual CIs can be wider than Wald even though the expected width is controlled. This occurs because the CI extends far on one side (where η* is low, creating WALDO-like behavior) while being constrained on the other (where η* is high, creating Wald-like behavior). The asymmetry is a necessary consequence of the θ-dependent tilting.</w:t>
      </w:r>
    </w:p>
    <w:p>
      <w:pPr>
        <w:pStyle w:val="Heading2"/>
      </w:pPr>
      <w:r>
        <w:rPr>
          <w:b/>
          <w:bCs/>
        </w:rPr>
        <w:t xml:space="preserve">11.3 Point Estimators from Tilted WALDO</w:t>
      </w:r>
    </w:p>
    <w:p>
      <w:pPr>
        <w:spacing w:after="120"/>
      </w:pPr>
      <w:r>
        <w:rPr>
          <w:b/>
          <w:bCs/>
        </w:rPr>
        <w:t xml:space="preserve">Theorem 10 (Mode of Dynamically-Tilted p-value). </w:t>
      </w:r>
      <w:r>
        <w:rPr>
          <w:i/>
          <w:iCs/>
        </w:rPr>
        <w:t xml:space="preserve">For fixed η, the mode of p_η(θ) is μ_η. For the dynamically-tilted case with η = η*(θ), the mode θ* satisfies the fixed-point equation:</w:t>
      </w:r>
    </w:p>
    <w:p>
      <w:pPr>
        <w:spacing w:before="120" w:after="120"/>
        <w:jc w:val="center"/>
      </w:pPr>
      <w:r>
        <w:rPr>
          <w:i/>
          <w:iCs/>
          <w:sz w:val="22"/>
          <w:szCs w:val="22"/>
        </w:rPr>
        <w:t xml:space="preserve">θ* = μ_{η*(θ*)}</w:t>
      </w:r>
    </w:p>
    <w:p>
      <w:pPr>
        <w:spacing w:before="80" w:after="60"/>
      </w:pPr>
      <w:r>
        <w:rPr>
          <w:b/>
          <w:bCs/>
          <w:i/>
          <w:iCs/>
        </w:rPr>
        <w:t xml:space="preserve">Proof. </w:t>
      </w:r>
      <w:r>
        <w:rPr>
          <w:i w:val="false"/>
          <w:iCs w:val="false"/>
        </w:rPr>
        <w:t xml:space="preserve">For fixed η, the proof of Theorem 4 applies directly with μₙ replaced by μ_η.</w:t>
      </w:r>
    </w:p>
    <w:p>
      <w:pPr>
        <w:spacing w:after="60"/>
      </w:pPr>
      <w:r>
        <w:t xml:space="preserve">For dynamic η*(θ), the mode must satisfy the first-order condition ∂p_{η*(θ)}/∂θ = 0.</w:t>
      </w:r>
    </w:p>
    <w:p>
      <w:pPr>
        <w:spacing w:after="60"/>
      </w:pPr>
      <w:r>
        <w:t xml:space="preserve">Since p_η is maximized at μ_η for fixed η, and η* varies smoothly, the mode satisfies θ* = μ_{η*(θ*)}.</w:t>
      </w:r>
    </w:p>
    <w:p>
      <w:pPr>
        <w:spacing w:after="120"/>
      </w:pPr>
      <w:r>
        <w:t xml:space="preserve">Existence follows from the intermediate value theorem; uniqueness from monotonicity of μ_η in η.  ∎</w:t>
      </w:r>
    </w:p>
    <w:p>
      <w:pPr>
        <w:spacing w:after="120"/>
      </w:pPr>
      <w:r>
        <w:rPr>
          <w:b/>
          <w:bCs/>
        </w:rPr>
        <w:t xml:space="preserve">Corollary. </w:t>
      </w:r>
      <w:r>
        <w:rPr>
          <w:i/>
          <w:iCs/>
        </w:rPr>
        <w:t xml:space="preserve">The dynamically-tilted mode satisfies θ* ∈ (μₙ, D), moving from μₙ toward D as |Δ| increases.</w:t>
      </w:r>
    </w:p>
    <w:p>
      <w:pPr>
        <w:spacing w:after="120"/>
      </w:pPr>
      <w:r>
        <w:t xml:space="preserve">Numerical verification confirms the estimator hierarchy:</w:t>
      </w:r>
    </w:p>
    <w:p>
      <w:pPr>
        <w:spacing w:before="120" w:after="120"/>
        <w:jc w:val="center"/>
      </w:pPr>
      <w:r>
        <w:rPr>
          <w:i/>
          <w:iCs/>
          <w:sz w:val="22"/>
          <w:szCs w:val="22"/>
        </w:rPr>
        <w:t xml:space="preserve">μₙ = Mode_WALDO &lt; Mode_Tilt &lt; Mean_WALDO &lt; Mean_Tilt &lt; D</w:t>
      </w:r>
    </w:p>
    <w:p>
      <w:pPr>
        <w:pStyle w:val="Heading1"/>
      </w:pPr>
      <w:r>
        <w:rPr>
          <w:b/>
          <w:bCs/>
        </w:rPr>
        <w:t xml:space="preserve">12. Coverage Verification for Tilted WALDO</w:t>
      </w:r>
    </w:p>
    <w:p>
      <w:pPr>
        <w:spacing w:after="120"/>
      </w:pPr>
      <w:r>
        <w:t xml:space="preserve">We verify that tilted WALDO maintains correct frequentist coverage (5000 replicates, w = 0.5, α = 0.05):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1800"/>
      </w:tblGrid>
      <w:tr>
        <w:trPr>
          <w:tblHeader/>
        </w:trPr>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θ_true</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WALDO</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Tilted WALDO</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Wald</w:t>
            </w:r>
          </w:p>
        </w:tc>
      </w:tr>
      <w:tr>
        <w:tc>
          <w:tcPr>
            <w:tcBorders>
              <w:top w:val="single" w:color="888888" w:sz="1"/>
              <w:left w:val="single" w:color="888888" w:sz="1"/>
              <w:bottom w:val="single" w:color="888888" w:sz="1"/>
              <w:right w:val="single" w:color="888888" w:sz="1"/>
            </w:tcBorders>
          </w:tcPr>
          <w:p>
            <w:pPr>
              <w:spacing w:after="120"/>
            </w:pPr>
            <w:r>
              <w:t xml:space="preserve">−4</w:t>
            </w:r>
          </w:p>
        </w:tc>
        <w:tc>
          <w:tcPr>
            <w:tcBorders>
              <w:top w:val="single" w:color="888888" w:sz="1"/>
              <w:left w:val="single" w:color="888888" w:sz="1"/>
              <w:bottom w:val="single" w:color="888888" w:sz="1"/>
              <w:right w:val="single" w:color="888888" w:sz="1"/>
            </w:tcBorders>
          </w:tcPr>
          <w:p>
            <w:pPr>
              <w:spacing w:after="120"/>
            </w:pPr>
            <w:r>
              <w:t xml:space="preserve">95.1%</w:t>
            </w:r>
          </w:p>
        </w:tc>
        <w:tc>
          <w:tcPr>
            <w:tcBorders>
              <w:top w:val="single" w:color="888888" w:sz="1"/>
              <w:left w:val="single" w:color="888888" w:sz="1"/>
              <w:bottom w:val="single" w:color="888888" w:sz="1"/>
              <w:right w:val="single" w:color="888888" w:sz="1"/>
            </w:tcBorders>
          </w:tcPr>
          <w:p>
            <w:pPr>
              <w:spacing w:after="120"/>
            </w:pPr>
            <w:r>
              <w:t xml:space="preserve">95.2%</w:t>
            </w:r>
          </w:p>
        </w:tc>
        <w:tc>
          <w:tcPr>
            <w:tcBorders>
              <w:top w:val="single" w:color="888888" w:sz="1"/>
              <w:left w:val="single" w:color="888888" w:sz="1"/>
              <w:bottom w:val="single" w:color="888888" w:sz="1"/>
              <w:right w:val="single" w:color="888888" w:sz="1"/>
            </w:tcBorders>
          </w:tcPr>
          <w:p>
            <w:pPr>
              <w:spacing w:after="120"/>
            </w:pPr>
            <w:r>
              <w:t xml:space="preserve">95.0%</w:t>
            </w:r>
          </w:p>
        </w:tc>
      </w:tr>
      <w:tr>
        <w:tc>
          <w:tcPr>
            <w:tcBorders>
              <w:top w:val="single" w:color="888888" w:sz="1"/>
              <w:left w:val="single" w:color="888888" w:sz="1"/>
              <w:bottom w:val="single" w:color="888888" w:sz="1"/>
              <w:right w:val="single" w:color="888888" w:sz="1"/>
            </w:tcBorders>
          </w:tcPr>
          <w:p>
            <w:pPr>
              <w:spacing w:after="120"/>
            </w:pPr>
            <w:r>
              <w:t xml:space="preserve">−2</w:t>
            </w:r>
          </w:p>
        </w:tc>
        <w:tc>
          <w:tcPr>
            <w:tcBorders>
              <w:top w:val="single" w:color="888888" w:sz="1"/>
              <w:left w:val="single" w:color="888888" w:sz="1"/>
              <w:bottom w:val="single" w:color="888888" w:sz="1"/>
              <w:right w:val="single" w:color="888888" w:sz="1"/>
            </w:tcBorders>
          </w:tcPr>
          <w:p>
            <w:pPr>
              <w:spacing w:after="120"/>
            </w:pPr>
            <w:r>
              <w:t xml:space="preserve">95.0%</w:t>
            </w:r>
          </w:p>
        </w:tc>
        <w:tc>
          <w:tcPr>
            <w:tcBorders>
              <w:top w:val="single" w:color="888888" w:sz="1"/>
              <w:left w:val="single" w:color="888888" w:sz="1"/>
              <w:bottom w:val="single" w:color="888888" w:sz="1"/>
              <w:right w:val="single" w:color="888888" w:sz="1"/>
            </w:tcBorders>
          </w:tcPr>
          <w:p>
            <w:pPr>
              <w:spacing w:after="120"/>
            </w:pPr>
            <w:r>
              <w:t xml:space="preserve">95.1%</w:t>
            </w:r>
          </w:p>
        </w:tc>
        <w:tc>
          <w:tcPr>
            <w:tcBorders>
              <w:top w:val="single" w:color="888888" w:sz="1"/>
              <w:left w:val="single" w:color="888888" w:sz="1"/>
              <w:bottom w:val="single" w:color="888888" w:sz="1"/>
              <w:right w:val="single" w:color="888888" w:sz="1"/>
            </w:tcBorders>
          </w:tcPr>
          <w:p>
            <w:pPr>
              <w:spacing w:after="120"/>
            </w:pPr>
            <w:r>
              <w:t xml:space="preserve">94.8%</w:t>
            </w:r>
          </w:p>
        </w:tc>
      </w:tr>
      <w:tr>
        <w:tc>
          <w:tcPr>
            <w:tcBorders>
              <w:top w:val="single" w:color="888888" w:sz="1"/>
              <w:left w:val="single" w:color="888888" w:sz="1"/>
              <w:bottom w:val="single" w:color="888888" w:sz="1"/>
              <w:right w:val="single" w:color="888888" w:sz="1"/>
            </w:tcBorders>
          </w:tcPr>
          <w:p>
            <w:pPr>
              <w:spacing w:after="120"/>
            </w:pPr>
            <w:r>
              <w:t xml:space="preserve">0</w:t>
            </w:r>
          </w:p>
        </w:tc>
        <w:tc>
          <w:tcPr>
            <w:tcBorders>
              <w:top w:val="single" w:color="888888" w:sz="1"/>
              <w:left w:val="single" w:color="888888" w:sz="1"/>
              <w:bottom w:val="single" w:color="888888" w:sz="1"/>
              <w:right w:val="single" w:color="888888" w:sz="1"/>
            </w:tcBorders>
          </w:tcPr>
          <w:p>
            <w:pPr>
              <w:spacing w:after="120"/>
            </w:pPr>
            <w:r>
              <w:t xml:space="preserve">95.0%</w:t>
            </w:r>
          </w:p>
        </w:tc>
        <w:tc>
          <w:tcPr>
            <w:tcBorders>
              <w:top w:val="single" w:color="888888" w:sz="1"/>
              <w:left w:val="single" w:color="888888" w:sz="1"/>
              <w:bottom w:val="single" w:color="888888" w:sz="1"/>
              <w:right w:val="single" w:color="888888" w:sz="1"/>
            </w:tcBorders>
          </w:tcPr>
          <w:p>
            <w:pPr>
              <w:spacing w:after="120"/>
            </w:pPr>
            <w:r>
              <w:t xml:space="preserve">95.0%</w:t>
            </w:r>
          </w:p>
        </w:tc>
        <w:tc>
          <w:tcPr>
            <w:tcBorders>
              <w:top w:val="single" w:color="888888" w:sz="1"/>
              <w:left w:val="single" w:color="888888" w:sz="1"/>
              <w:bottom w:val="single" w:color="888888" w:sz="1"/>
              <w:right w:val="single" w:color="888888" w:sz="1"/>
            </w:tcBorders>
          </w:tcPr>
          <w:p>
            <w:pPr>
              <w:spacing w:after="120"/>
            </w:pPr>
            <w:r>
              <w:t xml:space="preserve">95.0%</w:t>
            </w:r>
          </w:p>
        </w:tc>
      </w:tr>
      <w:tr>
        <w:tc>
          <w:tcPr>
            <w:tcBorders>
              <w:top w:val="single" w:color="888888" w:sz="1"/>
              <w:left w:val="single" w:color="888888" w:sz="1"/>
              <w:bottom w:val="single" w:color="888888" w:sz="1"/>
              <w:right w:val="single" w:color="888888" w:sz="1"/>
            </w:tcBorders>
          </w:tcPr>
          <w:p>
            <w:pPr>
              <w:spacing w:after="120"/>
            </w:pPr>
            <w:r>
              <w:t xml:space="preserve">2</w:t>
            </w:r>
          </w:p>
        </w:tc>
        <w:tc>
          <w:tcPr>
            <w:tcBorders>
              <w:top w:val="single" w:color="888888" w:sz="1"/>
              <w:left w:val="single" w:color="888888" w:sz="1"/>
              <w:bottom w:val="single" w:color="888888" w:sz="1"/>
              <w:right w:val="single" w:color="888888" w:sz="1"/>
            </w:tcBorders>
          </w:tcPr>
          <w:p>
            <w:pPr>
              <w:spacing w:after="120"/>
            </w:pPr>
            <w:r>
              <w:t xml:space="preserve">95.1%</w:t>
            </w:r>
          </w:p>
        </w:tc>
        <w:tc>
          <w:tcPr>
            <w:tcBorders>
              <w:top w:val="single" w:color="888888" w:sz="1"/>
              <w:left w:val="single" w:color="888888" w:sz="1"/>
              <w:bottom w:val="single" w:color="888888" w:sz="1"/>
              <w:right w:val="single" w:color="888888" w:sz="1"/>
            </w:tcBorders>
          </w:tcPr>
          <w:p>
            <w:pPr>
              <w:spacing w:after="120"/>
            </w:pPr>
            <w:r>
              <w:t xml:space="preserve">95.0%</w:t>
            </w:r>
          </w:p>
        </w:tc>
        <w:tc>
          <w:tcPr>
            <w:tcBorders>
              <w:top w:val="single" w:color="888888" w:sz="1"/>
              <w:left w:val="single" w:color="888888" w:sz="1"/>
              <w:bottom w:val="single" w:color="888888" w:sz="1"/>
              <w:right w:val="single" w:color="888888" w:sz="1"/>
            </w:tcBorders>
          </w:tcPr>
          <w:p>
            <w:pPr>
              <w:spacing w:after="120"/>
            </w:pPr>
            <w:r>
              <w:t xml:space="preserve">95.1%</w:t>
            </w:r>
          </w:p>
        </w:tc>
      </w:tr>
      <w:tr>
        <w:tc>
          <w:tcPr>
            <w:tcBorders>
              <w:top w:val="single" w:color="888888" w:sz="1"/>
              <w:left w:val="single" w:color="888888" w:sz="1"/>
              <w:bottom w:val="single" w:color="888888" w:sz="1"/>
              <w:right w:val="single" w:color="888888" w:sz="1"/>
            </w:tcBorders>
          </w:tcPr>
          <w:p>
            <w:pPr>
              <w:spacing w:after="120"/>
            </w:pPr>
            <w:r>
              <w:t xml:space="preserve">4</w:t>
            </w:r>
          </w:p>
        </w:tc>
        <w:tc>
          <w:tcPr>
            <w:tcBorders>
              <w:top w:val="single" w:color="888888" w:sz="1"/>
              <w:left w:val="single" w:color="888888" w:sz="1"/>
              <w:bottom w:val="single" w:color="888888" w:sz="1"/>
              <w:right w:val="single" w:color="888888" w:sz="1"/>
            </w:tcBorders>
          </w:tcPr>
          <w:p>
            <w:pPr>
              <w:spacing w:after="120"/>
            </w:pPr>
            <w:r>
              <w:t xml:space="preserve">94.7%</w:t>
            </w:r>
          </w:p>
        </w:tc>
        <w:tc>
          <w:tcPr>
            <w:tcBorders>
              <w:top w:val="single" w:color="888888" w:sz="1"/>
              <w:left w:val="single" w:color="888888" w:sz="1"/>
              <w:bottom w:val="single" w:color="888888" w:sz="1"/>
              <w:right w:val="single" w:color="888888" w:sz="1"/>
            </w:tcBorders>
          </w:tcPr>
          <w:p>
            <w:pPr>
              <w:spacing w:after="120"/>
            </w:pPr>
            <w:r>
              <w:t xml:space="preserve">94.5%</w:t>
            </w:r>
          </w:p>
        </w:tc>
        <w:tc>
          <w:tcPr>
            <w:tcBorders>
              <w:top w:val="single" w:color="888888" w:sz="1"/>
              <w:left w:val="single" w:color="888888" w:sz="1"/>
              <w:bottom w:val="single" w:color="888888" w:sz="1"/>
              <w:right w:val="single" w:color="888888" w:sz="1"/>
            </w:tcBorders>
          </w:tcPr>
          <w:p>
            <w:pPr>
              <w:spacing w:after="120"/>
            </w:pPr>
            <w:r>
              <w:t xml:space="preserve">94.4%</w:t>
            </w:r>
          </w:p>
        </w:tc>
      </w:tr>
    </w:tbl>
    <w:p>
      <w:pPr>
        <w:spacing w:after="120"/>
      </w:pPr>
      <w:r/>
    </w:p>
    <w:p>
      <w:pPr>
        <w:pStyle w:val="Heading1"/>
      </w:pPr>
      <w:r>
        <w:rPr>
          <w:b/>
          <w:bCs/>
        </w:rPr>
        <w:t xml:space="preserve">13. Discussion and Synthesis</w:t>
      </w:r>
    </w:p>
    <w:p>
      <w:pPr>
        <w:pStyle w:val="Heading2"/>
      </w:pPr>
      <w:r>
        <w:rPr>
          <w:b/>
          <w:bCs/>
        </w:rPr>
        <w:t xml:space="preserve">13.1 Why WALDO Cannot Collapse to a Single Effective Prior</w:t>
      </w:r>
    </w:p>
    <w:p>
      <w:pPr>
        <w:spacing w:after="120"/>
      </w:pPr>
      <w:r>
        <w:t xml:space="preserve">A natural question is whether WALDO's location-dependent adjustments can be "collapsed" into a single effective prior through marginalization. The answer is no, and the reason is fundamental. WALDO's effective prior σ²_eff(θ) is not a prior in the Bayesian sense—it's a location-dependent adjustment that only makes sense once you know which θ you're testing against.</w:t>
      </w:r>
    </w:p>
    <w:p>
      <w:pPr>
        <w:spacing w:after="120"/>
      </w:pPr>
      <w:r>
        <w:t xml:space="preserve">The mathematical object WALDO creates is more like a confidence distribution or a frequentist posterior—it has Bayesian-like properties (a full distribution) with frequentist guarantees that cannot be achieved through standard Bayesian updating with any fixed prior.</w:t>
      </w:r>
    </w:p>
    <w:p>
      <w:pPr>
        <w:pStyle w:val="Heading2"/>
      </w:pPr>
      <w:r>
        <w:rPr>
          <w:b/>
          <w:bCs/>
        </w:rPr>
        <w:t xml:space="preserve">13.2 Comparison of All Methods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800"/>
      </w:tblGrid>
      <w:tr>
        <w:trPr>
          <w:tblHeader/>
        </w:trPr>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Method</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Mode</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Mean</w:t>
            </w:r>
          </w:p>
        </w:tc>
        <w:tc>
          <w:tcPr>
            <w:tcBorders>
              <w:top w:val="single" w:color="888888" w:sz="1"/>
              <w:left w:val="single" w:color="888888" w:sz="1"/>
              <w:bottom w:val="single" w:color="888888" w:sz="1"/>
              <w:right w:val="single" w:color="888888" w:sz="1"/>
            </w:tcBorders>
            <w:shd w:fill="E8E8E8" w:val="clear"/>
          </w:tcPr>
          <w:p>
            <w:pPr>
              <w:spacing w:after="120"/>
            </w:pPr>
            <w:r>
              <w:rPr>
                <w:b/>
                <w:bCs/>
              </w:rPr>
              <w:t xml:space="preserve">CI Width at High |Δ|</w:t>
            </w:r>
          </w:p>
        </w:tc>
      </w:tr>
      <w:tr>
        <w:tc>
          <w:tcPr>
            <w:tcBorders>
              <w:top w:val="single" w:color="888888" w:sz="1"/>
              <w:left w:val="single" w:color="888888" w:sz="1"/>
              <w:bottom w:val="single" w:color="888888" w:sz="1"/>
              <w:right w:val="single" w:color="888888" w:sz="1"/>
            </w:tcBorders>
          </w:tcPr>
          <w:p>
            <w:pPr>
              <w:spacing w:after="120"/>
            </w:pPr>
            <w:r>
              <w:t xml:space="preserve">MLE/Wald</w:t>
            </w:r>
          </w:p>
        </w:tc>
        <w:tc>
          <w:tcPr>
            <w:tcBorders>
              <w:top w:val="single" w:color="888888" w:sz="1"/>
              <w:left w:val="single" w:color="888888" w:sz="1"/>
              <w:bottom w:val="single" w:color="888888" w:sz="1"/>
              <w:right w:val="single" w:color="888888" w:sz="1"/>
            </w:tcBorders>
          </w:tcPr>
          <w:p>
            <w:pPr>
              <w:spacing w:after="120"/>
            </w:pPr>
            <w:r>
              <w:t xml:space="preserve">D</w:t>
            </w:r>
          </w:p>
        </w:tc>
        <w:tc>
          <w:tcPr>
            <w:tcBorders>
              <w:top w:val="single" w:color="888888" w:sz="1"/>
              <w:left w:val="single" w:color="888888" w:sz="1"/>
              <w:bottom w:val="single" w:color="888888" w:sz="1"/>
              <w:right w:val="single" w:color="888888" w:sz="1"/>
            </w:tcBorders>
          </w:tcPr>
          <w:p>
            <w:pPr>
              <w:spacing w:after="120"/>
            </w:pPr>
            <w:r>
              <w:t xml:space="preserve">D</w:t>
            </w:r>
          </w:p>
        </w:tc>
        <w:tc>
          <w:tcPr>
            <w:tcBorders>
              <w:top w:val="single" w:color="888888" w:sz="1"/>
              <w:left w:val="single" w:color="888888" w:sz="1"/>
              <w:bottom w:val="single" w:color="888888" w:sz="1"/>
              <w:right w:val="single" w:color="888888" w:sz="1"/>
            </w:tcBorders>
          </w:tcPr>
          <w:p>
            <w:pPr>
              <w:spacing w:after="120"/>
            </w:pPr>
            <w:r>
              <w:t xml:space="preserve">Constant (W_Wald)</w:t>
            </w:r>
          </w:p>
        </w:tc>
      </w:tr>
      <w:tr>
        <w:tc>
          <w:tcPr>
            <w:tcBorders>
              <w:top w:val="single" w:color="888888" w:sz="1"/>
              <w:left w:val="single" w:color="888888" w:sz="1"/>
              <w:bottom w:val="single" w:color="888888" w:sz="1"/>
              <w:right w:val="single" w:color="888888" w:sz="1"/>
            </w:tcBorders>
          </w:tcPr>
          <w:p>
            <w:pPr>
              <w:spacing w:after="120"/>
            </w:pPr>
            <w:r>
              <w:t xml:space="preserve">Posterior</w:t>
            </w:r>
          </w:p>
        </w:tc>
        <w:tc>
          <w:tcPr>
            <w:tcBorders>
              <w:top w:val="single" w:color="888888" w:sz="1"/>
              <w:left w:val="single" w:color="888888" w:sz="1"/>
              <w:bottom w:val="single" w:color="888888" w:sz="1"/>
              <w:right w:val="single" w:color="888888" w:sz="1"/>
            </w:tcBorders>
          </w:tcPr>
          <w:p>
            <w:pPr>
              <w:spacing w:after="120"/>
            </w:pPr>
            <w:r>
              <w:t xml:space="preserve">μₙ</w:t>
            </w:r>
          </w:p>
        </w:tc>
        <w:tc>
          <w:tcPr>
            <w:tcBorders>
              <w:top w:val="single" w:color="888888" w:sz="1"/>
              <w:left w:val="single" w:color="888888" w:sz="1"/>
              <w:bottom w:val="single" w:color="888888" w:sz="1"/>
              <w:right w:val="single" w:color="888888" w:sz="1"/>
            </w:tcBorders>
          </w:tcPr>
          <w:p>
            <w:pPr>
              <w:spacing w:after="120"/>
            </w:pPr>
            <w:r>
              <w:t xml:space="preserve">μₙ</w:t>
            </w:r>
          </w:p>
        </w:tc>
        <w:tc>
          <w:tcPr>
            <w:tcBorders>
              <w:top w:val="single" w:color="888888" w:sz="1"/>
              <w:left w:val="single" w:color="888888" w:sz="1"/>
              <w:bottom w:val="single" w:color="888888" w:sz="1"/>
              <w:right w:val="single" w:color="888888" w:sz="1"/>
            </w:tcBorders>
          </w:tcPr>
          <w:p>
            <w:pPr>
              <w:spacing w:after="120"/>
            </w:pPr>
            <w:r>
              <w:t xml:space="preserve">Narrow but wrong coverage</w:t>
            </w:r>
          </w:p>
        </w:tc>
      </w:tr>
      <w:tr>
        <w:tc>
          <w:tcPr>
            <w:tcBorders>
              <w:top w:val="single" w:color="888888" w:sz="1"/>
              <w:left w:val="single" w:color="888888" w:sz="1"/>
              <w:bottom w:val="single" w:color="888888" w:sz="1"/>
              <w:right w:val="single" w:color="888888" w:sz="1"/>
            </w:tcBorders>
          </w:tcPr>
          <w:p>
            <w:pPr>
              <w:spacing w:after="120"/>
            </w:pPr>
            <w:r>
              <w:t xml:space="preserve">WALDO</w:t>
            </w:r>
          </w:p>
        </w:tc>
        <w:tc>
          <w:tcPr>
            <w:tcBorders>
              <w:top w:val="single" w:color="888888" w:sz="1"/>
              <w:left w:val="single" w:color="888888" w:sz="1"/>
              <w:bottom w:val="single" w:color="888888" w:sz="1"/>
              <w:right w:val="single" w:color="888888" w:sz="1"/>
            </w:tcBorders>
          </w:tcPr>
          <w:p>
            <w:pPr>
              <w:spacing w:after="120"/>
            </w:pPr>
            <w:r>
              <w:t xml:space="preserve">μₙ</w:t>
            </w:r>
          </w:p>
        </w:tc>
        <w:tc>
          <w:tcPr>
            <w:tcBorders>
              <w:top w:val="single" w:color="888888" w:sz="1"/>
              <w:left w:val="single" w:color="888888" w:sz="1"/>
              <w:bottom w:val="single" w:color="888888" w:sz="1"/>
              <w:right w:val="single" w:color="888888" w:sz="1"/>
            </w:tcBorders>
          </w:tcPr>
          <w:p>
            <w:pPr>
              <w:spacing w:after="120"/>
            </w:pPr>
            <w:r>
              <w:t xml:space="preserve">∈ (μₙ, D)</w:t>
            </w:r>
          </w:p>
        </w:tc>
        <w:tc>
          <w:tcPr>
            <w:tcBorders>
              <w:top w:val="single" w:color="888888" w:sz="1"/>
              <w:left w:val="single" w:color="888888" w:sz="1"/>
              <w:bottom w:val="single" w:color="888888" w:sz="1"/>
              <w:right w:val="single" w:color="888888" w:sz="1"/>
            </w:tcBorders>
          </w:tcPr>
          <w:p>
            <w:pPr>
              <w:spacing w:after="120"/>
            </w:pPr>
            <w:r>
              <w:t xml:space="preserve">Can explode (&gt;&gt; W_Wald)</w:t>
            </w:r>
          </w:p>
        </w:tc>
      </w:tr>
      <w:tr>
        <w:tc>
          <w:tcPr>
            <w:tcBorders>
              <w:top w:val="single" w:color="888888" w:sz="1"/>
              <w:left w:val="single" w:color="888888" w:sz="1"/>
              <w:bottom w:val="single" w:color="888888" w:sz="1"/>
              <w:right w:val="single" w:color="888888" w:sz="1"/>
            </w:tcBorders>
            <w:shd w:fill="E3F2FD" w:val="clear"/>
          </w:tcPr>
          <w:p>
            <w:pPr>
              <w:spacing w:after="120"/>
            </w:pPr>
            <w:r>
              <w:rPr>
                <w:b/>
                <w:bCs/>
              </w:rPr>
              <w:t xml:space="preserve">Tilted WALDO</w:t>
            </w:r>
          </w:p>
        </w:tc>
        <w:tc>
          <w:tcPr>
            <w:tcBorders>
              <w:top w:val="single" w:color="888888" w:sz="1"/>
              <w:left w:val="single" w:color="888888" w:sz="1"/>
              <w:bottom w:val="single" w:color="888888" w:sz="1"/>
              <w:right w:val="single" w:color="888888" w:sz="1"/>
            </w:tcBorders>
            <w:shd w:fill="E3F2FD" w:val="clear"/>
          </w:tcPr>
          <w:p>
            <w:pPr>
              <w:spacing w:after="120"/>
            </w:pPr>
            <w:r>
              <w:t xml:space="preserve">∈ (μₙ, D)</w:t>
            </w:r>
          </w:p>
        </w:tc>
        <w:tc>
          <w:tcPr>
            <w:tcBorders>
              <w:top w:val="single" w:color="888888" w:sz="1"/>
              <w:left w:val="single" w:color="888888" w:sz="1"/>
              <w:bottom w:val="single" w:color="888888" w:sz="1"/>
              <w:right w:val="single" w:color="888888" w:sz="1"/>
            </w:tcBorders>
            <w:shd w:fill="E3F2FD" w:val="clear"/>
          </w:tcPr>
          <w:p>
            <w:pPr>
              <w:spacing w:after="120"/>
            </w:pPr>
            <w:r>
              <w:t xml:space="preserve">∈ (μₙ, D)</w:t>
            </w:r>
          </w:p>
        </w:tc>
        <w:tc>
          <w:tcPr>
            <w:tcBorders>
              <w:top w:val="single" w:color="888888" w:sz="1"/>
              <w:left w:val="single" w:color="888888" w:sz="1"/>
              <w:bottom w:val="single" w:color="888888" w:sz="1"/>
              <w:right w:val="single" w:color="888888" w:sz="1"/>
            </w:tcBorders>
            <w:shd w:fill="E3F2FD" w:val="clear"/>
          </w:tcPr>
          <w:p>
            <w:pPr>
              <w:spacing w:after="120"/>
            </w:pPr>
            <w:r>
              <w:t xml:space="preserve">Bounded (≈ W_Wald)</w:t>
            </w:r>
          </w:p>
        </w:tc>
      </w:tr>
    </w:tbl>
    <w:p>
      <w:pPr>
        <w:spacing w:after="120"/>
      </w:pPr>
      <w:r/>
    </w:p>
    <w:p>
      <w:pPr>
        <w:pStyle w:val="Heading2"/>
      </w:pPr>
      <w:r>
        <w:rPr>
          <w:b/>
          <w:bCs/>
        </w:rPr>
        <w:t xml:space="preserve">13.3 Theoretical Implications</w:t>
      </w:r>
    </w:p>
    <w:p>
      <w:pPr>
        <w:spacing w:after="120"/>
      </w:pPr>
      <w:r>
        <w:t xml:space="preserve">The tilted WALDO framework reveals several insights:</w:t>
      </w:r>
    </w:p>
    <w:p>
      <w:pPr>
        <w:pStyle w:val="ListParagraph"/>
        <w:numPr>
          <w:ilvl w:val="0"/>
          <w:numId w:val="2"/>
        </w:numPr>
        <w:spacing w:after="80"/>
      </w:pPr>
      <w:r>
        <w:rPr>
          <w:b/>
          <w:bCs/>
        </w:rPr>
        <w:t xml:space="preserve">Continuous Bayesian-frequentist spectrum: </w:t>
      </w:r>
      <w:r>
        <w:t xml:space="preserve">The tilting parameter η creates a continuous path from posterior to likelihood. WALDO and Wald are not alternatives but endpoints of a continuum.</w:t>
      </w:r>
    </w:p>
    <w:p>
      <w:pPr>
        <w:pStyle w:val="ListParagraph"/>
        <w:numPr>
          <w:ilvl w:val="0"/>
          <w:numId w:val="2"/>
        </w:numPr>
        <w:spacing w:after="80"/>
      </w:pPr>
      <w:r>
        <w:rPr>
          <w:b/>
          <w:bCs/>
        </w:rPr>
        <w:t xml:space="preserve">Automatic adaptivity: </w:t>
      </w:r>
      <w:r>
        <w:t xml:space="preserve">The optimal η*(θ) provides automatic adaptation to prior-data conflict without user specification of when to trust the prior.</w:t>
      </w:r>
    </w:p>
    <w:p>
      <w:pPr>
        <w:pStyle w:val="ListParagraph"/>
        <w:numPr>
          <w:ilvl w:val="0"/>
          <w:numId w:val="2"/>
        </w:numPr>
        <w:spacing w:after="80"/>
      </w:pPr>
      <w:r>
        <w:rPr>
          <w:b/>
          <w:bCs/>
        </w:rPr>
        <w:t xml:space="preserve">Asymmetric structure: </w:t>
      </w:r>
      <w:r>
        <w:t xml:space="preserve">The θ-dependence of η* creates fundamentally asymmetric CIs—a phenomenon not present in fixed-η methods.</w:t>
      </w:r>
    </w:p>
    <w:p>
      <w:pPr>
        <w:pStyle w:val="ListParagraph"/>
        <w:numPr>
          <w:ilvl w:val="0"/>
          <w:numId w:val="2"/>
        </w:numPr>
        <w:spacing w:after="80"/>
      </w:pPr>
      <w:r>
        <w:rPr>
          <w:b/>
          <w:bCs/>
        </w:rPr>
        <w:t xml:space="preserve">Unified framework: </w:t>
      </w:r>
      <w:r>
        <w:t xml:space="preserve">The prior ancillary concept connects WALDO to Fraser's conditioning principle, suggesting deeper ties to higher-order theory.</w:t>
      </w:r>
    </w:p>
    <w:p>
      <w:pPr>
        <w:pStyle w:val="Heading2"/>
      </w:pPr>
      <w:r>
        <w:rPr>
          <w:b/>
          <w:bCs/>
        </w:rPr>
        <w:t xml:space="preserve">13.4 Toward a Generalized Theory</w:t>
      </w:r>
    </w:p>
    <w:p>
      <w:pPr>
        <w:spacing w:after="120"/>
      </w:pPr>
      <w:r>
        <w:t xml:space="preserve">The analysis suggests a generalized theory of calibrated inference where: (1) Identify all auxiliary quantities (data-side and prior-side) that affect coverage; (2) Either condition on them explicitly or correct via appropriate test statistic modifications; (3) The "optimal" procedure minimizes some loss (interval width, power) subject to conditional coverage.</w:t>
      </w:r>
    </w:p>
    <w:p>
      <w:pPr>
        <w:spacing w:after="120"/>
      </w:pPr>
      <w:r>
        <w:t xml:space="preserve">Fraser's work handles step (1) for pure likelihood; WALDO extends it to the Bayesian-frequentist interface. A fully unified theory would treat the prior as additional "data" with its own ancillary structure. The non-centrality λ(θ) is, in this view, the sufficient statistic for the prior ancillary's effect on coverage—just as the Jacobian correction is the sufficient adjustment for the data ancillary's effect.</w:t>
      </w:r>
    </w:p>
    <w:p>
      <w:pPr>
        <w:pStyle w:val="Heading1"/>
      </w:pPr>
      <w:r>
        <w:rPr>
          <w:b/>
          <w:bCs/>
        </w:rPr>
        <w:t xml:space="preserve">14. Conclusions</w:t>
      </w:r>
    </w:p>
    <w:p>
      <w:pPr>
        <w:spacing w:after="120"/>
      </w:pPr>
      <w:r>
        <w:t xml:space="preserve">We have developed a rigorous connection between WALDO, posterior tilting, and Fraser's higher-order likelihood inference, showing that all arise from the same underlying principle: conditioning on auxiliary quantities that affect coverage without directly informing about the parameter. The key results are:</w:t>
      </w:r>
    </w:p>
    <w:p>
      <w:pPr>
        <w:pStyle w:val="ListParagraph"/>
        <w:numPr>
          <w:ilvl w:val="0"/>
          <w:numId w:val="4"/>
        </w:numPr>
        <w:spacing w:after="80"/>
      </w:pPr>
      <w:r>
        <w:t xml:space="preserve">WALDO's test statistic follows a scaled non-central χ² distribution with non-centrality λ(θ) = [s_π(θ)]² · σ², where s_π(θ) is the prior score.</w:t>
      </w:r>
    </w:p>
    <w:p>
      <w:pPr>
        <w:pStyle w:val="ListParagraph"/>
        <w:numPr>
          <w:ilvl w:val="0"/>
          <w:numId w:val="4"/>
        </w:numPr>
        <w:spacing w:after="80"/>
      </w:pPr>
      <w:r>
        <w:t xml:space="preserve">The p-value function has closed form p(θ) = Φ(b−a) + Φ(−a−b), with mode at μₙ and mean pulled toward the MLE D.</w:t>
      </w:r>
    </w:p>
    <w:p>
      <w:pPr>
        <w:pStyle w:val="ListParagraph"/>
        <w:numPr>
          <w:ilvl w:val="0"/>
          <w:numId w:val="4"/>
        </w:numPr>
        <w:spacing w:after="80"/>
      </w:pPr>
      <w:r>
        <w:t xml:space="preserve">WALDO's CI width adapts to prior-data conflict, becoming wider than the Wald CI when the prior is strongly misspecified.</w:t>
      </w:r>
    </w:p>
    <w:p>
      <w:pPr>
        <w:pStyle w:val="ListParagraph"/>
        <w:numPr>
          <w:ilvl w:val="0"/>
          <w:numId w:val="4"/>
        </w:numPr>
        <w:spacing w:after="80"/>
      </w:pPr>
      <w:r>
        <w:t xml:space="preserve">Fraser's Jacobian correction and WALDO's non-centrality adjustment play structurally parallel roles: both encode how auxiliary information affects inference.</w:t>
      </w:r>
    </w:p>
    <w:p>
      <w:pPr>
        <w:pStyle w:val="ListParagraph"/>
        <w:numPr>
          <w:ilvl w:val="0"/>
          <w:numId w:val="4"/>
        </w:numPr>
        <w:spacing w:after="80"/>
      </w:pPr>
      <w:r>
        <w:t xml:space="preserve">The "prior ancillary" δ(θ) = (θ − μ₀)/σ₀ provides a unified interpretation: WALDO achieves conditional coverage by implicitly conditioning on this quantity.</w:t>
      </w:r>
    </w:p>
    <w:p>
      <w:pPr>
        <w:pStyle w:val="ListParagraph"/>
        <w:numPr>
          <w:ilvl w:val="0"/>
          <w:numId w:val="4"/>
        </w:numPr>
        <w:spacing w:after="80"/>
      </w:pPr>
      <w:r>
        <w:t xml:space="preserve">The tilted posterior q(θ; η) ∝ L(θ)·π(θ)^{1−η} provides a principled Bayesian-frequentist continuum, with WALDO and Wald as endpoints.</w:t>
      </w:r>
    </w:p>
    <w:p>
      <w:pPr>
        <w:pStyle w:val="ListParagraph"/>
        <w:numPr>
          <w:ilvl w:val="0"/>
          <w:numId w:val="4"/>
        </w:numPr>
        <w:spacing w:after="80"/>
      </w:pPr>
      <w:r>
        <w:t xml:space="preserve">The optimal tilting η*(|Δ|) ≈ 1 − c/|Δ|^{1.7} adaptively balances efficiency and robustness based on prior-data conflict.</w:t>
      </w:r>
    </w:p>
    <w:p>
      <w:pPr>
        <w:pStyle w:val="ListParagraph"/>
        <w:numPr>
          <w:ilvl w:val="0"/>
          <w:numId w:val="4"/>
        </w:numPr>
        <w:spacing w:after="80"/>
      </w:pPr>
      <w:r>
        <w:t xml:space="preserve">Dynamically-tilted WALDO creates asymmetric CIs with a three-regime structure, a phenomenon not present in fixed-η methods.</w:t>
      </w:r>
    </w:p>
    <w:p>
      <w:pPr>
        <w:spacing w:after="120"/>
      </w:pPr>
      <w:r>
        <w:t xml:space="preserve">These results establish tilted WALDO as a principled method for adaptive Bayesian-frequentist inference that automatically adjusts to prior-data conflict while maintaining exact frequentist coverage and bounded CI widths. The framework suggests deeper connections to fiducial inference and Fraser's structural models, where the prior might enter as a structural constraint rather than a probability distribution.</w:t>
      </w:r>
    </w:p>
    <w:p>
      <w:pPr>
        <w:pStyle w:val="Heading1"/>
      </w:pPr>
      <w:r>
        <w:rPr>
          <w:b/>
          <w:bCs/>
        </w:rPr>
        <w:t xml:space="preserve">References</w:t>
      </w:r>
    </w:p>
    <w:p>
      <w:pPr>
        <w:spacing w:after="120"/>
      </w:pPr>
      <w:r>
        <w:t xml:space="preserve">Barndorff-Nielsen, O. E. (1983). On a formula for the distribution of the maximum likelihood estimator. Biometrika, 70(2), 343–365.</w:t>
      </w:r>
    </w:p>
    <w:p>
      <w:pPr>
        <w:spacing w:after="120"/>
      </w:pPr>
      <w:r>
        <w:t xml:space="preserve">Barndorff-Nielsen, O. E. (1986). Inference on full or partial parameters based on the standardized signed log likelihood ratio. Biometrika, 73(2), 307–322.</w:t>
      </w:r>
    </w:p>
    <w:p>
      <w:pPr>
        <w:spacing w:after="120"/>
      </w:pPr>
      <w:r>
        <w:t xml:space="preserve">Cox, D. R. (1958). Some problems connected with statistical inference. The Annals of Mathematical Statistics, 29(2), 357–372.</w:t>
      </w:r>
    </w:p>
    <w:p>
      <w:pPr>
        <w:spacing w:after="120"/>
      </w:pPr>
      <w:r>
        <w:t xml:space="preserve">Fisher, R. A. (1930). Inverse probability. Mathematical Proceedings of the Cambridge Philosophical Society, 26(4), 528–535.</w:t>
      </w:r>
    </w:p>
    <w:p>
      <w:pPr>
        <w:spacing w:after="120"/>
      </w:pPr>
      <w:r>
        <w:t xml:space="preserve">Fraser, D. A. S. (1968). The Structure of Inference. Wiley, New York.</w:t>
      </w:r>
    </w:p>
    <w:p>
      <w:pPr>
        <w:spacing w:after="120"/>
      </w:pPr>
      <w:r>
        <w:t xml:space="preserve">Fraser, D. A. S. (2010). Is Bayes posterior just quick and dirty confidence? Statistical Science, 26(3), 299–316.</w:t>
      </w:r>
    </w:p>
    <w:p>
      <w:pPr>
        <w:spacing w:after="120"/>
      </w:pPr>
      <w:r>
        <w:t xml:space="preserve">Ibrahim, J. G., &amp; Chen, M. H. (2000). Power prior distributions for regression models. Statistical Science, 15(1), 46–60.</w:t>
      </w:r>
    </w:p>
    <w:p>
      <w:pPr>
        <w:spacing w:after="120"/>
      </w:pPr>
      <w:r>
        <w:t xml:space="preserve">Masserano, L., Dorigo, T., Izbicki, R., Kuusela, M., &amp; Lee, A. B. (2023). Simulator-based inference with WALDO: Confidence regions by leveraging prediction algorithms and posterior estimators for inverse problems. AISTATS 2023, PMLR 206:2960–2974.</w:t>
      </w:r>
    </w:p>
    <w:p>
      <w:pPr>
        <w:spacing w:after="120"/>
      </w:pPr>
      <w:r>
        <w:t xml:space="preserve">Miller, J. W. (2019). Asymptotic normality, concentration, and coverage of generalized posteriors. arXiv:1907.09611.</w:t>
      </w:r>
    </w:p>
    <w:p>
      <w:pPr>
        <w:spacing w:after="120"/>
      </w:pPr>
      <w:r>
        <w:t xml:space="preserve">Schweder, T., &amp; Hjort, N. L. (2016). Confidence, Likelihood, Probability: Statistical Inference with Confidence Distributions. Cambridge University Press.</w:t>
      </w:r>
    </w:p>
    <w:p>
      <w:pPr>
        <w:spacing w:after="120"/>
      </w:pPr>
      <w:r>
        <w:t xml:space="preserve">Wasserman, L. (2011). Frasian inference. Statistical Science, 26(3), 322–325.</w:t>
      </w:r>
    </w:p>
    <w:p>
      <w:pPr>
        <w:spacing w:after="120"/>
      </w:pPr>
      <w:r>
        <w:t xml:space="preserve">Xie, M., &amp; Singh, K. (2013). Confidence distribution, the frequentist distribution estimator of a parameter: A review. International Statistical Review, 81(1), 3–39.</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WALDO, Tilting, and Frasian Inference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00"/>
      <w:jc w:val="center"/>
    </w:pPr>
    <w:rPr>
      <w:rFonts w:ascii="Times New Roman" w:cs="Times New Roman" w:eastAsia="Times New Roman" w:hAnsi="Times New Roman"/>
      <w:b/>
      <w:bCs/>
      <w:sz w:val="48"/>
      <w:szCs w:val="48"/>
    </w:rPr>
  </w:style>
  <w:style w:type="paragraph" w:styleId="Heading1">
    <w:name w:val="Heading 1"/>
    <w:basedOn w:val="Normal"/>
    <w:next w:val="Normal"/>
    <w:qFormat/>
    <w:pPr>
      <w:spacing w:before="300" w:after="15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2025-12-07T22:02:09.898Z</dcterms:created>
  <dcterms:modified xsi:type="dcterms:W3CDTF">2025-12-07T22:02:09.898Z</dcterms:modified>
</cp:coreProperties>
</file>

<file path=docProps/custom.xml><?xml version="1.0" encoding="utf-8"?>
<Properties xmlns="http://schemas.openxmlformats.org/officeDocument/2006/custom-properties" xmlns:vt="http://schemas.openxmlformats.org/officeDocument/2006/docPropsVTypes"/>
</file>