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candidate_UT004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candidate objects have the correct number of ballots initialized.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TEST_F(CandidateTests, GetNumBallots)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two candidate objects candidate1 and candidate2.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usage of GetNumBallots for candidate1.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normal usage of GetNumBallots for candidate2.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Two candidate objects will be known to have the correct value of number of ballots initialized.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8610600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8610600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xrmol15O6Q68sp9oQqspPNZ22g==">AMUW2mXJxGxdXm06S8D94okWzR0QZ2Jzj0SqHPrc63n2lvhYfH8l3EYH/xAsWAnnluIo0zRLoScAJ0GkZOyzfG51n+YUKRPdnKEszUxTkP2dcomF3nG67aQ=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