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rFonts w:ascii="Inter" w:cs="Inter" w:eastAsia="Inter" w:hAnsi="Inter"/>
          <w:b/>
          <w:bCs/>
          <w:i w:val="false"/>
          <w:iCs w:val="false"/>
          <w:caps/>
          <w:color w:val="000000"/>
          <w:sz w:val="24"/>
          <w:szCs w:val="24"/>
        </w:rPr>
        <w:t xml:space="preserve">ASCENSION CAPITAL PARTNERS</w:t>
      </w:r>
    </w:p>
    <w:p>
      <w:pPr>
        <w:spacing w:after="200" w:before="0"/>
        <w:jc w:val="center"/>
      </w:pPr>
      <w:r>
        <w:rPr>
          <w:rFonts w:ascii="Inter" w:cs="Inter" w:eastAsia="Inter" w:hAnsi="Inter"/>
          <w:b w:val="false"/>
          <w:bCs w:val="false"/>
          <w:i w:val="false"/>
          <w:iCs w:val="false"/>
          <w:caps w:val="false"/>
          <w:color w:val="9B9B9B"/>
          <w:sz w:val="18"/>
          <w:szCs w:val="18"/>
        </w:rPr>
        <w:t xml:space="preserve">APEX Consulting Partners Pty Ltd (ACN 674 649 417)</w:t>
      </w:r>
    </w:p>
    <w:p>
      <w:pPr>
        <w:pBdr>
          <w:bottom w:val="single" w:color="C5A55A" w:sz="4" w:space="2"/>
        </w:pBdr>
        <w:spacing w:after="200" w:before="200"/>
      </w:pPr>
      <w:r>
        <w:t xml:space="preserve"/>
      </w:r>
    </w:p>
    <w:p>
      <w:pPr>
        <w:spacing w:after="240" w:before="480"/>
        <w:jc w:val="center"/>
      </w:pPr>
      <w:r>
        <w:rPr>
          <w:rFonts w:ascii="EB Garamond" w:cs="EB Garamond" w:eastAsia="EB Garamond" w:hAnsi="EB Garamond"/>
          <w:b/>
          <w:bCs/>
          <w:color w:val="000000"/>
          <w:sz w:val="56"/>
          <w:szCs w:val="56"/>
        </w:rPr>
        <w:t xml:space="preserve">Investment Committee Memorandum</w:t>
      </w:r>
    </w:p>
    <w:p>
      <w:pPr>
        <w:spacing w:after="120" w:before="120"/>
        <w:jc w:val="center"/>
      </w:pPr>
      <w:r>
        <w:rPr>
          <w:rFonts w:ascii="Inter" w:cs="Inter" w:eastAsia="Inter" w:hAnsi="Inter"/>
          <w:b w:val="false"/>
          <w:bCs w:val="false"/>
          <w:i w:val="false"/>
          <w:iCs w:val="false"/>
          <w:caps w:val="false"/>
          <w:color w:val="333333"/>
          <w:sz w:val="26"/>
          <w:szCs w:val="26"/>
        </w:rPr>
        <w:t xml:space="preserve">&amp; Power Purchase Agreement Term Sheet</w:t>
      </w:r>
    </w:p>
    <w:p>
      <w:pPr>
        <w:spacing w:after="120" w:before="120"/>
      </w:pPr>
      <w:r>
        <w:t xml:space="preserve"/>
      </w:r>
    </w:p>
    <w:p>
      <w:pPr>
        <w:shd w:fill="000000" w:val="clear"/>
        <w:spacing w:after="120" w:before="120"/>
        <w:jc w:val="center"/>
      </w:pPr>
      <w:r>
        <w:rPr>
          <w:rFonts w:ascii="Inter" w:cs="Inter" w:eastAsia="Inter" w:hAnsi="Inter"/>
          <w:b/>
          <w:bCs/>
          <w:i w:val="false"/>
          <w:iCs w:val="false"/>
          <w:caps w:val="false"/>
          <w:color w:val="C5A55A"/>
          <w:sz w:val="18"/>
          <w:szCs w:val="18"/>
        </w:rPr>
        <w:t xml:space="preserve">INTERNAL — IC USE ONLY</w:t>
      </w:r>
    </w:p>
    <w:p>
      <w:pPr>
        <w:spacing w:after="120" w:before="120"/>
      </w:pPr>
      <w:r>
        <w:t xml:space="preserve"/>
      </w:r>
    </w:p>
    <w:tbl>
      <w:tblPr>
        <w:tblW w:type="dxa" w:w="8788"/>
        <w:tblBorders>
          <w:top w:val="single" w:color="auto" w:sz="4"/>
          <w:left w:val="single" w:color="auto" w:sz="4"/>
          <w:bottom w:val="single" w:color="auto" w:sz="4"/>
          <w:right w:val="single" w:color="auto" w:sz="4"/>
          <w:insideH w:val="single" w:color="auto" w:sz="4"/>
          <w:insideV w:val="single" w:color="auto" w:sz="4"/>
        </w:tblBorders>
      </w:tblPr>
      <w:tblGrid>
        <w:gridCol w:w="3000"/>
        <w:gridCol w:w="5788"/>
      </w:tblGrid>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Transaction ID</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Prepared by</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Ascension Capital Partners</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Author</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Joshua Ting — Executive Managing Partner, Global Head of Alternatives &amp; Private Markets</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Date</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Version</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Classification</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Internal — IC Use Only</w:t>
            </w:r>
          </w:p>
        </w:tc>
      </w:tr>
    </w:tbl>
    <w:p>
      <w:pPr>
        <w:spacing w:after="120" w:before="120"/>
      </w:pPr>
      <w:r>
        <w:t xml:space="preserve"/>
      </w:r>
    </w:p>
    <w:p>
      <w:pPr>
        <w:spacing w:after="120" w:before="120"/>
        <w:jc w:val="both"/>
      </w:pPr>
      <w:r>
        <w:rPr>
          <w:rFonts w:ascii="Inter" w:cs="Inter" w:eastAsia="Inter" w:hAnsi="Inter"/>
          <w:b w:val="false"/>
          <w:bCs w:val="false"/>
          <w:i/>
          <w:iCs/>
          <w:caps w:val="false"/>
          <w:color w:val="9B9B9B"/>
          <w:sz w:val="18"/>
          <w:szCs w:val="18"/>
        </w:rPr>
        <w:t xml:space="preserve">This document is provided for discussion purposes only and does not constitute a commitment, offer, or obligation to lend, invest, or enter into any transaction. Any proposed arrangement remains subject to satisfactory due diligence, receipt of all required internal approvals, execution of definitive documentation, and satisfaction of applicable conditions precedent. All terms described herein are indicative only and subject to change without notice.</w:t>
      </w:r>
    </w:p>
    <w:p>
      <w:r>
        <w:r>
          <w:br w:type="page"/>
        </w:r>
      </w:r>
    </w:p>
    <w:p>
      <w:pPr>
        <w:pStyle w:val="Heading1"/>
        <w:pBdr>
          <w:bottom w:val="single" w:color="C5A55A" w:sz="6" w:space="3"/>
        </w:pBdr>
        <w:spacing w:after="160" w:before="400"/>
      </w:pPr>
      <w:r>
        <w:rPr>
          <w:rFonts w:ascii="EB Garamond" w:cs="EB Garamond" w:eastAsia="EB Garamond" w:hAnsi="EB Garamond"/>
          <w:b/>
          <w:bCs/>
          <w:color w:val="000000"/>
          <w:sz w:val="40"/>
          <w:szCs w:val="40"/>
        </w:rPr>
        <w:t xml:space="preserve">1.  Executive Summary</w:t>
      </w:r>
    </w:p>
    <w:p>
      <w:pPr>
        <w:spacing w:after="80" w:before="80"/>
        <w:jc w:val="both"/>
      </w:pPr>
      <w:r>
        <w:rPr>
          <w:rFonts w:ascii="Inter" w:cs="Inter" w:eastAsia="Inter" w:hAnsi="Inter"/>
          <w:b w:val="false"/>
          <w:bCs w:val="false"/>
          <w:i w:val="false"/>
          <w:iCs w:val="false"/>
          <w:caps w:val="false"/>
          <w:color w:val="333333"/>
          <w:sz w:val="22"/>
          <w:szCs w:val="22"/>
        </w:rPr>
        <w:t xml:space="preserve">This memorandum presents the investment case for [●] (the "Transaction"), a [●] facility to be extended to [●] (the "Borrower") for the purpose of [●]. The Transaction has been originated and structured by Ascension Capital Partners and is presented to the Investment Committee for approval in accordance with the firm's credit approval framework.</w:t>
      </w:r>
    </w:p>
    <w:p>
      <w:pPr>
        <w:spacing w:after="80" w:before="80"/>
        <w:jc w:val="both"/>
      </w:pPr>
      <w:r>
        <w:rPr>
          <w:rFonts w:ascii="Inter" w:cs="Inter" w:eastAsia="Inter" w:hAnsi="Inter"/>
          <w:b w:val="false"/>
          <w:bCs w:val="false"/>
          <w:i w:val="false"/>
          <w:iCs w:val="false"/>
          <w:caps w:val="false"/>
          <w:color w:val="333333"/>
          <w:sz w:val="22"/>
          <w:szCs w:val="22"/>
        </w:rPr>
        <w:t xml:space="preserve">The total mandate size is [●], comprising a credit facility of [●] and equity co-investment of [●]. The Transaction is supported by a long-dated Power Purchase Agreement ("PPA") with [●] (the "Offtaker"), providing contracted revenue visibility over [●] years. A detailed PPA term sheet is appended at Section 8 of this memorandum.</w:t>
      </w:r>
    </w:p>
    <w:p>
      <w:pPr>
        <w:spacing w:after="120" w:before="120"/>
      </w:pPr>
      <w:r>
        <w:t xml:space="preserve"/>
      </w:r>
    </w:p>
    <w:p>
      <w:pPr>
        <w:pStyle w:val="Heading1"/>
        <w:pBdr>
          <w:bottom w:val="single" w:color="C5A55A" w:sz="6" w:space="3"/>
        </w:pBdr>
        <w:spacing w:after="160" w:before="400"/>
      </w:pPr>
      <w:r>
        <w:rPr>
          <w:rFonts w:ascii="EB Garamond" w:cs="EB Garamond" w:eastAsia="EB Garamond" w:hAnsi="EB Garamond"/>
          <w:b/>
          <w:bCs/>
          <w:color w:val="000000"/>
          <w:sz w:val="40"/>
          <w:szCs w:val="40"/>
        </w:rPr>
        <w:t xml:space="preserve">2.  Deal Snapshot</w:t>
      </w:r>
    </w:p>
    <w:tbl>
      <w:tblPr>
        <w:tblW w:type="dxa" w:w="8788"/>
        <w:tblBorders>
          <w:top w:val="single" w:color="auto" w:sz="4"/>
          <w:left w:val="single" w:color="auto" w:sz="4"/>
          <w:bottom w:val="single" w:color="auto" w:sz="4"/>
          <w:right w:val="single" w:color="auto" w:sz="4"/>
          <w:insideH w:val="single" w:color="auto" w:sz="4"/>
          <w:insideV w:val="single" w:color="auto" w:sz="4"/>
        </w:tblBorders>
      </w:tblPr>
      <w:tblGrid>
        <w:gridCol w:w="3000"/>
        <w:gridCol w:w="5788"/>
      </w:tblGrid>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Borrower / Developer</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Asset / Project</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Total Mandate Size</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Credit / Facility Component</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Equity Carry</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Use of Proceeds</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Expected Close</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Tenor</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Geographic Focus</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Governing Law</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r>
    </w:tbl>
    <w:p>
      <w:pPr>
        <w:spacing w:after="120" w:before="120"/>
      </w:pPr>
      <w:r>
        <w:t xml:space="preserve"/>
      </w:r>
    </w:p>
    <w:p>
      <w:pPr>
        <w:pStyle w:val="Heading1"/>
        <w:pBdr>
          <w:bottom w:val="single" w:color="C5A55A" w:sz="6" w:space="3"/>
        </w:pBdr>
        <w:spacing w:after="160" w:before="400"/>
      </w:pPr>
      <w:r>
        <w:rPr>
          <w:rFonts w:ascii="EB Garamond" w:cs="EB Garamond" w:eastAsia="EB Garamond" w:hAnsi="EB Garamond"/>
          <w:b/>
          <w:bCs/>
          <w:color w:val="000000"/>
          <w:sz w:val="40"/>
          <w:szCs w:val="40"/>
        </w:rPr>
        <w:t xml:space="preserve">3.  Investment Thesis</w:t>
      </w:r>
    </w:p>
    <w:p>
      <w:pPr>
        <w:spacing w:after="60" w:before="60"/>
        <w:ind w:left="600" w:hanging="260"/>
      </w:pPr>
      <w:r>
        <w:rPr>
          <w:rFonts w:ascii="Inter" w:cs="Inter" w:eastAsia="Inter" w:hAnsi="Inter"/>
          <w:b w:val="false"/>
          <w:bCs w:val="false"/>
          <w:i w:val="false"/>
          <w:iCs w:val="false"/>
          <w:caps w:val="false"/>
          <w:color w:val="333333"/>
          <w:sz w:val="22"/>
          <w:szCs w:val="22"/>
        </w:rPr>
        <w:t xml:space="preserve">▸  [●] — Contracted long-dated revenue stream via investment-grade PPA counterparty, providing cashflow certainty and bankability.</w:t>
      </w:r>
    </w:p>
    <w:p>
      <w:pPr>
        <w:spacing w:after="60" w:before="60"/>
        <w:ind w:left="600" w:hanging="260"/>
      </w:pPr>
      <w:r>
        <w:rPr>
          <w:rFonts w:ascii="Inter" w:cs="Inter" w:eastAsia="Inter" w:hAnsi="Inter"/>
          <w:b w:val="false"/>
          <w:bCs w:val="false"/>
          <w:i w:val="false"/>
          <w:iCs w:val="false"/>
          <w:caps w:val="false"/>
          <w:color w:val="333333"/>
          <w:sz w:val="22"/>
          <w:szCs w:val="22"/>
        </w:rPr>
        <w:t xml:space="preserve">▸  [●] — Favourable regulatory environment and strong policy tailwinds supporting the asset class and project economics.</w:t>
      </w:r>
    </w:p>
    <w:p>
      <w:pPr>
        <w:spacing w:after="60" w:before="60"/>
        <w:ind w:left="600" w:hanging="260"/>
      </w:pPr>
      <w:r>
        <w:rPr>
          <w:rFonts w:ascii="Inter" w:cs="Inter" w:eastAsia="Inter" w:hAnsi="Inter"/>
          <w:b w:val="false"/>
          <w:bCs w:val="false"/>
          <w:i w:val="false"/>
          <w:iCs w:val="false"/>
          <w:caps w:val="false"/>
          <w:color w:val="333333"/>
          <w:sz w:val="22"/>
          <w:szCs w:val="22"/>
        </w:rPr>
        <w:t xml:space="preserve">▸  [●] — Experienced management team and developer with demonstrable track record in comparable transactions.</w:t>
      </w:r>
    </w:p>
    <w:p>
      <w:pPr>
        <w:spacing w:after="60" w:before="60"/>
        <w:ind w:left="600" w:hanging="260"/>
      </w:pPr>
      <w:r>
        <w:rPr>
          <w:rFonts w:ascii="Inter" w:cs="Inter" w:eastAsia="Inter" w:hAnsi="Inter"/>
          <w:b w:val="false"/>
          <w:bCs w:val="false"/>
          <w:i w:val="false"/>
          <w:iCs w:val="false"/>
          <w:caps w:val="false"/>
          <w:color w:val="333333"/>
          <w:sz w:val="22"/>
          <w:szCs w:val="22"/>
        </w:rPr>
        <w:t xml:space="preserve">▸  [●] — Robust security package including first-ranking fixed and floating charges over project assets and accounts.</w:t>
      </w:r>
    </w:p>
    <w:p>
      <w:pPr>
        <w:spacing w:after="60" w:before="60"/>
        <w:ind w:left="600" w:hanging="260"/>
      </w:pPr>
      <w:r>
        <w:rPr>
          <w:rFonts w:ascii="Inter" w:cs="Inter" w:eastAsia="Inter" w:hAnsi="Inter"/>
          <w:b w:val="false"/>
          <w:bCs w:val="false"/>
          <w:i w:val="false"/>
          <w:iCs w:val="false"/>
          <w:caps w:val="false"/>
          <w:color w:val="333333"/>
          <w:sz w:val="22"/>
          <w:szCs w:val="22"/>
        </w:rPr>
        <w:t xml:space="preserve">▸  [●] — Attractive risk-adjusted return profile relative to comparable infrastructure credit benchmarks.</w:t>
      </w:r>
    </w:p>
    <w:p>
      <w:pPr>
        <w:spacing w:after="120" w:before="120"/>
      </w:pPr>
      <w:r>
        <w:t xml:space="preserve"/>
      </w:r>
    </w:p>
    <w:p>
      <w:pPr>
        <w:pStyle w:val="Heading1"/>
        <w:pBdr>
          <w:bottom w:val="single" w:color="C5A55A" w:sz="6" w:space="3"/>
        </w:pBdr>
        <w:spacing w:after="160" w:before="400"/>
      </w:pPr>
      <w:r>
        <w:rPr>
          <w:rFonts w:ascii="EB Garamond" w:cs="EB Garamond" w:eastAsia="EB Garamond" w:hAnsi="EB Garamond"/>
          <w:b/>
          <w:bCs/>
          <w:color w:val="000000"/>
          <w:sz w:val="40"/>
          <w:szCs w:val="40"/>
        </w:rPr>
        <w:t xml:space="preserve">4.  Borrower &amp; Project Overview</w:t>
      </w:r>
    </w:p>
    <w:p>
      <w:pPr>
        <w:pStyle w:val="Heading2"/>
        <w:spacing w:after="100" w:before="280"/>
      </w:pPr>
      <w:r>
        <w:rPr>
          <w:rFonts w:ascii="EB Garamond" w:cs="EB Garamond" w:eastAsia="EB Garamond" w:hAnsi="EB Garamond"/>
          <w:b/>
          <w:bCs/>
          <w:color w:val="333333"/>
          <w:sz w:val="32"/>
          <w:szCs w:val="32"/>
        </w:rPr>
        <w:t xml:space="preserve">4.1  Borrower Profile</w:t>
      </w:r>
    </w:p>
    <w:tbl>
      <w:tblPr>
        <w:tblW w:type="dxa" w:w="8788"/>
        <w:tblBorders>
          <w:top w:val="single" w:color="auto" w:sz="4"/>
          <w:left w:val="single" w:color="auto" w:sz="4"/>
          <w:bottom w:val="single" w:color="auto" w:sz="4"/>
          <w:right w:val="single" w:color="auto" w:sz="4"/>
          <w:insideH w:val="single" w:color="auto" w:sz="4"/>
          <w:insideV w:val="single" w:color="auto" w:sz="4"/>
        </w:tblBorders>
      </w:tblPr>
      <w:tblGrid>
        <w:gridCol w:w="3000"/>
        <w:gridCol w:w="5788"/>
      </w:tblGrid>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Entity</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Jurisdiction of Incorporation</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Directors / Key Principals</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Track Record</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Existing Financing</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Credit History</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r>
    </w:tbl>
    <w:p>
      <w:pPr>
        <w:spacing w:after="120" w:before="120"/>
      </w:pPr>
      <w:r>
        <w:t xml:space="preserve"/>
      </w:r>
    </w:p>
    <w:p>
      <w:pPr>
        <w:pStyle w:val="Heading2"/>
        <w:spacing w:after="100" w:before="280"/>
      </w:pPr>
      <w:r>
        <w:rPr>
          <w:rFonts w:ascii="EB Garamond" w:cs="EB Garamond" w:eastAsia="EB Garamond" w:hAnsi="EB Garamond"/>
          <w:b/>
          <w:bCs/>
          <w:color w:val="333333"/>
          <w:sz w:val="32"/>
          <w:szCs w:val="32"/>
        </w:rPr>
        <w:t xml:space="preserve">4.2  Project Description</w:t>
      </w:r>
    </w:p>
    <w:p>
      <w:pPr>
        <w:spacing w:after="80" w:before="80"/>
        <w:jc w:val="both"/>
      </w:pPr>
      <w:r>
        <w:rPr>
          <w:rFonts w:ascii="Inter" w:cs="Inter" w:eastAsia="Inter" w:hAnsi="Inter"/>
          <w:b w:val="false"/>
          <w:bCs w:val="false"/>
          <w:i w:val="false"/>
          <w:iCs w:val="false"/>
          <w:caps w:val="false"/>
          <w:color w:val="333333"/>
          <w:sz w:val="22"/>
          <w:szCs w:val="22"/>
        </w:rPr>
        <w:t xml:space="preserve">[Describe the project / asset — technology, capacity, location, development stage, grid connection status, planning consents, and operational timeline.]</w:t>
      </w:r>
    </w:p>
    <w:p>
      <w:pPr>
        <w:spacing w:after="120" w:before="120"/>
      </w:pPr>
      <w:r>
        <w:t xml:space="preserve"/>
      </w:r>
    </w:p>
    <w:p>
      <w:pPr>
        <w:pStyle w:val="Heading1"/>
        <w:pBdr>
          <w:bottom w:val="single" w:color="C5A55A" w:sz="6" w:space="3"/>
        </w:pBdr>
        <w:spacing w:after="160" w:before="400"/>
      </w:pPr>
      <w:r>
        <w:rPr>
          <w:rFonts w:ascii="EB Garamond" w:cs="EB Garamond" w:eastAsia="EB Garamond" w:hAnsi="EB Garamond"/>
          <w:b/>
          <w:bCs/>
          <w:color w:val="000000"/>
          <w:sz w:val="40"/>
          <w:szCs w:val="40"/>
        </w:rPr>
        <w:t xml:space="preserve">5.  Financial Analysis</w:t>
      </w:r>
    </w:p>
    <w:p>
      <w:pPr>
        <w:pStyle w:val="Heading2"/>
        <w:spacing w:after="100" w:before="280"/>
      </w:pPr>
      <w:r>
        <w:rPr>
          <w:rFonts w:ascii="EB Garamond" w:cs="EB Garamond" w:eastAsia="EB Garamond" w:hAnsi="EB Garamond"/>
          <w:b/>
          <w:bCs/>
          <w:color w:val="333333"/>
          <w:sz w:val="32"/>
          <w:szCs w:val="32"/>
        </w:rPr>
        <w:t xml:space="preserve">5.1  Key Financial Metrics</w:t>
      </w:r>
    </w:p>
    <w:tbl>
      <w:tblPr>
        <w:tblW w:type="dxa" w:w="8788"/>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2988"/>
      </w:tblGrid>
      <w:tr>
        <w:tc>
          <w:tcPr>
            <w:tcW w:type="dxa" w:w="2600"/>
            <w:tcBorders>
              <w:top w:val="single" w:color="000000" w:sz="1"/>
              <w:left w:val="single" w:color="000000" w:sz="1"/>
              <w:bottom w:val="single" w:color="000000" w:sz="1"/>
              <w:right w:val="single" w:color="000000" w:sz="1"/>
            </w:tcBorders>
            <w:shd w:fill="000000" w:val="clear"/>
            <w:tcMar>
              <w:top w:type="dxa" w:w="80"/>
              <w:left w:type="dxa" w:w="140"/>
              <w:bottom w:type="dxa" w:w="80"/>
              <w:right w:type="dxa" w:w="140"/>
            </w:tcMar>
          </w:tcPr>
          <w:p>
            <w:r>
              <w:rPr>
                <w:rFonts w:ascii="Inter" w:cs="Inter" w:eastAsia="Inter" w:hAnsi="Inter"/>
                <w:b/>
                <w:bCs/>
                <w:i w:val="false"/>
                <w:iCs w:val="false"/>
                <w:caps w:val="false"/>
                <w:color w:val="C5A55A"/>
                <w:sz w:val="20"/>
                <w:szCs w:val="20"/>
              </w:rPr>
              <w:t xml:space="preserve">Metric</w:t>
            </w:r>
          </w:p>
        </w:tc>
        <w:tc>
          <w:tcPr>
            <w:tcW w:type="dxa" w:w="3200"/>
            <w:tcBorders>
              <w:top w:val="single" w:color="000000" w:sz="1"/>
              <w:left w:val="single" w:color="000000" w:sz="1"/>
              <w:bottom w:val="single" w:color="000000" w:sz="1"/>
              <w:right w:val="single" w:color="000000" w:sz="1"/>
            </w:tcBorders>
            <w:shd w:fill="000000" w:val="clear"/>
            <w:tcMar>
              <w:top w:type="dxa" w:w="80"/>
              <w:left w:type="dxa" w:w="140"/>
              <w:bottom w:type="dxa" w:w="80"/>
              <w:right w:type="dxa" w:w="140"/>
            </w:tcMar>
          </w:tcPr>
          <w:p>
            <w:r>
              <w:rPr>
                <w:rFonts w:ascii="Inter" w:cs="Inter" w:eastAsia="Inter" w:hAnsi="Inter"/>
                <w:b/>
                <w:bCs/>
                <w:i w:val="false"/>
                <w:iCs w:val="false"/>
                <w:caps w:val="false"/>
                <w:color w:val="C5A55A"/>
                <w:sz w:val="20"/>
                <w:szCs w:val="20"/>
              </w:rPr>
              <w:t xml:space="preserve">Base Case</w:t>
            </w:r>
          </w:p>
        </w:tc>
        <w:tc>
          <w:tcPr>
            <w:tcW w:type="dxa" w:w="2988"/>
            <w:tcBorders>
              <w:top w:val="single" w:color="000000" w:sz="1"/>
              <w:left w:val="single" w:color="000000" w:sz="1"/>
              <w:bottom w:val="single" w:color="000000" w:sz="1"/>
              <w:right w:val="single" w:color="000000" w:sz="1"/>
            </w:tcBorders>
            <w:shd w:fill="000000" w:val="clear"/>
            <w:tcMar>
              <w:top w:type="dxa" w:w="80"/>
              <w:left w:type="dxa" w:w="140"/>
              <w:bottom w:type="dxa" w:w="80"/>
              <w:right w:type="dxa" w:w="140"/>
            </w:tcMar>
          </w:tcPr>
          <w:p>
            <w:r>
              <w:rPr>
                <w:rFonts w:ascii="Inter" w:cs="Inter" w:eastAsia="Inter" w:hAnsi="Inter"/>
                <w:b/>
                <w:bCs/>
                <w:i w:val="false"/>
                <w:iCs w:val="false"/>
                <w:caps w:val="false"/>
                <w:color w:val="C5A55A"/>
                <w:sz w:val="20"/>
                <w:szCs w:val="20"/>
              </w:rPr>
              <w:t xml:space="preserve">Stress Case</w:t>
            </w:r>
          </w:p>
        </w:tc>
      </w:tr>
      <w:tr>
        <w:tc>
          <w:tcPr>
            <w:tcW w:type="dxa" w:w="2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Revenue (p.a.)</w:t>
            </w:r>
          </w:p>
        </w:tc>
        <w:tc>
          <w:tcPr>
            <w:tcW w:type="dxa" w:w="3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c>
          <w:tcPr>
            <w:tcW w:type="dxa" w:w="29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r>
      <w:tr>
        <w:tc>
          <w:tcPr>
            <w:tcW w:type="dxa" w:w="2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EBITDA (p.a.)</w:t>
            </w:r>
          </w:p>
        </w:tc>
        <w:tc>
          <w:tcPr>
            <w:tcW w:type="dxa" w:w="3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c>
          <w:tcPr>
            <w:tcW w:type="dxa" w:w="29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r>
      <w:tr>
        <w:tc>
          <w:tcPr>
            <w:tcW w:type="dxa" w:w="2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DSCR (Avg)</w:t>
            </w:r>
          </w:p>
        </w:tc>
        <w:tc>
          <w:tcPr>
            <w:tcW w:type="dxa" w:w="3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c>
          <w:tcPr>
            <w:tcW w:type="dxa" w:w="29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r>
      <w:tr>
        <w:tc>
          <w:tcPr>
            <w:tcW w:type="dxa" w:w="2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LTV / LTC</w:t>
            </w:r>
          </w:p>
        </w:tc>
        <w:tc>
          <w:tcPr>
            <w:tcW w:type="dxa" w:w="3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c>
          <w:tcPr>
            <w:tcW w:type="dxa" w:w="29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r>
      <w:tr>
        <w:tc>
          <w:tcPr>
            <w:tcW w:type="dxa" w:w="2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Project IRR</w:t>
            </w:r>
          </w:p>
        </w:tc>
        <w:tc>
          <w:tcPr>
            <w:tcW w:type="dxa" w:w="3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c>
          <w:tcPr>
            <w:tcW w:type="dxa" w:w="29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r>
      <w:tr>
        <w:tc>
          <w:tcPr>
            <w:tcW w:type="dxa" w:w="2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Equity IRR</w:t>
            </w:r>
          </w:p>
        </w:tc>
        <w:tc>
          <w:tcPr>
            <w:tcW w:type="dxa" w:w="3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c>
          <w:tcPr>
            <w:tcW w:type="dxa" w:w="29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r>
    </w:tbl>
    <w:p>
      <w:pPr>
        <w:spacing w:after="120" w:before="120"/>
      </w:pPr>
      <w:r>
        <w:t xml:space="preserve"/>
      </w:r>
    </w:p>
    <w:p>
      <w:pPr>
        <w:pStyle w:val="Heading2"/>
        <w:spacing w:after="100" w:before="280"/>
      </w:pPr>
      <w:r>
        <w:rPr>
          <w:rFonts w:ascii="EB Garamond" w:cs="EB Garamond" w:eastAsia="EB Garamond" w:hAnsi="EB Garamond"/>
          <w:b/>
          <w:bCs/>
          <w:color w:val="333333"/>
          <w:sz w:val="32"/>
          <w:szCs w:val="32"/>
        </w:rPr>
        <w:t xml:space="preserve">5.2  Capital Structure</w:t>
      </w:r>
    </w:p>
    <w:tbl>
      <w:tblPr>
        <w:tblW w:type="dxa" w:w="8788"/>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2988"/>
      </w:tblGrid>
      <w:tr>
        <w:tc>
          <w:tcPr>
            <w:tcW w:type="dxa" w:w="2600"/>
            <w:tcBorders>
              <w:top w:val="single" w:color="000000" w:sz="1"/>
              <w:left w:val="single" w:color="000000" w:sz="1"/>
              <w:bottom w:val="single" w:color="000000" w:sz="1"/>
              <w:right w:val="single" w:color="000000" w:sz="1"/>
            </w:tcBorders>
            <w:shd w:fill="000000" w:val="clear"/>
            <w:tcMar>
              <w:top w:type="dxa" w:w="80"/>
              <w:left w:type="dxa" w:w="140"/>
              <w:bottom w:type="dxa" w:w="80"/>
              <w:right w:type="dxa" w:w="140"/>
            </w:tcMar>
          </w:tcPr>
          <w:p>
            <w:r>
              <w:rPr>
                <w:rFonts w:ascii="Inter" w:cs="Inter" w:eastAsia="Inter" w:hAnsi="Inter"/>
                <w:b/>
                <w:bCs/>
                <w:i w:val="false"/>
                <w:iCs w:val="false"/>
                <w:caps w:val="false"/>
                <w:color w:val="C5A55A"/>
                <w:sz w:val="20"/>
                <w:szCs w:val="20"/>
              </w:rPr>
              <w:t xml:space="preserve">Tranche</w:t>
            </w:r>
          </w:p>
        </w:tc>
        <w:tc>
          <w:tcPr>
            <w:tcW w:type="dxa" w:w="3200"/>
            <w:tcBorders>
              <w:top w:val="single" w:color="000000" w:sz="1"/>
              <w:left w:val="single" w:color="000000" w:sz="1"/>
              <w:bottom w:val="single" w:color="000000" w:sz="1"/>
              <w:right w:val="single" w:color="000000" w:sz="1"/>
            </w:tcBorders>
            <w:shd w:fill="000000" w:val="clear"/>
            <w:tcMar>
              <w:top w:type="dxa" w:w="80"/>
              <w:left w:type="dxa" w:w="140"/>
              <w:bottom w:type="dxa" w:w="80"/>
              <w:right w:type="dxa" w:w="140"/>
            </w:tcMar>
          </w:tcPr>
          <w:p>
            <w:r>
              <w:rPr>
                <w:rFonts w:ascii="Inter" w:cs="Inter" w:eastAsia="Inter" w:hAnsi="Inter"/>
                <w:b/>
                <w:bCs/>
                <w:i w:val="false"/>
                <w:iCs w:val="false"/>
                <w:caps w:val="false"/>
                <w:color w:val="C5A55A"/>
                <w:sz w:val="20"/>
                <w:szCs w:val="20"/>
              </w:rPr>
              <w:t xml:space="preserve">Amount</w:t>
            </w:r>
          </w:p>
        </w:tc>
        <w:tc>
          <w:tcPr>
            <w:tcW w:type="dxa" w:w="2988"/>
            <w:tcBorders>
              <w:top w:val="single" w:color="000000" w:sz="1"/>
              <w:left w:val="single" w:color="000000" w:sz="1"/>
              <w:bottom w:val="single" w:color="000000" w:sz="1"/>
              <w:right w:val="single" w:color="000000" w:sz="1"/>
            </w:tcBorders>
            <w:shd w:fill="000000" w:val="clear"/>
            <w:tcMar>
              <w:top w:type="dxa" w:w="80"/>
              <w:left w:type="dxa" w:w="140"/>
              <w:bottom w:type="dxa" w:w="80"/>
              <w:right w:type="dxa" w:w="140"/>
            </w:tcMar>
          </w:tcPr>
          <w:p>
            <w:r>
              <w:rPr>
                <w:rFonts w:ascii="Inter" w:cs="Inter" w:eastAsia="Inter" w:hAnsi="Inter"/>
                <w:b/>
                <w:bCs/>
                <w:i w:val="false"/>
                <w:iCs w:val="false"/>
                <w:caps w:val="false"/>
                <w:color w:val="C5A55A"/>
                <w:sz w:val="20"/>
                <w:szCs w:val="20"/>
              </w:rPr>
              <w:t xml:space="preserve">Key Terms</w:t>
            </w:r>
          </w:p>
        </w:tc>
      </w:tr>
      <w:tr>
        <w:tc>
          <w:tcPr>
            <w:tcW w:type="dxa" w:w="2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Senior Secured Facility</w:t>
            </w:r>
          </w:p>
        </w:tc>
        <w:tc>
          <w:tcPr>
            <w:tcW w:type="dxa" w:w="3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c>
          <w:tcPr>
            <w:tcW w:type="dxa" w:w="29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r>
      <w:tr>
        <w:tc>
          <w:tcPr>
            <w:tcW w:type="dxa" w:w="2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Mezzanine / Junior Debt</w:t>
            </w:r>
          </w:p>
        </w:tc>
        <w:tc>
          <w:tcPr>
            <w:tcW w:type="dxa" w:w="3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c>
          <w:tcPr>
            <w:tcW w:type="dxa" w:w="29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r>
      <w:tr>
        <w:tc>
          <w:tcPr>
            <w:tcW w:type="dxa" w:w="2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Equity / Co-Investment</w:t>
            </w:r>
          </w:p>
        </w:tc>
        <w:tc>
          <w:tcPr>
            <w:tcW w:type="dxa" w:w="3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c>
          <w:tcPr>
            <w:tcW w:type="dxa" w:w="29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r>
      <w:tr>
        <w:tc>
          <w:tcPr>
            <w:tcW w:type="dxa" w:w="2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Total Capitalisation</w:t>
            </w:r>
          </w:p>
        </w:tc>
        <w:tc>
          <w:tcPr>
            <w:tcW w:type="dxa" w:w="3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c>
          <w:tcPr>
            <w:tcW w:type="dxa" w:w="29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r>
    </w:tbl>
    <w:p>
      <w:pPr>
        <w:spacing w:after="120" w:before="120"/>
      </w:pPr>
      <w:r>
        <w:t xml:space="preserve"/>
      </w:r>
    </w:p>
    <w:p>
      <w:pPr>
        <w:pStyle w:val="Heading1"/>
        <w:pBdr>
          <w:bottom w:val="single" w:color="C5A55A" w:sz="6" w:space="3"/>
        </w:pBdr>
        <w:spacing w:after="160" w:before="400"/>
      </w:pPr>
      <w:r>
        <w:rPr>
          <w:rFonts w:ascii="EB Garamond" w:cs="EB Garamond" w:eastAsia="EB Garamond" w:hAnsi="EB Garamond"/>
          <w:b/>
          <w:bCs/>
          <w:color w:val="000000"/>
          <w:sz w:val="40"/>
          <w:szCs w:val="40"/>
        </w:rPr>
        <w:t xml:space="preserve">6.  Risk Assessment</w:t>
      </w:r>
    </w:p>
    <w:tbl>
      <w:tblPr>
        <w:tblW w:type="dxa" w:w="8788"/>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2988"/>
      </w:tblGrid>
      <w:tr>
        <w:tc>
          <w:tcPr>
            <w:tcW w:type="dxa" w:w="2600"/>
            <w:tcBorders>
              <w:top w:val="single" w:color="000000" w:sz="1"/>
              <w:left w:val="single" w:color="000000" w:sz="1"/>
              <w:bottom w:val="single" w:color="000000" w:sz="1"/>
              <w:right w:val="single" w:color="000000" w:sz="1"/>
            </w:tcBorders>
            <w:shd w:fill="000000" w:val="clear"/>
            <w:tcMar>
              <w:top w:type="dxa" w:w="80"/>
              <w:left w:type="dxa" w:w="140"/>
              <w:bottom w:type="dxa" w:w="80"/>
              <w:right w:type="dxa" w:w="140"/>
            </w:tcMar>
          </w:tcPr>
          <w:p>
            <w:r>
              <w:rPr>
                <w:rFonts w:ascii="Inter" w:cs="Inter" w:eastAsia="Inter" w:hAnsi="Inter"/>
                <w:b/>
                <w:bCs/>
                <w:i w:val="false"/>
                <w:iCs w:val="false"/>
                <w:caps w:val="false"/>
                <w:color w:val="C5A55A"/>
                <w:sz w:val="20"/>
                <w:szCs w:val="20"/>
              </w:rPr>
              <w:t xml:space="preserve">Risk Category</w:t>
            </w:r>
          </w:p>
        </w:tc>
        <w:tc>
          <w:tcPr>
            <w:tcW w:type="dxa" w:w="3200"/>
            <w:tcBorders>
              <w:top w:val="single" w:color="000000" w:sz="1"/>
              <w:left w:val="single" w:color="000000" w:sz="1"/>
              <w:bottom w:val="single" w:color="000000" w:sz="1"/>
              <w:right w:val="single" w:color="000000" w:sz="1"/>
            </w:tcBorders>
            <w:shd w:fill="000000" w:val="clear"/>
            <w:tcMar>
              <w:top w:type="dxa" w:w="80"/>
              <w:left w:type="dxa" w:w="140"/>
              <w:bottom w:type="dxa" w:w="80"/>
              <w:right w:type="dxa" w:w="140"/>
            </w:tcMar>
          </w:tcPr>
          <w:p>
            <w:r>
              <w:rPr>
                <w:rFonts w:ascii="Inter" w:cs="Inter" w:eastAsia="Inter" w:hAnsi="Inter"/>
                <w:b/>
                <w:bCs/>
                <w:i w:val="false"/>
                <w:iCs w:val="false"/>
                <w:caps w:val="false"/>
                <w:color w:val="C5A55A"/>
                <w:sz w:val="20"/>
                <w:szCs w:val="20"/>
              </w:rPr>
              <w:t xml:space="preserve">Assessment</w:t>
            </w:r>
          </w:p>
        </w:tc>
        <w:tc>
          <w:tcPr>
            <w:tcW w:type="dxa" w:w="2988"/>
            <w:tcBorders>
              <w:top w:val="single" w:color="000000" w:sz="1"/>
              <w:left w:val="single" w:color="000000" w:sz="1"/>
              <w:bottom w:val="single" w:color="000000" w:sz="1"/>
              <w:right w:val="single" w:color="000000" w:sz="1"/>
            </w:tcBorders>
            <w:shd w:fill="000000" w:val="clear"/>
            <w:tcMar>
              <w:top w:type="dxa" w:w="80"/>
              <w:left w:type="dxa" w:w="140"/>
              <w:bottom w:type="dxa" w:w="80"/>
              <w:right w:type="dxa" w:w="140"/>
            </w:tcMar>
          </w:tcPr>
          <w:p>
            <w:r>
              <w:rPr>
                <w:rFonts w:ascii="Inter" w:cs="Inter" w:eastAsia="Inter" w:hAnsi="Inter"/>
                <w:b/>
                <w:bCs/>
                <w:i w:val="false"/>
                <w:iCs w:val="false"/>
                <w:caps w:val="false"/>
                <w:color w:val="C5A55A"/>
                <w:sz w:val="20"/>
                <w:szCs w:val="20"/>
              </w:rPr>
              <w:t xml:space="preserve">Mitigant</w:t>
            </w:r>
          </w:p>
        </w:tc>
      </w:tr>
      <w:tr>
        <w:tc>
          <w:tcPr>
            <w:tcW w:type="dxa" w:w="2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Credit / Counterparty</w:t>
            </w:r>
          </w:p>
        </w:tc>
        <w:tc>
          <w:tcPr>
            <w:tcW w:type="dxa" w:w="3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c>
          <w:tcPr>
            <w:tcW w:type="dxa" w:w="29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r>
      <w:tr>
        <w:tc>
          <w:tcPr>
            <w:tcW w:type="dxa" w:w="2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Construction / Delivery</w:t>
            </w:r>
          </w:p>
        </w:tc>
        <w:tc>
          <w:tcPr>
            <w:tcW w:type="dxa" w:w="3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c>
          <w:tcPr>
            <w:tcW w:type="dxa" w:w="29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r>
      <w:tr>
        <w:tc>
          <w:tcPr>
            <w:tcW w:type="dxa" w:w="2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Market / Revenue</w:t>
            </w:r>
          </w:p>
        </w:tc>
        <w:tc>
          <w:tcPr>
            <w:tcW w:type="dxa" w:w="3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c>
          <w:tcPr>
            <w:tcW w:type="dxa" w:w="29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r>
      <w:tr>
        <w:tc>
          <w:tcPr>
            <w:tcW w:type="dxa" w:w="2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Regulatory / Policy</w:t>
            </w:r>
          </w:p>
        </w:tc>
        <w:tc>
          <w:tcPr>
            <w:tcW w:type="dxa" w:w="3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c>
          <w:tcPr>
            <w:tcW w:type="dxa" w:w="29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r>
      <w:tr>
        <w:tc>
          <w:tcPr>
            <w:tcW w:type="dxa" w:w="2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Legal / Structural</w:t>
            </w:r>
          </w:p>
        </w:tc>
        <w:tc>
          <w:tcPr>
            <w:tcW w:type="dxa" w:w="3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c>
          <w:tcPr>
            <w:tcW w:type="dxa" w:w="29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r>
      <w:tr>
        <w:tc>
          <w:tcPr>
            <w:tcW w:type="dxa" w:w="2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ESG / Environmental</w:t>
            </w:r>
          </w:p>
        </w:tc>
        <w:tc>
          <w:tcPr>
            <w:tcW w:type="dxa" w:w="3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c>
          <w:tcPr>
            <w:tcW w:type="dxa" w:w="29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r>
    </w:tbl>
    <w:p>
      <w:pPr>
        <w:spacing w:after="120" w:before="120"/>
      </w:pPr>
      <w:r>
        <w:t xml:space="preserve"/>
      </w:r>
    </w:p>
    <w:p>
      <w:pPr>
        <w:pStyle w:val="Heading1"/>
        <w:pBdr>
          <w:bottom w:val="single" w:color="C5A55A" w:sz="6" w:space="3"/>
        </w:pBdr>
        <w:spacing w:after="160" w:before="400"/>
      </w:pPr>
      <w:r>
        <w:rPr>
          <w:rFonts w:ascii="EB Garamond" w:cs="EB Garamond" w:eastAsia="EB Garamond" w:hAnsi="EB Garamond"/>
          <w:b/>
          <w:bCs/>
          <w:color w:val="000000"/>
          <w:sz w:val="40"/>
          <w:szCs w:val="40"/>
        </w:rPr>
        <w:t xml:space="preserve">7.  Conditions Precedent &amp; Timeline</w:t>
      </w:r>
    </w:p>
    <w:tbl>
      <w:tblPr>
        <w:tblW w:type="dxa" w:w="8788"/>
        <w:tblBorders>
          <w:top w:val="single" w:color="auto" w:sz="4"/>
          <w:left w:val="single" w:color="auto" w:sz="4"/>
          <w:bottom w:val="single" w:color="auto" w:sz="4"/>
          <w:right w:val="single" w:color="auto" w:sz="4"/>
          <w:insideH w:val="single" w:color="auto" w:sz="4"/>
          <w:insideV w:val="single" w:color="auto" w:sz="4"/>
        </w:tblBorders>
      </w:tblPr>
      <w:tblGrid>
        <w:gridCol w:w="3000"/>
        <w:gridCol w:w="5788"/>
      </w:tblGrid>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Execution of Facility Documents</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Satisfactory Legal Due Diligence</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KYC/AML Completion</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Security Perfection</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Third-Party Reports (Technical, Legal, Environmental)</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Financial Close Target</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r>
    </w:tbl>
    <w:p>
      <w:pPr>
        <w:spacing w:after="120" w:before="120"/>
      </w:pPr>
      <w:r>
        <w:t xml:space="preserve"/>
      </w:r>
    </w:p>
    <w:p>
      <w:pPr>
        <w:pStyle w:val="Heading1"/>
        <w:pBdr>
          <w:bottom w:val="single" w:color="C5A55A" w:sz="6" w:space="3"/>
        </w:pBdr>
        <w:spacing w:after="160" w:before="400"/>
      </w:pPr>
      <w:r>
        <w:rPr>
          <w:rFonts w:ascii="EB Garamond" w:cs="EB Garamond" w:eastAsia="EB Garamond" w:hAnsi="EB Garamond"/>
          <w:b/>
          <w:bCs/>
          <w:color w:val="000000"/>
          <w:sz w:val="40"/>
          <w:szCs w:val="40"/>
        </w:rPr>
        <w:t xml:space="preserve">8.  Power Purchase Agreement — Term Sheet</w:t>
      </w:r>
    </w:p>
    <w:p>
      <w:pPr>
        <w:pBdr>
          <w:bottom w:val="single" w:color="C5A55A" w:sz="4" w:space="2"/>
        </w:pBdr>
        <w:spacing w:after="200" w:before="200"/>
      </w:pPr>
      <w:r>
        <w:t xml:space="preserve"/>
      </w:r>
    </w:p>
    <w:p>
      <w:pPr>
        <w:pStyle w:val="Heading2"/>
        <w:spacing w:after="100" w:before="280"/>
      </w:pPr>
      <w:r>
        <w:rPr>
          <w:rFonts w:ascii="EB Garamond" w:cs="EB Garamond" w:eastAsia="EB Garamond" w:hAnsi="EB Garamond"/>
          <w:b/>
          <w:bCs/>
          <w:color w:val="333333"/>
          <w:sz w:val="32"/>
          <w:szCs w:val="32"/>
        </w:rPr>
        <w:t xml:space="preserve">8.1  PPA Overview</w:t>
      </w:r>
    </w:p>
    <w:tbl>
      <w:tblPr>
        <w:tblW w:type="dxa" w:w="8788"/>
        <w:tblBorders>
          <w:top w:val="single" w:color="auto" w:sz="4"/>
          <w:left w:val="single" w:color="auto" w:sz="4"/>
          <w:bottom w:val="single" w:color="auto" w:sz="4"/>
          <w:right w:val="single" w:color="auto" w:sz="4"/>
          <w:insideH w:val="single" w:color="auto" w:sz="4"/>
          <w:insideV w:val="single" w:color="auto" w:sz="4"/>
        </w:tblBorders>
      </w:tblPr>
      <w:tblGrid>
        <w:gridCol w:w="3000"/>
        <w:gridCol w:w="5788"/>
      </w:tblGrid>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Generator / Seller</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Offtaker / Buyer</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Offtaker Credit Rating</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Governing Law</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PPA Structure</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Contract Start Date</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Contract Duration</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 years</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Delivery Point</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r>
    </w:tbl>
    <w:p>
      <w:pPr>
        <w:spacing w:after="120" w:before="120"/>
      </w:pPr>
      <w:r>
        <w:t xml:space="preserve"/>
      </w:r>
    </w:p>
    <w:p>
      <w:pPr>
        <w:pStyle w:val="Heading2"/>
        <w:spacing w:after="100" w:before="280"/>
      </w:pPr>
      <w:r>
        <w:rPr>
          <w:rFonts w:ascii="EB Garamond" w:cs="EB Garamond" w:eastAsia="EB Garamond" w:hAnsi="EB Garamond"/>
          <w:b/>
          <w:bCs/>
          <w:color w:val="333333"/>
          <w:sz w:val="32"/>
          <w:szCs w:val="32"/>
        </w:rPr>
        <w:t xml:space="preserve">8.2  Commercial Terms</w:t>
      </w:r>
    </w:p>
    <w:tbl>
      <w:tblPr>
        <w:tblW w:type="dxa" w:w="8788"/>
        <w:tblBorders>
          <w:top w:val="single" w:color="auto" w:sz="4"/>
          <w:left w:val="single" w:color="auto" w:sz="4"/>
          <w:bottom w:val="single" w:color="auto" w:sz="4"/>
          <w:right w:val="single" w:color="auto" w:sz="4"/>
          <w:insideH w:val="single" w:color="auto" w:sz="4"/>
          <w:insideV w:val="single" w:color="auto" w:sz="4"/>
        </w:tblBorders>
      </w:tblPr>
      <w:tblGrid>
        <w:gridCol w:w="3000"/>
        <w:gridCol w:w="5788"/>
      </w:tblGrid>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Strike / Contract Price</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 per MWh</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Volume / Capacity</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 MW / [●] GWh p.a.</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Indexation</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Balancing Responsibility</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Curtailment Provisions</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Force Majeure</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Change in Law</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Termination Payment</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r>
    </w:tbl>
    <w:p>
      <w:pPr>
        <w:spacing w:after="120" w:before="120"/>
      </w:pPr>
      <w:r>
        <w:t xml:space="preserve"/>
      </w:r>
    </w:p>
    <w:p>
      <w:pPr>
        <w:pStyle w:val="Heading2"/>
        <w:spacing w:after="100" w:before="280"/>
      </w:pPr>
      <w:r>
        <w:rPr>
          <w:rFonts w:ascii="EB Garamond" w:cs="EB Garamond" w:eastAsia="EB Garamond" w:hAnsi="EB Garamond"/>
          <w:b/>
          <w:bCs/>
          <w:color w:val="333333"/>
          <w:sz w:val="32"/>
          <w:szCs w:val="32"/>
        </w:rPr>
        <w:t xml:space="preserve">8.3  Security &amp; Step-In</w:t>
      </w:r>
    </w:p>
    <w:p>
      <w:pPr>
        <w:spacing w:after="80" w:before="80"/>
        <w:jc w:val="both"/>
      </w:pPr>
      <w:r>
        <w:rPr>
          <w:rFonts w:ascii="Inter" w:cs="Inter" w:eastAsia="Inter" w:hAnsi="Inter"/>
          <w:b w:val="false"/>
          <w:bCs w:val="false"/>
          <w:i w:val="false"/>
          <w:iCs w:val="false"/>
          <w:caps w:val="false"/>
          <w:color w:val="333333"/>
          <w:sz w:val="22"/>
          <w:szCs w:val="22"/>
        </w:rPr>
        <w:t xml:space="preserve">The Offtaker acknowledges and consents to the assignment of the PPA to the Lender as security for the Facility. Step-in rights in favour of the Lender are to be documented via a Direct Agreement to be executed concurrently with the Facility Agreement.</w:t>
      </w:r>
    </w:p>
    <w:p>
      <w:pPr>
        <w:spacing w:after="120" w:before="120"/>
      </w:pPr>
      <w:r>
        <w:t xml:space="preserve"/>
      </w:r>
    </w:p>
    <w:p>
      <w:pPr>
        <w:pStyle w:val="Heading1"/>
        <w:pBdr>
          <w:bottom w:val="single" w:color="C5A55A" w:sz="6" w:space="3"/>
        </w:pBdr>
        <w:spacing w:after="160" w:before="400"/>
      </w:pPr>
      <w:r>
        <w:rPr>
          <w:rFonts w:ascii="EB Garamond" w:cs="EB Garamond" w:eastAsia="EB Garamond" w:hAnsi="EB Garamond"/>
          <w:b/>
          <w:bCs/>
          <w:color w:val="000000"/>
          <w:sz w:val="40"/>
          <w:szCs w:val="40"/>
        </w:rPr>
        <w:t xml:space="preserve">9.  Recommendation</w:t>
      </w:r>
    </w:p>
    <w:p>
      <w:pPr>
        <w:spacing w:after="80" w:before="80"/>
        <w:jc w:val="both"/>
      </w:pPr>
      <w:r>
        <w:rPr>
          <w:rFonts w:ascii="Inter" w:cs="Inter" w:eastAsia="Inter" w:hAnsi="Inter"/>
          <w:b w:val="false"/>
          <w:bCs w:val="false"/>
          <w:i w:val="false"/>
          <w:iCs w:val="false"/>
          <w:caps w:val="false"/>
          <w:color w:val="333333"/>
          <w:sz w:val="22"/>
          <w:szCs w:val="22"/>
        </w:rPr>
        <w:t xml:space="preserve">[State the IC recommendation — e.g., "The Investment Committee is requested to approve the Transaction on the terms set out in this memorandum, subject to the conditions precedent specified in Section 7 and the satisfactory resolution of the outstanding items noted in Section 6."]</w:t>
      </w:r>
    </w:p>
    <w:p>
      <w:pPr>
        <w:spacing w:after="120" w:before="120"/>
      </w:pPr>
      <w:r>
        <w:t xml:space="preserve"/>
      </w:r>
    </w:p>
    <w:p>
      <w:pPr>
        <w:pBdr>
          <w:bottom w:val="single" w:color="C5A55A" w:sz="4" w:space="2"/>
        </w:pBdr>
        <w:spacing w:after="200" w:before="200"/>
      </w:pPr>
      <w:r>
        <w:t xml:space="preserve"/>
      </w:r>
    </w:p>
    <w:p>
      <w:pPr>
        <w:spacing w:after="80" w:before="80"/>
        <w:jc w:val="both"/>
      </w:pPr>
      <w:r>
        <w:rPr>
          <w:rFonts w:ascii="Inter" w:cs="Inter" w:eastAsia="Inter" w:hAnsi="Inter"/>
          <w:b/>
          <w:bCs/>
          <w:i w:val="false"/>
          <w:iCs w:val="false"/>
          <w:caps w:val="false"/>
          <w:color w:val="333333"/>
          <w:sz w:val="22"/>
          <w:szCs w:val="22"/>
        </w:rPr>
        <w:t xml:space="preserve">Joshua Ting  |  Executive Managing Partner  |  Ascension Capital Partners</w:t>
      </w:r>
    </w:p>
    <w:p>
      <w:pPr>
        <w:spacing w:after="80" w:before="80"/>
        <w:jc w:val="both"/>
      </w:pPr>
      <w:r>
        <w:rPr>
          <w:rFonts w:ascii="Inter" w:cs="Inter" w:eastAsia="Inter" w:hAnsi="Inter"/>
          <w:b w:val="false"/>
          <w:bCs w:val="false"/>
          <w:i w:val="false"/>
          <w:iCs w:val="false"/>
          <w:caps w:val="false"/>
          <w:color w:val="333333"/>
          <w:sz w:val="22"/>
          <w:szCs w:val="22"/>
        </w:rPr>
        <w:t xml:space="preserve">M: +61 451 338 533  |  E: joshuating53@outlook.com</w:t>
      </w:r>
    </w:p>
    <w:p>
      <w:pPr>
        <w:spacing w:after="80" w:before="80"/>
        <w:jc w:val="both"/>
      </w:pPr>
      <w:r>
        <w:rPr>
          <w:rFonts w:ascii="Inter" w:cs="Inter" w:eastAsia="Inter" w:hAnsi="Inter"/>
          <w:b w:val="false"/>
          <w:bCs w:val="false"/>
          <w:i/>
          <w:iCs/>
          <w:caps w:val="false"/>
          <w:color w:val="333333"/>
          <w:sz w:val="22"/>
          <w:szCs w:val="22"/>
        </w:rPr>
        <w:t xml:space="preserve">Ascension Capital Partners t/a APEX Consulting Partners Pty Ltd  |  ACN 674 649 417</w:t>
      </w:r>
    </w:p>
    <w:sectPr>
      <w:headerReference w:type="default" r:id="rId7"/>
      <w:footerReference w:type="default" r:id="rId8"/>
      <w:pgSz w:w="11906" w:h="16838" w:orient="portrait"/>
      <w:pgMar w:top="1417" w:right="1417" w:bottom="1417" w:left="1701" w:header="708" w:footer="708" w:gutter="0"/>
      <w:pgBorders>
        <w:left w:val="single" w:color="C5A55A" w:sz="36" w:space="20"/>
      </w:pgBorders>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80"/>
      <w:jc w:val="center"/>
    </w:pPr>
    <w:r>
      <w:rPr>
        <w:rFonts w:ascii="Inter" w:cs="Inter" w:eastAsia="Inter" w:hAnsi="Inter"/>
        <w:color w:val="9B9B9B"/>
        <w:sz w:val="16"/>
        <w:szCs w:val="16"/>
      </w:rPr>
      <w:t xml:space="preserve">Ascension Capital Partners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A55A" w:sz="6" w:space="4"/>
      </w:pBdr>
      <w:tabs>
        <w:tab w:val="right" w:pos="8788"/>
      </w:tabs>
      <w:spacing w:after="60"/>
    </w:pPr>
    <w:r>
      <w:rPr>
        <w:rFonts w:ascii="Inter" w:cs="Inter" w:eastAsia="Inter" w:hAnsi="Inter"/>
        <w:color w:val="333333"/>
        <w:sz w:val="18"/>
        <w:szCs w:val="18"/>
      </w:rPr>
      <w:t xml:space="preserve">Ascension Capital Partners</w:t>
    </w:r>
    <w:r>
      <w:t xml:space="preserve">	</w:t>
    </w:r>
    <w:r>
      <w:rPr>
        <w:rFonts w:ascii="Inter" w:cs="Inter" w:eastAsia="Inter" w:hAnsi="Inter"/>
        <w:color w:val="333333"/>
        <w:sz w:val="18"/>
        <w:szCs w:val="18"/>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EB Garamond" w:cs="EB Garamond" w:eastAsia="EB Garamond" w:hAnsi="EB Garamond"/>
      <w:b/>
      <w:bCs/>
      <w:color w:val="000000"/>
      <w:sz w:val="40"/>
      <w:szCs w:val="40"/>
    </w:rPr>
  </w:style>
  <w:style w:type="paragraph" w:styleId="Heading2">
    <w:name w:val="Heading 2"/>
    <w:basedOn w:val="Normal"/>
    <w:next w:val="Normal"/>
    <w:qFormat/>
    <w:pPr>
      <w:spacing w:after="100" w:before="280"/>
      <w:outlineLvl w:val="1"/>
    </w:pPr>
    <w:rPr>
      <w:rFonts w:ascii="EB Garamond" w:cs="EB Garamond" w:eastAsia="EB Garamond" w:hAnsi="EB Garamond"/>
      <w:b/>
      <w:bCs/>
      <w:color w:val="333333"/>
      <w:sz w:val="32"/>
      <w:szCs w:val="32"/>
    </w:rPr>
  </w:style>
  <w:style w:type="paragraph" w:styleId="Heading3">
    <w:name w:val="Heading 3"/>
    <w:basedOn w:val="Normal"/>
    <w:next w:val="Normal"/>
    <w:qFormat/>
    <w:pPr>
      <w:spacing w:after="80" w:before="200"/>
      <w:outlineLvl w:val="2"/>
    </w:pPr>
    <w:rPr>
      <w:rFonts w:ascii="Inter" w:cs="Inter" w:eastAsia="Inter" w:hAnsi="Inter"/>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2026-04-14T17:42:07.925Z</dcterms:created>
  <dcterms:modified xsi:type="dcterms:W3CDTF">2026-04-14T17:42:07.926Z</dcterms:modified>
</cp:coreProperties>
</file>

<file path=docProps/custom.xml><?xml version="1.0" encoding="utf-8"?>
<Properties xmlns="http://schemas.openxmlformats.org/officeDocument/2006/custom-properties" xmlns:vt="http://schemas.openxmlformats.org/officeDocument/2006/docPropsVTypes"/>
</file>