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jc w:val="center"/>
      </w:pPr>
      <w:r>
        <w:rPr>
          <w:rFonts w:ascii="Inter" w:cs="Inter" w:eastAsia="Inter" w:hAnsi="Inter"/>
          <w:b/>
          <w:bCs/>
          <w:i w:val="false"/>
          <w:iCs w:val="false"/>
          <w:caps/>
          <w:color w:val="000000"/>
          <w:sz w:val="24"/>
          <w:szCs w:val="24"/>
        </w:rPr>
        <w:t xml:space="preserve">ASCENSION CAPITAL PARTNERS</w:t>
      </w:r>
    </w:p>
    <w:p>
      <w:pPr>
        <w:spacing w:after="200" w:before="0"/>
        <w:jc w:val="center"/>
      </w:pPr>
      <w:r>
        <w:rPr>
          <w:rFonts w:ascii="Inter" w:cs="Inter" w:eastAsia="Inter" w:hAnsi="Inter"/>
          <w:b w:val="false"/>
          <w:bCs w:val="false"/>
          <w:i w:val="false"/>
          <w:iCs w:val="false"/>
          <w:caps w:val="false"/>
          <w:color w:val="9B9B9B"/>
          <w:sz w:val="18"/>
          <w:szCs w:val="18"/>
        </w:rPr>
        <w:t xml:space="preserve">APEX Consulting Partners Pty Ltd (ACN 674 649 417)</w:t>
      </w:r>
    </w:p>
    <w:p>
      <w:pPr>
        <w:pBdr>
          <w:bottom w:val="single" w:color="C5A55A" w:sz="4" w:space="2"/>
        </w:pBdr>
        <w:spacing w:after="200" w:before="200"/>
      </w:pPr>
      <w:r>
        <w:t xml:space="preserve"/>
      </w:r>
    </w:p>
    <w:p>
      <w:pPr>
        <w:spacing w:after="240" w:before="480"/>
        <w:jc w:val="center"/>
      </w:pPr>
      <w:r>
        <w:rPr>
          <w:rFonts w:ascii="EB Garamond" w:cs="EB Garamond" w:eastAsia="EB Garamond" w:hAnsi="EB Garamond"/>
          <w:b/>
          <w:bCs/>
          <w:color w:val="000000"/>
          <w:sz w:val="56"/>
          <w:szCs w:val="56"/>
        </w:rPr>
        <w:t xml:space="preserve">Memorandum of Understanding</w:t>
      </w:r>
    </w:p>
    <w:p>
      <w:pPr>
        <w:spacing w:after="120" w:before="120"/>
        <w:jc w:val="center"/>
      </w:pPr>
      <w:r>
        <w:rPr>
          <w:rFonts w:ascii="Inter" w:cs="Inter" w:eastAsia="Inter" w:hAnsi="Inter"/>
          <w:b w:val="false"/>
          <w:bCs w:val="false"/>
          <w:i w:val="false"/>
          <w:iCs w:val="false"/>
          <w:caps w:val="false"/>
          <w:color w:val="333333"/>
          <w:sz w:val="26"/>
          <w:szCs w:val="26"/>
        </w:rPr>
        <w:t xml:space="preserve">Strategic Partnership</w:t>
      </w:r>
    </w:p>
    <w:p>
      <w:pPr>
        <w:spacing w:after="120" w:before="120"/>
      </w:pPr>
      <w:r>
        <w:t xml:space="preserve"/>
      </w:r>
    </w:p>
    <w:p>
      <w:pPr>
        <w:shd w:fill="000000" w:val="clear"/>
        <w:spacing w:after="120" w:before="120"/>
        <w:jc w:val="center"/>
      </w:pPr>
      <w:r>
        <w:rPr>
          <w:rFonts w:ascii="Inter" w:cs="Inter" w:eastAsia="Inter" w:hAnsi="Inter"/>
          <w:b/>
          <w:bCs/>
          <w:i w:val="false"/>
          <w:iCs w:val="false"/>
          <w:caps w:val="false"/>
          <w:color w:val="C5A55A"/>
          <w:sz w:val="18"/>
          <w:szCs w:val="18"/>
        </w:rPr>
        <w:t xml:space="preserve">CONFIDENTIAL — FOR PROFESSIONAL COUNTERPARTIES ONLY</w:t>
      </w:r>
    </w:p>
    <w:p>
      <w:pPr>
        <w:spacing w:after="120" w:before="120"/>
      </w:pPr>
      <w:r>
        <w:t xml:space="preserve"/>
      </w:r>
    </w:p>
    <w:p>
      <w:pPr>
        <w:pStyle w:val="Heading2"/>
        <w:spacing w:after="100" w:before="280"/>
      </w:pPr>
      <w:r>
        <w:rPr>
          <w:rFonts w:ascii="EB Garamond" w:cs="EB Garamond" w:eastAsia="EB Garamond" w:hAnsi="EB Garamond"/>
          <w:b/>
          <w:bCs/>
          <w:color w:val="333333"/>
          <w:sz w:val="32"/>
          <w:szCs w:val="32"/>
        </w:rPr>
        <w:t xml:space="preserve">Parties</w:t>
      </w:r>
    </w:p>
    <w:tbl>
      <w:tblPr>
        <w:tblW w:type="dxa" w:w="8788"/>
        <w:tblBorders>
          <w:top w:val="single" w:color="auto" w:sz="4"/>
          <w:left w:val="single" w:color="auto" w:sz="4"/>
          <w:bottom w:val="single" w:color="auto" w:sz="4"/>
          <w:right w:val="single" w:color="auto" w:sz="4"/>
          <w:insideH w:val="single" w:color="auto" w:sz="4"/>
          <w:insideV w:val="single" w:color="auto" w:sz="4"/>
        </w:tblBorders>
      </w:tblPr>
      <w:tblGrid>
        <w:gridCol w:w="3000"/>
        <w:gridCol w:w="5788"/>
      </w:tblGrid>
      <w:tr>
        <w:tc>
          <w:tcPr>
            <w:tcW w:type="dxa" w:w="3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r>
              <w:rPr>
                <w:rFonts w:ascii="Inter" w:cs="Inter" w:eastAsia="Inter" w:hAnsi="Inter"/>
                <w:b/>
                <w:bCs/>
                <w:i w:val="false"/>
                <w:iCs w:val="false"/>
                <w:caps w:val="false"/>
                <w:color w:val="333333"/>
                <w:sz w:val="20"/>
                <w:szCs w:val="20"/>
              </w:rPr>
              <w:t xml:space="preserve">Originator</w:t>
            </w:r>
          </w:p>
        </w:tc>
        <w:tc>
          <w:tcPr>
            <w:tcW w:type="dxa" w:w="57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APEX Consulting Partners Pty Ltd (ACN 674 649 417), trading as Ascension Capital Partners ("ACP")</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r>
              <w:rPr>
                <w:rFonts w:ascii="Inter" w:cs="Inter" w:eastAsia="Inter" w:hAnsi="Inter"/>
                <w:b/>
                <w:bCs/>
                <w:i w:val="false"/>
                <w:iCs w:val="false"/>
                <w:caps w:val="false"/>
                <w:color w:val="333333"/>
                <w:sz w:val="20"/>
                <w:szCs w:val="20"/>
              </w:rPr>
              <w:t xml:space="preserve">Registered Address</w:t>
            </w:r>
          </w:p>
        </w:tc>
        <w:tc>
          <w:tcPr>
            <w:tcW w:type="dxa" w:w="57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r>
              <w:rPr>
                <w:rFonts w:ascii="Inter" w:cs="Inter" w:eastAsia="Inter" w:hAnsi="Inter"/>
                <w:b/>
                <w:bCs/>
                <w:i w:val="false"/>
                <w:iCs w:val="false"/>
                <w:caps w:val="false"/>
                <w:color w:val="333333"/>
                <w:sz w:val="20"/>
                <w:szCs w:val="20"/>
              </w:rPr>
              <w:t xml:space="preserve">Counterparty</w:t>
            </w:r>
          </w:p>
        </w:tc>
        <w:tc>
          <w:tcPr>
            <w:tcW w:type="dxa" w:w="57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 ("[Short Name]")</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r>
              <w:rPr>
                <w:rFonts w:ascii="Inter" w:cs="Inter" w:eastAsia="Inter" w:hAnsi="Inter"/>
                <w:b/>
                <w:bCs/>
                <w:i w:val="false"/>
                <w:iCs w:val="false"/>
                <w:caps w:val="false"/>
                <w:color w:val="333333"/>
                <w:sz w:val="20"/>
                <w:szCs w:val="20"/>
              </w:rPr>
              <w:t xml:space="preserve">Counterparty Registration</w:t>
            </w:r>
          </w:p>
        </w:tc>
        <w:tc>
          <w:tcPr>
            <w:tcW w:type="dxa" w:w="57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r>
              <w:rPr>
                <w:rFonts w:ascii="Inter" w:cs="Inter" w:eastAsia="Inter" w:hAnsi="Inter"/>
                <w:b/>
                <w:bCs/>
                <w:i w:val="false"/>
                <w:iCs w:val="false"/>
                <w:caps w:val="false"/>
                <w:color w:val="333333"/>
                <w:sz w:val="20"/>
                <w:szCs w:val="20"/>
              </w:rPr>
              <w:t xml:space="preserve">Counterparty Address</w:t>
            </w:r>
          </w:p>
        </w:tc>
        <w:tc>
          <w:tcPr>
            <w:tcW w:type="dxa" w:w="57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r>
              <w:rPr>
                <w:rFonts w:ascii="Inter" w:cs="Inter" w:eastAsia="Inter" w:hAnsi="Inter"/>
                <w:b/>
                <w:bCs/>
                <w:i w:val="false"/>
                <w:iCs w:val="false"/>
                <w:caps w:val="false"/>
                <w:color w:val="333333"/>
                <w:sz w:val="20"/>
                <w:szCs w:val="20"/>
              </w:rPr>
              <w:t xml:space="preserve">Date</w:t>
            </w:r>
          </w:p>
        </w:tc>
        <w:tc>
          <w:tcPr>
            <w:tcW w:type="dxa" w:w="57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w:t>
            </w:r>
          </w:p>
        </w:tc>
      </w:tr>
    </w:tbl>
    <w:p>
      <w:pPr>
        <w:spacing w:after="120" w:before="120"/>
      </w:pPr>
      <w:r>
        <w:t xml:space="preserve"/>
      </w:r>
    </w:p>
    <w:p>
      <w:pPr>
        <w:spacing w:after="80" w:before="80"/>
        <w:jc w:val="both"/>
      </w:pPr>
      <w:r>
        <w:rPr>
          <w:rFonts w:ascii="Inter" w:cs="Inter" w:eastAsia="Inter" w:hAnsi="Inter"/>
          <w:b w:val="false"/>
          <w:bCs w:val="false"/>
          <w:i/>
          <w:iCs/>
          <w:caps w:val="false"/>
          <w:color w:val="333333"/>
          <w:sz w:val="22"/>
          <w:szCs w:val="22"/>
        </w:rPr>
        <w:t xml:space="preserve">This Memorandum of Understanding ("MoU") is entered into between the parties identified above (collectively the "Parties") for the purpose of establishing a framework for strategic cooperation. It is non-binding save as expressly stated herein.</w:t>
      </w:r>
    </w:p>
    <w:p>
      <w:r>
        <w:r>
          <w:br w:type="page"/>
        </w:r>
      </w:r>
    </w:p>
    <w:p>
      <w:pPr>
        <w:pStyle w:val="Heading1"/>
        <w:pBdr>
          <w:bottom w:val="single" w:color="C5A55A" w:sz="6" w:space="3"/>
        </w:pBdr>
        <w:spacing w:after="160" w:before="400"/>
      </w:pPr>
      <w:r>
        <w:rPr>
          <w:rFonts w:ascii="EB Garamond" w:cs="EB Garamond" w:eastAsia="EB Garamond" w:hAnsi="EB Garamond"/>
          <w:b/>
          <w:bCs/>
          <w:color w:val="000000"/>
          <w:sz w:val="40"/>
          <w:szCs w:val="40"/>
        </w:rPr>
        <w:t xml:space="preserve">1.  Objectives and Aims of the Parties</w:t>
      </w:r>
    </w:p>
    <w:p>
      <w:pPr>
        <w:spacing w:after="80" w:before="80"/>
        <w:jc w:val="both"/>
      </w:pPr>
      <w:r>
        <w:rPr>
          <w:rFonts w:ascii="Inter" w:cs="Inter" w:eastAsia="Inter" w:hAnsi="Inter"/>
          <w:b w:val="false"/>
          <w:bCs w:val="false"/>
          <w:i w:val="false"/>
          <w:iCs w:val="false"/>
          <w:caps w:val="false"/>
          <w:color w:val="333333"/>
          <w:sz w:val="22"/>
          <w:szCs w:val="22"/>
        </w:rPr>
        <w:t xml:space="preserve">The Parties intend to explore and cooperate in the provision of [describe scope — e.g., capital advisory, strategic consulting, origination, and/or placement services] to [describe target — e.g., mutual clients, stakeholders, or projects] (the "Project").</w:t>
      </w:r>
    </w:p>
    <w:p>
      <w:pPr>
        <w:spacing w:after="80" w:before="80"/>
        <w:jc w:val="both"/>
      </w:pPr>
      <w:r>
        <w:rPr>
          <w:rFonts w:ascii="Inter" w:cs="Inter" w:eastAsia="Inter" w:hAnsi="Inter"/>
          <w:b w:val="false"/>
          <w:bCs w:val="false"/>
          <w:i w:val="false"/>
          <w:iCs w:val="false"/>
          <w:caps w:val="false"/>
          <w:color w:val="333333"/>
          <w:sz w:val="22"/>
          <w:szCs w:val="22"/>
        </w:rPr>
        <w:t xml:space="preserve">Without limiting the generality of the foregoing, the Parties anticipate collaboration may include:</w:t>
      </w:r>
    </w:p>
    <w:p>
      <w:pPr>
        <w:spacing w:after="60" w:before="60"/>
        <w:ind w:left="600" w:hanging="260"/>
      </w:pPr>
      <w:r>
        <w:rPr>
          <w:rFonts w:ascii="Inter" w:cs="Inter" w:eastAsia="Inter" w:hAnsi="Inter"/>
          <w:b w:val="false"/>
          <w:bCs w:val="false"/>
          <w:i w:val="false"/>
          <w:iCs w:val="false"/>
          <w:caps w:val="false"/>
          <w:color w:val="333333"/>
          <w:sz w:val="22"/>
          <w:szCs w:val="22"/>
        </w:rPr>
        <w:t xml:space="preserve">▸  Joint origination and execution of capital raising and structured finance mandates, where the Counterparty's client base requires access to alternative capital solutions including private credit, project finance, and structured equity across energy transition, digital infrastructure, critical minerals, and upstream oil &amp; gas sectors.</w:t>
      </w:r>
    </w:p>
    <w:p>
      <w:pPr>
        <w:spacing w:after="60" w:before="60"/>
        <w:ind w:left="600" w:hanging="260"/>
      </w:pPr>
      <w:r>
        <w:rPr>
          <w:rFonts w:ascii="Inter" w:cs="Inter" w:eastAsia="Inter" w:hAnsi="Inter"/>
          <w:b w:val="false"/>
          <w:bCs w:val="false"/>
          <w:i w:val="false"/>
          <w:iCs w:val="false"/>
          <w:caps w:val="false"/>
          <w:color w:val="333333"/>
          <w:sz w:val="22"/>
          <w:szCs w:val="22"/>
        </w:rPr>
        <w:t xml:space="preserve">▸  Co-advisory on mergers, acquisitions, and corporate restructuring transactions where the combined capabilities of both Parties deliver an integrated advisory offering to sponsors, corporates, and government entities.</w:t>
      </w:r>
    </w:p>
    <w:p>
      <w:pPr>
        <w:spacing w:after="60" w:before="60"/>
        <w:ind w:left="600" w:hanging="260"/>
      </w:pPr>
      <w:r>
        <w:rPr>
          <w:rFonts w:ascii="Inter" w:cs="Inter" w:eastAsia="Inter" w:hAnsi="Inter"/>
          <w:b w:val="false"/>
          <w:bCs w:val="false"/>
          <w:i w:val="false"/>
          <w:iCs w:val="false"/>
          <w:caps w:val="false"/>
          <w:color w:val="333333"/>
          <w:sz w:val="22"/>
          <w:szCs w:val="22"/>
        </w:rPr>
        <w:t xml:space="preserve">▸  Joint market intelligence, sector research, and deal pipeline development, including sharing of proprietary sector insights, transaction flow, and investor appetite data across mutually agreed verticals — with particular focus on APAC-EMEA cross-border opportunities.</w:t>
      </w:r>
    </w:p>
    <w:p>
      <w:pPr>
        <w:spacing w:after="60" w:before="60"/>
        <w:ind w:left="600" w:hanging="260"/>
      </w:pPr>
      <w:r>
        <w:rPr>
          <w:rFonts w:ascii="Inter" w:cs="Inter" w:eastAsia="Inter" w:hAnsi="Inter"/>
          <w:b w:val="false"/>
          <w:bCs w:val="false"/>
          <w:i w:val="false"/>
          <w:iCs w:val="false"/>
          <w:caps w:val="false"/>
          <w:color w:val="333333"/>
          <w:sz w:val="22"/>
          <w:szCs w:val="22"/>
        </w:rPr>
        <w:t xml:space="preserve">▸  Reciprocal client and investor introductions, where each Party may refer clients, capital providers, or counterparties to the other Party for services falling within that Party's core competency, subject to the referral, fee-sharing, and conflict management protocols set out in this MoU.</w:t>
      </w:r>
    </w:p>
    <w:p>
      <w:pPr>
        <w:spacing w:after="120" w:before="120"/>
      </w:pPr>
      <w:r>
        <w:t xml:space="preserve"/>
      </w:r>
    </w:p>
    <w:p>
      <w:pPr>
        <w:pStyle w:val="Heading1"/>
        <w:pBdr>
          <w:bottom w:val="single" w:color="C5A55A" w:sz="6" w:space="3"/>
        </w:pBdr>
        <w:spacing w:after="160" w:before="400"/>
      </w:pPr>
      <w:r>
        <w:rPr>
          <w:rFonts w:ascii="EB Garamond" w:cs="EB Garamond" w:eastAsia="EB Garamond" w:hAnsi="EB Garamond"/>
          <w:b/>
          <w:bCs/>
          <w:color w:val="000000"/>
          <w:sz w:val="40"/>
          <w:szCs w:val="40"/>
        </w:rPr>
        <w:t xml:space="preserve">2.  Terms of Cooperation</w:t>
      </w:r>
    </w:p>
    <w:p>
      <w:pPr>
        <w:spacing w:after="80" w:before="80"/>
        <w:jc w:val="both"/>
      </w:pPr>
      <w:r>
        <w:rPr>
          <w:rFonts w:ascii="Inter" w:cs="Inter" w:eastAsia="Inter" w:hAnsi="Inter"/>
          <w:b w:val="false"/>
          <w:bCs w:val="false"/>
          <w:i w:val="false"/>
          <w:iCs w:val="false"/>
          <w:caps w:val="false"/>
          <w:color w:val="333333"/>
          <w:sz w:val="22"/>
          <w:szCs w:val="22"/>
        </w:rPr>
        <w:t xml:space="preserve">Unless otherwise agreed in writing, the budget for any proposed engagement shall be determined based on the Parties' standard professional fee rates, expressed on a day-rate basis, as set out below:</w:t>
      </w:r>
    </w:p>
    <w:tbl>
      <w:tblPr>
        <w:tblW w:type="dxa" w:w="8788"/>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2988"/>
      </w:tblGrid>
      <w:tr>
        <w:tc>
          <w:tcPr>
            <w:tcW w:type="dxa" w:w="2600"/>
            <w:tcBorders>
              <w:top w:val="single" w:color="000000" w:sz="1"/>
              <w:left w:val="single" w:color="000000" w:sz="1"/>
              <w:bottom w:val="single" w:color="000000" w:sz="1"/>
              <w:right w:val="single" w:color="000000" w:sz="1"/>
            </w:tcBorders>
            <w:shd w:fill="000000" w:val="clear"/>
            <w:tcMar>
              <w:top w:type="dxa" w:w="80"/>
              <w:left w:type="dxa" w:w="140"/>
              <w:bottom w:type="dxa" w:w="80"/>
              <w:right w:type="dxa" w:w="140"/>
            </w:tcMar>
          </w:tcPr>
          <w:p>
            <w:r>
              <w:rPr>
                <w:rFonts w:ascii="Inter" w:cs="Inter" w:eastAsia="Inter" w:hAnsi="Inter"/>
                <w:b/>
                <w:bCs/>
                <w:i w:val="false"/>
                <w:iCs w:val="false"/>
                <w:caps w:val="false"/>
                <w:color w:val="C5A55A"/>
                <w:sz w:val="20"/>
                <w:szCs w:val="20"/>
              </w:rPr>
              <w:t xml:space="preserve">Position</w:t>
            </w:r>
          </w:p>
        </w:tc>
        <w:tc>
          <w:tcPr>
            <w:tcW w:type="dxa" w:w="3200"/>
            <w:tcBorders>
              <w:top w:val="single" w:color="000000" w:sz="1"/>
              <w:left w:val="single" w:color="000000" w:sz="1"/>
              <w:bottom w:val="single" w:color="000000" w:sz="1"/>
              <w:right w:val="single" w:color="000000" w:sz="1"/>
            </w:tcBorders>
            <w:shd w:fill="000000" w:val="clear"/>
            <w:tcMar>
              <w:top w:type="dxa" w:w="80"/>
              <w:left w:type="dxa" w:w="140"/>
              <w:bottom w:type="dxa" w:w="80"/>
              <w:right w:type="dxa" w:w="140"/>
            </w:tcMar>
          </w:tcPr>
          <w:p>
            <w:r>
              <w:rPr>
                <w:rFonts w:ascii="Inter" w:cs="Inter" w:eastAsia="Inter" w:hAnsi="Inter"/>
                <w:b/>
                <w:bCs/>
                <w:i w:val="false"/>
                <w:iCs w:val="false"/>
                <w:caps w:val="false"/>
                <w:color w:val="C5A55A"/>
                <w:sz w:val="20"/>
                <w:szCs w:val="20"/>
              </w:rPr>
              <w:t xml:space="preserve">Standard Rate (USD / Day)</w:t>
            </w:r>
          </w:p>
        </w:tc>
        <w:tc>
          <w:tcPr>
            <w:tcW w:type="dxa" w:w="2988"/>
            <w:tcBorders>
              <w:top w:val="single" w:color="000000" w:sz="1"/>
              <w:left w:val="single" w:color="000000" w:sz="1"/>
              <w:bottom w:val="single" w:color="000000" w:sz="1"/>
              <w:right w:val="single" w:color="000000" w:sz="1"/>
            </w:tcBorders>
            <w:shd w:fill="000000" w:val="clear"/>
            <w:tcMar>
              <w:top w:type="dxa" w:w="80"/>
              <w:left w:type="dxa" w:w="140"/>
              <w:bottom w:type="dxa" w:w="80"/>
              <w:right w:type="dxa" w:w="140"/>
            </w:tcMar>
          </w:tcPr>
          <w:p>
            <w:r>
              <w:rPr>
                <w:rFonts w:ascii="Inter" w:cs="Inter" w:eastAsia="Inter" w:hAnsi="Inter"/>
                <w:b/>
                <w:bCs/>
                <w:i w:val="false"/>
                <w:iCs w:val="false"/>
                <w:caps w:val="false"/>
                <w:color w:val="C5A55A"/>
                <w:sz w:val="20"/>
                <w:szCs w:val="20"/>
              </w:rPr>
              <w:t xml:space="preserve">Notes</w:t>
            </w:r>
          </w:p>
        </w:tc>
      </w:tr>
      <w:tr>
        <w:tc>
          <w:tcPr>
            <w:tcW w:type="dxa" w:w="26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Junior Consultant / Analyst</w:t>
            </w:r>
          </w:p>
        </w:tc>
        <w:tc>
          <w:tcPr>
            <w:tcW w:type="dxa" w:w="3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[USD X,XXX]</w:t>
            </w:r>
          </w:p>
        </w:tc>
        <w:tc>
          <w:tcPr>
            <w:tcW w:type="dxa" w:w="29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w:t>
            </w:r>
          </w:p>
        </w:tc>
      </w:tr>
      <w:tr>
        <w:tc>
          <w:tcPr>
            <w:tcW w:type="dxa" w:w="26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Consultant / Associate</w:t>
            </w:r>
          </w:p>
        </w:tc>
        <w:tc>
          <w:tcPr>
            <w:tcW w:type="dxa" w:w="3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[USD X,XXX]</w:t>
            </w:r>
          </w:p>
        </w:tc>
        <w:tc>
          <w:tcPr>
            <w:tcW w:type="dxa" w:w="29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w:t>
            </w:r>
          </w:p>
        </w:tc>
      </w:tr>
      <w:tr>
        <w:tc>
          <w:tcPr>
            <w:tcW w:type="dxa" w:w="26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Senior Consultant / VP</w:t>
            </w:r>
          </w:p>
        </w:tc>
        <w:tc>
          <w:tcPr>
            <w:tcW w:type="dxa" w:w="3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[USD X,XXX]</w:t>
            </w:r>
          </w:p>
        </w:tc>
        <w:tc>
          <w:tcPr>
            <w:tcW w:type="dxa" w:w="29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w:t>
            </w:r>
          </w:p>
        </w:tc>
      </w:tr>
      <w:tr>
        <w:tc>
          <w:tcPr>
            <w:tcW w:type="dxa" w:w="26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Managing Director / Partner</w:t>
            </w:r>
          </w:p>
        </w:tc>
        <w:tc>
          <w:tcPr>
            <w:tcW w:type="dxa" w:w="3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[USD X,XXX]</w:t>
            </w:r>
          </w:p>
        </w:tc>
        <w:tc>
          <w:tcPr>
            <w:tcW w:type="dxa" w:w="29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w:t>
            </w:r>
          </w:p>
        </w:tc>
      </w:tr>
    </w:tbl>
    <w:p>
      <w:pPr>
        <w:spacing w:after="120" w:before="120"/>
      </w:pPr>
      <w:r>
        <w:t xml:space="preserve"/>
      </w:r>
    </w:p>
    <w:p>
      <w:pPr>
        <w:spacing w:after="80" w:before="80"/>
        <w:jc w:val="both"/>
      </w:pPr>
      <w:r>
        <w:rPr>
          <w:rFonts w:ascii="Inter" w:cs="Inter" w:eastAsia="Inter" w:hAnsi="Inter"/>
          <w:b w:val="false"/>
          <w:bCs w:val="false"/>
          <w:i w:val="false"/>
          <w:iCs w:val="false"/>
          <w:caps w:val="false"/>
          <w:color w:val="333333"/>
          <w:sz w:val="22"/>
          <w:szCs w:val="22"/>
        </w:rPr>
        <w:t xml:space="preserve">All fee arrangements in respect of specific mandates shall be documented in a separate Engagement Letter or Fee Letter executed by both Parties prior to commencement of billable work.</w:t>
      </w:r>
    </w:p>
    <w:p>
      <w:pPr>
        <w:spacing w:after="120" w:before="120"/>
      </w:pPr>
      <w:r>
        <w:t xml:space="preserve"/>
      </w:r>
    </w:p>
    <w:p>
      <w:pPr>
        <w:pStyle w:val="Heading1"/>
        <w:pBdr>
          <w:bottom w:val="single" w:color="C5A55A" w:sz="6" w:space="3"/>
        </w:pBdr>
        <w:spacing w:after="160" w:before="400"/>
      </w:pPr>
      <w:r>
        <w:rPr>
          <w:rFonts w:ascii="EB Garamond" w:cs="EB Garamond" w:eastAsia="EB Garamond" w:hAnsi="EB Garamond"/>
          <w:b/>
          <w:bCs/>
          <w:color w:val="000000"/>
          <w:sz w:val="40"/>
          <w:szCs w:val="40"/>
        </w:rPr>
        <w:t xml:space="preserve">3.  Exclusivity and Non-Solicitation</w:t>
      </w:r>
    </w:p>
    <w:p>
      <w:pPr>
        <w:spacing w:after="80" w:before="80"/>
        <w:jc w:val="both"/>
      </w:pPr>
      <w:r>
        <w:rPr>
          <w:rFonts w:ascii="Inter" w:cs="Inter" w:eastAsia="Inter" w:hAnsi="Inter"/>
          <w:b w:val="false"/>
          <w:bCs w:val="false"/>
          <w:i w:val="false"/>
          <w:iCs w:val="false"/>
          <w:caps w:val="false"/>
          <w:color w:val="333333"/>
          <w:sz w:val="22"/>
          <w:szCs w:val="22"/>
        </w:rPr>
        <w:t xml:space="preserve">This MoU is non-exclusive save as otherwise expressly agreed in a separate mandate-specific side letter or engagement letter. Neither Party shall directly solicit the other Party's clients or counterparties introduced under this MoU for a period of [●] months following the termination of this MoU.</w:t>
      </w:r>
    </w:p>
    <w:p>
      <w:pPr>
        <w:spacing w:after="120" w:before="120"/>
      </w:pPr>
      <w:r>
        <w:t xml:space="preserve"/>
      </w:r>
    </w:p>
    <w:p>
      <w:pPr>
        <w:pStyle w:val="Heading1"/>
        <w:pBdr>
          <w:bottom w:val="single" w:color="C5A55A" w:sz="6" w:space="3"/>
        </w:pBdr>
        <w:spacing w:after="160" w:before="400"/>
      </w:pPr>
      <w:r>
        <w:rPr>
          <w:rFonts w:ascii="EB Garamond" w:cs="EB Garamond" w:eastAsia="EB Garamond" w:hAnsi="EB Garamond"/>
          <w:b/>
          <w:bCs/>
          <w:color w:val="000000"/>
          <w:sz w:val="40"/>
          <w:szCs w:val="40"/>
        </w:rPr>
        <w:t xml:space="preserve">4.  Confidentiality</w:t>
      </w:r>
    </w:p>
    <w:p>
      <w:pPr>
        <w:spacing w:after="80" w:before="80"/>
        <w:jc w:val="both"/>
      </w:pPr>
      <w:r>
        <w:rPr>
          <w:rFonts w:ascii="Inter" w:cs="Inter" w:eastAsia="Inter" w:hAnsi="Inter"/>
          <w:b w:val="false"/>
          <w:bCs w:val="false"/>
          <w:i w:val="false"/>
          <w:iCs w:val="false"/>
          <w:caps w:val="false"/>
          <w:color w:val="333333"/>
          <w:sz w:val="22"/>
          <w:szCs w:val="22"/>
        </w:rPr>
        <w:t xml:space="preserve">Each Party agrees to maintain in strict confidence all information disclosed by the other Party in connection with this MoU and any cooperation contemplated herein. This obligation shall survive termination of this MoU for a period of [●] years.</w:t>
      </w:r>
    </w:p>
    <w:p>
      <w:pPr>
        <w:spacing w:after="120" w:before="120"/>
      </w:pPr>
      <w:r>
        <w:t xml:space="preserve"/>
      </w:r>
    </w:p>
    <w:p>
      <w:pPr>
        <w:pStyle w:val="Heading1"/>
        <w:pBdr>
          <w:bottom w:val="single" w:color="C5A55A" w:sz="6" w:space="3"/>
        </w:pBdr>
        <w:spacing w:after="160" w:before="400"/>
      </w:pPr>
      <w:r>
        <w:rPr>
          <w:rFonts w:ascii="EB Garamond" w:cs="EB Garamond" w:eastAsia="EB Garamond" w:hAnsi="EB Garamond"/>
          <w:b/>
          <w:bCs/>
          <w:color w:val="000000"/>
          <w:sz w:val="40"/>
          <w:szCs w:val="40"/>
        </w:rPr>
        <w:t xml:space="preserve">5.  Term and Termination</w:t>
      </w:r>
    </w:p>
    <w:tbl>
      <w:tblPr>
        <w:tblW w:type="dxa" w:w="8788"/>
        <w:tblBorders>
          <w:top w:val="single" w:color="auto" w:sz="4"/>
          <w:left w:val="single" w:color="auto" w:sz="4"/>
          <w:bottom w:val="single" w:color="auto" w:sz="4"/>
          <w:right w:val="single" w:color="auto" w:sz="4"/>
          <w:insideH w:val="single" w:color="auto" w:sz="4"/>
          <w:insideV w:val="single" w:color="auto" w:sz="4"/>
        </w:tblBorders>
      </w:tblPr>
      <w:tblGrid>
        <w:gridCol w:w="3000"/>
        <w:gridCol w:w="5788"/>
      </w:tblGrid>
      <w:tr>
        <w:tc>
          <w:tcPr>
            <w:tcW w:type="dxa" w:w="3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r>
              <w:rPr>
                <w:rFonts w:ascii="Inter" w:cs="Inter" w:eastAsia="Inter" w:hAnsi="Inter"/>
                <w:b/>
                <w:bCs/>
                <w:i w:val="false"/>
                <w:iCs w:val="false"/>
                <w:caps w:val="false"/>
                <w:color w:val="333333"/>
                <w:sz w:val="20"/>
                <w:szCs w:val="20"/>
              </w:rPr>
              <w:t xml:space="preserve">Initial Term</w:t>
            </w:r>
          </w:p>
        </w:tc>
        <w:tc>
          <w:tcPr>
            <w:tcW w:type="dxa" w:w="57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 months from the Effective Date</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r>
              <w:rPr>
                <w:rFonts w:ascii="Inter" w:cs="Inter" w:eastAsia="Inter" w:hAnsi="Inter"/>
                <w:b/>
                <w:bCs/>
                <w:i w:val="false"/>
                <w:iCs w:val="false"/>
                <w:caps w:val="false"/>
                <w:color w:val="333333"/>
                <w:sz w:val="20"/>
                <w:szCs w:val="20"/>
              </w:rPr>
              <w:t xml:space="preserve">Renewal</w:t>
            </w:r>
          </w:p>
        </w:tc>
        <w:tc>
          <w:tcPr>
            <w:tcW w:type="dxa" w:w="57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Auto-renewal for successive [●]-month periods unless terminated</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r>
              <w:rPr>
                <w:rFonts w:ascii="Inter" w:cs="Inter" w:eastAsia="Inter" w:hAnsi="Inter"/>
                <w:b/>
                <w:bCs/>
                <w:i w:val="false"/>
                <w:iCs w:val="false"/>
                <w:caps w:val="false"/>
                <w:color w:val="333333"/>
                <w:sz w:val="20"/>
                <w:szCs w:val="20"/>
              </w:rPr>
              <w:t xml:space="preserve">Termination Notice</w:t>
            </w:r>
          </w:p>
        </w:tc>
        <w:tc>
          <w:tcPr>
            <w:tcW w:type="dxa" w:w="57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 days' written notice by either Party</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r>
              <w:rPr>
                <w:rFonts w:ascii="Inter" w:cs="Inter" w:eastAsia="Inter" w:hAnsi="Inter"/>
                <w:b/>
                <w:bCs/>
                <w:i w:val="false"/>
                <w:iCs w:val="false"/>
                <w:caps w:val="false"/>
                <w:color w:val="333333"/>
                <w:sz w:val="20"/>
                <w:szCs w:val="20"/>
              </w:rPr>
              <w:t xml:space="preserve">Effective Date</w:t>
            </w:r>
          </w:p>
        </w:tc>
        <w:tc>
          <w:tcPr>
            <w:tcW w:type="dxa" w:w="57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w:t>
            </w:r>
          </w:p>
        </w:tc>
      </w:tr>
    </w:tbl>
    <w:p>
      <w:pPr>
        <w:spacing w:after="120" w:before="120"/>
      </w:pPr>
      <w:r>
        <w:t xml:space="preserve"/>
      </w:r>
    </w:p>
    <w:p>
      <w:pPr>
        <w:pStyle w:val="Heading1"/>
        <w:pBdr>
          <w:bottom w:val="single" w:color="C5A55A" w:sz="6" w:space="3"/>
        </w:pBdr>
        <w:spacing w:after="160" w:before="400"/>
      </w:pPr>
      <w:r>
        <w:rPr>
          <w:rFonts w:ascii="EB Garamond" w:cs="EB Garamond" w:eastAsia="EB Garamond" w:hAnsi="EB Garamond"/>
          <w:b/>
          <w:bCs/>
          <w:color w:val="000000"/>
          <w:sz w:val="40"/>
          <w:szCs w:val="40"/>
        </w:rPr>
        <w:t xml:space="preserve">6.  Governing Law</w:t>
      </w:r>
    </w:p>
    <w:p>
      <w:pPr>
        <w:spacing w:after="80" w:before="80"/>
        <w:jc w:val="both"/>
      </w:pPr>
      <w:r>
        <w:rPr>
          <w:rFonts w:ascii="Inter" w:cs="Inter" w:eastAsia="Inter" w:hAnsi="Inter"/>
          <w:b w:val="false"/>
          <w:bCs w:val="false"/>
          <w:i w:val="false"/>
          <w:iCs w:val="false"/>
          <w:caps w:val="false"/>
          <w:color w:val="333333"/>
          <w:sz w:val="22"/>
          <w:szCs w:val="22"/>
        </w:rPr>
        <w:t xml:space="preserve">This MoU shall be governed by and construed in accordance with the laws of [●]. Any disputes shall be referred to [●] for resolution.</w:t>
      </w:r>
    </w:p>
    <w:p>
      <w:pPr>
        <w:spacing w:after="120" w:before="120"/>
      </w:pPr>
      <w:r>
        <w:t xml:space="preserve"/>
      </w:r>
    </w:p>
    <w:p>
      <w:pPr>
        <w:pStyle w:val="Heading1"/>
        <w:pBdr>
          <w:bottom w:val="single" w:color="C5A55A" w:sz="6" w:space="3"/>
        </w:pBdr>
        <w:spacing w:after="160" w:before="400"/>
      </w:pPr>
      <w:r>
        <w:rPr>
          <w:rFonts w:ascii="EB Garamond" w:cs="EB Garamond" w:eastAsia="EB Garamond" w:hAnsi="EB Garamond"/>
          <w:b/>
          <w:bCs/>
          <w:color w:val="000000"/>
          <w:sz w:val="40"/>
          <w:szCs w:val="40"/>
        </w:rPr>
        <w:t xml:space="preserve">7.  Signatures</w:t>
      </w:r>
    </w:p>
    <w:tbl>
      <w:tblPr>
        <w:tblW w:type="dxa" w:w="8788"/>
        <w:tblBorders>
          <w:top w:val="single" w:color="auto" w:sz="4"/>
          <w:left w:val="single" w:color="auto" w:sz="4"/>
          <w:bottom w:val="single" w:color="auto" w:sz="4"/>
          <w:right w:val="single" w:color="auto" w:sz="4"/>
          <w:insideH w:val="single" w:color="auto" w:sz="4"/>
          <w:insideV w:val="single" w:color="auto" w:sz="4"/>
        </w:tblBorders>
      </w:tblPr>
      <w:tblGrid>
        <w:gridCol w:w="3000"/>
        <w:gridCol w:w="5788"/>
      </w:tblGrid>
      <w:tr>
        <w:tc>
          <w:tcPr>
            <w:tcW w:type="dxa" w:w="3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r>
              <w:rPr>
                <w:rFonts w:ascii="Inter" w:cs="Inter" w:eastAsia="Inter" w:hAnsi="Inter"/>
                <w:b/>
                <w:bCs/>
                <w:i w:val="false"/>
                <w:iCs w:val="false"/>
                <w:caps w:val="false"/>
                <w:color w:val="333333"/>
                <w:sz w:val="20"/>
                <w:szCs w:val="20"/>
              </w:rPr>
              <w:t xml:space="preserve">For and on behalf of Ascension Capital Partners</w:t>
            </w:r>
          </w:p>
        </w:tc>
        <w:tc>
          <w:tcPr>
            <w:tcW w:type="dxa" w:w="57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For and on behalf of [Counterparty]</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r>
              <w:rPr>
                <w:rFonts w:ascii="Inter" w:cs="Inter" w:eastAsia="Inter" w:hAnsi="Inter"/>
                <w:b/>
                <w:bCs/>
                <w:i w:val="false"/>
                <w:iCs w:val="false"/>
                <w:caps w:val="false"/>
                <w:color w:val="333333"/>
                <w:sz w:val="20"/>
                <w:szCs w:val="20"/>
              </w:rPr>
              <w:t xml:space="preserve">Signed: ___________________________</w:t>
            </w:r>
          </w:p>
        </w:tc>
        <w:tc>
          <w:tcPr>
            <w:tcW w:type="dxa" w:w="57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Signed: ___________________________</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r>
              <w:rPr>
                <w:rFonts w:ascii="Inter" w:cs="Inter" w:eastAsia="Inter" w:hAnsi="Inter"/>
                <w:b/>
                <w:bCs/>
                <w:i w:val="false"/>
                <w:iCs w:val="false"/>
                <w:caps w:val="false"/>
                <w:color w:val="333333"/>
                <w:sz w:val="20"/>
                <w:szCs w:val="20"/>
              </w:rPr>
              <w:t xml:space="preserve">Name: Joshua Ting</w:t>
            </w:r>
          </w:p>
        </w:tc>
        <w:tc>
          <w:tcPr>
            <w:tcW w:type="dxa" w:w="57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Name: [●]</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r>
              <w:rPr>
                <w:rFonts w:ascii="Inter" w:cs="Inter" w:eastAsia="Inter" w:hAnsi="Inter"/>
                <w:b/>
                <w:bCs/>
                <w:i w:val="false"/>
                <w:iCs w:val="false"/>
                <w:caps w:val="false"/>
                <w:color w:val="333333"/>
                <w:sz w:val="20"/>
                <w:szCs w:val="20"/>
              </w:rPr>
              <w:t xml:space="preserve">Title: Executive Managing Partner</w:t>
            </w:r>
          </w:p>
        </w:tc>
        <w:tc>
          <w:tcPr>
            <w:tcW w:type="dxa" w:w="57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Title: [●]</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r>
              <w:rPr>
                <w:rFonts w:ascii="Inter" w:cs="Inter" w:eastAsia="Inter" w:hAnsi="Inter"/>
                <w:b/>
                <w:bCs/>
                <w:i w:val="false"/>
                <w:iCs w:val="false"/>
                <w:caps w:val="false"/>
                <w:color w:val="333333"/>
                <w:sz w:val="20"/>
                <w:szCs w:val="20"/>
              </w:rPr>
              <w:t xml:space="preserve">Date: [●]</w:t>
            </w:r>
          </w:p>
        </w:tc>
        <w:tc>
          <w:tcPr>
            <w:tcW w:type="dxa" w:w="57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Date: [●]</w:t>
            </w:r>
          </w:p>
        </w:tc>
      </w:tr>
    </w:tbl>
    <w:p>
      <w:pPr>
        <w:pBdr>
          <w:bottom w:val="single" w:color="C5A55A" w:sz="4" w:space="2"/>
        </w:pBdr>
        <w:spacing w:after="200" w:before="200"/>
      </w:pPr>
      <w:r>
        <w:t xml:space="preserve"/>
      </w:r>
    </w:p>
    <w:p>
      <w:pPr>
        <w:spacing w:after="80" w:before="80"/>
        <w:jc w:val="both"/>
      </w:pPr>
      <w:r>
        <w:rPr>
          <w:rFonts w:ascii="Inter" w:cs="Inter" w:eastAsia="Inter" w:hAnsi="Inter"/>
          <w:b w:val="false"/>
          <w:bCs w:val="false"/>
          <w:i/>
          <w:iCs/>
          <w:caps w:val="false"/>
          <w:color w:val="333333"/>
          <w:sz w:val="22"/>
          <w:szCs w:val="22"/>
        </w:rPr>
        <w:t xml:space="preserve">Ascension Capital Partners t/a APEX Consulting Partners Pty Ltd  |  ACN 674 649 417</w:t>
      </w:r>
    </w:p>
    <w:sectPr>
      <w:headerReference w:type="default" r:id="rId7"/>
      <w:footerReference w:type="default" r:id="rId8"/>
      <w:pgSz w:w="11906" w:h="16838" w:orient="portrait"/>
      <w:pgMar w:top="1417" w:right="1417" w:bottom="1417" w:left="1701" w:header="708" w:footer="708" w:gutter="0"/>
      <w:pgBorders>
        <w:left w:val="single" w:color="C5A55A" w:sz="36" w:space="20"/>
      </w:pgBorders>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80"/>
      <w:jc w:val="center"/>
    </w:pPr>
    <w:r>
      <w:rPr>
        <w:rFonts w:ascii="Inter" w:cs="Inter" w:eastAsia="Inter" w:hAnsi="Inter"/>
        <w:color w:val="9B9B9B"/>
        <w:sz w:val="16"/>
        <w:szCs w:val="16"/>
      </w:rPr>
      <w:t xml:space="preserve">Ascension Capital Partners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A55A" w:sz="6" w:space="4"/>
      </w:pBdr>
      <w:tabs>
        <w:tab w:val="right" w:pos="8788"/>
      </w:tabs>
      <w:spacing w:after="60"/>
    </w:pPr>
    <w:r>
      <w:rPr>
        <w:rFonts w:ascii="Inter" w:cs="Inter" w:eastAsia="Inter" w:hAnsi="Inter"/>
        <w:color w:val="333333"/>
        <w:sz w:val="18"/>
        <w:szCs w:val="18"/>
      </w:rPr>
      <w:t xml:space="preserve">Ascension Capital Partners</w:t>
    </w:r>
    <w:r>
      <w:t xml:space="preserve">	</w:t>
    </w:r>
    <w:r>
      <w:rPr>
        <w:rFonts w:ascii="Inter" w:cs="Inter" w:eastAsia="Inter" w:hAnsi="Inter"/>
        <w:color w:val="333333"/>
        <w:sz w:val="18"/>
        <w:szCs w:val="18"/>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EB Garamond" w:cs="EB Garamond" w:eastAsia="EB Garamond" w:hAnsi="EB Garamond"/>
      <w:b/>
      <w:bCs/>
      <w:color w:val="000000"/>
      <w:sz w:val="40"/>
      <w:szCs w:val="40"/>
    </w:rPr>
  </w:style>
  <w:style w:type="paragraph" w:styleId="Heading2">
    <w:name w:val="Heading 2"/>
    <w:basedOn w:val="Normal"/>
    <w:next w:val="Normal"/>
    <w:qFormat/>
    <w:pPr>
      <w:spacing w:after="100" w:before="280"/>
      <w:outlineLvl w:val="1"/>
    </w:pPr>
    <w:rPr>
      <w:rFonts w:ascii="EB Garamond" w:cs="EB Garamond" w:eastAsia="EB Garamond" w:hAnsi="EB Garamond"/>
      <w:b/>
      <w:bCs/>
      <w:color w:val="333333"/>
      <w:sz w:val="32"/>
      <w:szCs w:val="32"/>
    </w:rPr>
  </w:style>
  <w:style w:type="paragraph" w:styleId="Heading3">
    <w:name w:val="Heading 3"/>
    <w:basedOn w:val="Normal"/>
    <w:next w:val="Normal"/>
    <w:qFormat/>
    <w:pPr>
      <w:spacing w:after="80" w:before="200"/>
      <w:outlineLvl w:val="2"/>
    </w:pPr>
    <w:rPr>
      <w:rFonts w:ascii="Inter" w:cs="Inter" w:eastAsia="Inter" w:hAnsi="Inter"/>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2026-04-14T17:42:08.462Z</dcterms:created>
  <dcterms:modified xsi:type="dcterms:W3CDTF">2026-04-14T17:42:08.462Z</dcterms:modified>
</cp:coreProperties>
</file>

<file path=docProps/custom.xml><?xml version="1.0" encoding="utf-8"?>
<Properties xmlns="http://schemas.openxmlformats.org/officeDocument/2006/custom-properties" xmlns:vt="http://schemas.openxmlformats.org/officeDocument/2006/docPropsVTypes"/>
</file>