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Inter" w:cs="Inter" w:eastAsia="Inter" w:hAnsi="Inter"/>
          <w:b/>
          <w:bCs/>
          <w:i w:val="false"/>
          <w:iCs w:val="false"/>
          <w:caps/>
          <w:color w:val="000000"/>
          <w:sz w:val="24"/>
          <w:szCs w:val="24"/>
        </w:rPr>
        <w:t xml:space="preserve">ASCENSION CAPITAL PARTNERS</w:t>
      </w:r>
    </w:p>
    <w:p>
      <w:pPr>
        <w:spacing w:after="200" w:before="0"/>
        <w:jc w:val="center"/>
      </w:pPr>
      <w:r>
        <w:rPr>
          <w:rFonts w:ascii="Inter" w:cs="Inter" w:eastAsia="Inter" w:hAnsi="Inter"/>
          <w:b w:val="false"/>
          <w:bCs w:val="false"/>
          <w:i w:val="false"/>
          <w:iCs w:val="false"/>
          <w:caps w:val="false"/>
          <w:color w:val="9B9B9B"/>
          <w:sz w:val="18"/>
          <w:szCs w:val="18"/>
        </w:rPr>
        <w:t xml:space="preserve">APEX Consulting Partners Pty Ltd (ACN 674 649 417)</w:t>
      </w:r>
    </w:p>
    <w:p>
      <w:pPr>
        <w:pBdr>
          <w:bottom w:val="single" w:color="C5A55A" w:sz="4" w:space="2"/>
        </w:pBdr>
        <w:spacing w:after="200" w:before="200"/>
      </w:pPr>
      <w:r>
        <w:t xml:space="preserve"/>
      </w:r>
    </w:p>
    <w:p>
      <w:pPr>
        <w:spacing w:after="240" w:before="480"/>
        <w:jc w:val="center"/>
      </w:pPr>
      <w:r>
        <w:rPr>
          <w:rFonts w:ascii="EB Garamond" w:cs="EB Garamond" w:eastAsia="EB Garamond" w:hAnsi="EB Garamond"/>
          <w:b/>
          <w:bCs/>
          <w:color w:val="000000"/>
          <w:sz w:val="56"/>
          <w:szCs w:val="56"/>
        </w:rPr>
        <w:t xml:space="preserve">Mandate Letter</w:t>
      </w:r>
    </w:p>
    <w:p>
      <w:pPr>
        <w:spacing w:after="120" w:before="120"/>
        <w:jc w:val="center"/>
      </w:pPr>
      <w:r>
        <w:rPr>
          <w:rFonts w:ascii="Inter" w:cs="Inter" w:eastAsia="Inter" w:hAnsi="Inter"/>
          <w:b w:val="false"/>
          <w:bCs w:val="false"/>
          <w:i w:val="false"/>
          <w:iCs w:val="false"/>
          <w:caps w:val="false"/>
          <w:color w:val="333333"/>
          <w:sz w:val="26"/>
          <w:szCs w:val="26"/>
        </w:rPr>
        <w:t xml:space="preserve">Short Form — Capital Advisory &amp; Placement</w:t>
      </w:r>
    </w:p>
    <w:p>
      <w:pPr>
        <w:spacing w:after="120" w:before="120"/>
      </w:pPr>
      <w:r>
        <w:t xml:space="preserve"/>
      </w:r>
    </w:p>
    <w:p>
      <w:pPr>
        <w:shd w:fill="000000" w:val="clear"/>
        <w:spacing w:after="120" w:before="120"/>
        <w:jc w:val="center"/>
      </w:pPr>
      <w:r>
        <w:rPr>
          <w:rFonts w:ascii="Inter" w:cs="Inter" w:eastAsia="Inter" w:hAnsi="Inter"/>
          <w:b/>
          <w:bCs/>
          <w:i w:val="false"/>
          <w:iCs w:val="false"/>
          <w:caps w:val="false"/>
          <w:color w:val="C5A55A"/>
          <w:sz w:val="18"/>
          <w:szCs w:val="18"/>
        </w:rPr>
        <w:t xml:space="preserve">STRICTLY CONFIDENTIAL — FOR PROFESSIONAL INVESTORS ONLY</w:t>
      </w:r>
    </w:p>
    <w:p>
      <w:pPr>
        <w:spacing w:after="120" w:before="12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Project Name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[PROJECT NAME — SECTOR: DESCRIPTION]</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Project ID</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[ACP-YYYY-NN-SECTOR]</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Date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[DD Month YYYY]</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VDR Status</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[Status]</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Prepared by</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Ascension Capital Partners — Head of Alternatives, Origination, Syndication &amp; Investments</w:t>
            </w:r>
          </w:p>
        </w:tc>
      </w:tr>
    </w:tbl>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1.  Parties &amp; Roles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000"/>
        <w:gridCol w:w="3394"/>
        <w:gridCol w:w="3394"/>
      </w:tblGrid>
      <w:tr>
        <w:tc>
          <w:tcPr>
            <w:tcW w:type="dxa" w:w="20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Role</w:t>
            </w:r>
          </w:p>
        </w:tc>
        <w:tc>
          <w:tcPr>
            <w:tcW w:type="dxa" w:w="3394"/>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Entity</w:t>
            </w:r>
          </w:p>
        </w:tc>
        <w:tc>
          <w:tcPr>
            <w:tcW w:type="dxa" w:w="3394"/>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Function</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Client</w:t>
            </w:r>
          </w:p>
        </w:tc>
        <w:tc>
          <w:tcPr>
            <w:tcW w:type="dxa" w:w="3394"/>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[Full Legal Name] [and any related entities]</w:t>
            </w:r>
          </w:p>
        </w:tc>
        <w:tc>
          <w:tcPr>
            <w:tcW w:type="dxa" w:w="3394"/>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Principal obligor and beneficiary</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Advisor</w:t>
            </w:r>
          </w:p>
        </w:tc>
        <w:tc>
          <w:tcPr>
            <w:tcW w:type="dxa" w:w="3394"/>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Ascension Capital Partners</w:t>
            </w:r>
          </w:p>
        </w:tc>
        <w:tc>
          <w:tcPr>
            <w:tcW w:type="dxa" w:w="3394"/>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Mandate holder and syndicator</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Consultant</w:t>
            </w:r>
          </w:p>
        </w:tc>
        <w:tc>
          <w:tcPr>
            <w:tcW w:type="dxa" w:w="3394"/>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APEX Consulting Partners Pty Ltd</w:t>
            </w:r>
          </w:p>
        </w:tc>
        <w:tc>
          <w:tcPr>
            <w:tcW w:type="dxa" w:w="3394"/>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Exclusive originator, placement agent, and strategic advisor</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Governing Law</w:t>
            </w:r>
          </w:p>
        </w:tc>
        <w:tc>
          <w:tcPr>
            <w:tcW w:type="dxa" w:w="3394"/>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England &amp; Wales</w:t>
            </w:r>
          </w:p>
        </w:tc>
        <w:tc>
          <w:tcPr>
            <w:tcW w:type="dxa" w:w="3394"/>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LCIA arbitration (confidential, expedited); interim injunctive relief reserved</w:t>
            </w:r>
          </w:p>
        </w:tc>
      </w:tr>
    </w:tbl>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2.  Transaction Scope</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988"/>
      </w:tblGrid>
      <w:tr>
        <w:tc>
          <w:tcPr>
            <w:tcW w:type="dxa" w:w="26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Capital Lane</w:t>
            </w:r>
          </w:p>
        </w:tc>
        <w:tc>
          <w:tcPr>
            <w:tcW w:type="dxa" w:w="32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Amount</w:t>
            </w:r>
          </w:p>
        </w:tc>
        <w:tc>
          <w:tcPr>
            <w:tcW w:type="dxa" w:w="2988"/>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Structure &amp; Key Terms</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Equity</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[US$XX,XXX,XXX]</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[Ordinary / Preferred / Convertible] — [1–2 line summary]</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Private Credit / Project Finance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[US$XX–XXXm]</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[Senior / Unitranche / Mezzanine] — [1–2 line summary]</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Structured / Hybrid</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[US$XX,XXX,XXX]</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[Structure] — [If applicable]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M&amp;A Advisory</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[Indicative Value]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[Buy-Side / Sell-Side / Restructuring] — [1–2 line summary]</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Commodities / Trade Finance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[Amount]</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[Structure] — [If applicable]</w:t>
            </w:r>
          </w:p>
        </w:tc>
      </w:tr>
    </w:tbl>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3.  Mandate Term</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Equity Lane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[X] months + [X]-month extension if ≥50% term sheets executed by midpoint</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Private Credit / Project Finance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[X] months + [X]-month extension if ≥50% term sheets executed by midpoint</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Structured / Hybrid</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[X] months + [X]-month extension if ≥50% term sheets executed by midpoint</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M&amp;A Advisory</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[X] months + [X]-month extension if ≥50% term sheets executed by midpoint</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Extension Trigger</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≥50% of target capital has received executed term sheets by the midpoint of the initial term</w:t>
            </w:r>
          </w:p>
        </w:tc>
      </w:tr>
    </w:tbl>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4.  Fee Schedule</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988"/>
      </w:tblGrid>
      <w:tr>
        <w:tc>
          <w:tcPr>
            <w:tcW w:type="dxa" w:w="26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Fee Type</w:t>
            </w:r>
          </w:p>
        </w:tc>
        <w:tc>
          <w:tcPr>
            <w:tcW w:type="dxa" w:w="32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Rate / Amount</w:t>
            </w:r>
          </w:p>
        </w:tc>
        <w:tc>
          <w:tcPr>
            <w:tcW w:type="dxa" w:w="2988"/>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Trigger</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Mobilisation / Retainer Fee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Payable upon execution of this Mandate Letter</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Arrangement Fee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of Facility Size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Payable on Financial Close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Success / Placement Fee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of Capital Raised</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Payable on each Closing Event</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Equity Carry / Co-Investment</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Per agreed equity earn-in schedule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Tail Fee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for [●] months</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Post-termination tail period</w:t>
            </w:r>
          </w:p>
        </w:tc>
      </w:tr>
    </w:tbl>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5.  Exclusivity &amp; Undertakings</w:t>
      </w:r>
    </w:p>
    <w:p>
      <w:pPr>
        <w:spacing w:after="80" w:before="80"/>
        <w:jc w:val="both"/>
      </w:pPr>
      <w:r>
        <w:rPr>
          <w:rFonts w:ascii="Inter" w:cs="Inter" w:eastAsia="Inter" w:hAnsi="Inter"/>
          <w:b w:val="false"/>
          <w:bCs w:val="false"/>
          <w:i w:val="false"/>
          <w:iCs w:val="false"/>
          <w:caps w:val="false"/>
          <w:color w:val="333333"/>
          <w:sz w:val="22"/>
          <w:szCs w:val="22"/>
        </w:rPr>
        <w:t xml:space="preserve">The Client grants Ascension Capital Partners an exclusive mandate in respect of the Transaction for the term specified above. The Client undertakes not to appoint any other advisor, placement agent, arranger, or finder in connection with the Transaction without the prior written consent of Ascension Capital Partners during the mandate term.</w:t>
      </w:r>
    </w:p>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6.  Conditions</w:t>
      </w:r>
    </w:p>
    <w:p>
      <w:pPr>
        <w:spacing w:after="80" w:before="80"/>
        <w:jc w:val="both"/>
      </w:pPr>
      <w:r>
        <w:rPr>
          <w:rFonts w:ascii="Inter" w:cs="Inter" w:eastAsia="Inter" w:hAnsi="Inter"/>
          <w:b w:val="false"/>
          <w:bCs w:val="false"/>
          <w:i w:val="false"/>
          <w:iCs w:val="false"/>
          <w:caps w:val="false"/>
          <w:color w:val="333333"/>
          <w:sz w:val="22"/>
          <w:szCs w:val="22"/>
        </w:rPr>
        <w:t xml:space="preserve">This Mandate Letter is conditional upon (i) satisfactory completion of KYC/AML due diligence on all Parties, (ii) execution of a Non-Disclosure Agreement, and (iii) receipt of all required internal approvals. It does not constitute a commitment to provide or arrange capital.</w:t>
      </w:r>
    </w:p>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7.  Governing Law &amp; Dispute Resolution</w:t>
      </w:r>
    </w:p>
    <w:p>
      <w:pPr>
        <w:spacing w:after="80" w:before="80"/>
        <w:jc w:val="both"/>
      </w:pPr>
      <w:r>
        <w:rPr>
          <w:rFonts w:ascii="Inter" w:cs="Inter" w:eastAsia="Inter" w:hAnsi="Inter"/>
          <w:b w:val="false"/>
          <w:bCs w:val="false"/>
          <w:i w:val="false"/>
          <w:iCs w:val="false"/>
          <w:caps w:val="false"/>
          <w:color w:val="333333"/>
          <w:sz w:val="22"/>
          <w:szCs w:val="22"/>
        </w:rPr>
        <w:t xml:space="preserve">This Mandate Letter shall be governed by and construed in accordance with the laws of England &amp; Wales. Any disputes arising in connection with this Mandate Letter shall be referred to LCIA arbitration (London, expedited procedure, English language), with interim injunctive relief reserved to the courts.</w:t>
      </w:r>
    </w:p>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8.  Signatures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For and on behalf of Ascension Capital Partners</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For and on behalf of [Client]</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Signed: ___________________________</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Signed: ___________________________</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Name: Joshua Ting</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Name: [●]</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Title: Executive Managing Partner</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Title: [●]</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Date: [●]</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Date: [●]</w:t>
            </w:r>
          </w:p>
        </w:tc>
      </w:tr>
    </w:tbl>
    <w:p>
      <w:pPr>
        <w:pBdr>
          <w:bottom w:val="single" w:color="C5A55A" w:sz="4" w:space="2"/>
        </w:pBdr>
        <w:spacing w:after="200" w:before="200"/>
      </w:pPr>
      <w:r>
        <w:t xml:space="preserve"/>
      </w:r>
    </w:p>
    <w:p>
      <w:pPr>
        <w:spacing w:after="80" w:before="80"/>
        <w:jc w:val="both"/>
      </w:pPr>
      <w:r>
        <w:rPr>
          <w:rFonts w:ascii="Inter" w:cs="Inter" w:eastAsia="Inter" w:hAnsi="Inter"/>
          <w:b w:val="false"/>
          <w:bCs w:val="false"/>
          <w:i/>
          <w:iCs/>
          <w:caps w:val="false"/>
          <w:color w:val="333333"/>
          <w:sz w:val="22"/>
          <w:szCs w:val="22"/>
        </w:rPr>
        <w:t xml:space="preserve">Ascension Capital Partners t/a APEX Consulting Partners Pty Ltd  |  ACN 674 649 417</w:t>
      </w:r>
    </w:p>
    <w:p>
      <w:pPr>
        <w:spacing w:after="120" w:before="120"/>
        <w:jc w:val="both"/>
      </w:pPr>
      <w:r>
        <w:rPr>
          <w:rFonts w:ascii="Inter" w:cs="Inter" w:eastAsia="Inter" w:hAnsi="Inter"/>
          <w:b w:val="false"/>
          <w:bCs w:val="false"/>
          <w:i/>
          <w:iCs/>
          <w:caps w:val="false"/>
          <w:color w:val="9B9B9B"/>
          <w:sz w:val="18"/>
          <w:szCs w:val="18"/>
        </w:rPr>
        <w:t xml:space="preserve">This document is provided for discussion purposes only and does not constitute a commitment, offer, or obligation to lend, invest, or enter into any transaction. Any proposed arrangement remains subject to satisfactory due diligence, receipt of all required internal approvals, execution of definitive documentation, and satisfaction of applicable conditions precedent. All terms described herein are indicative only and subject to change without notice.</w:t>
      </w:r>
    </w:p>
    <w:sectPr>
      <w:headerReference w:type="default" r:id="rId7"/>
      <w:footerReference w:type="default" r:id="rId8"/>
      <w:pgSz w:w="11906" w:h="16838" w:orient="portrait"/>
      <w:pgMar w:top="1417" w:right="1417" w:bottom="1417" w:left="1701" w:header="708" w:footer="708" w:gutter="0"/>
      <w:pgBorders>
        <w:left w:val="single" w:color="C5A55A" w:sz="36" w:space="20"/>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Inter" w:cs="Inter" w:eastAsia="Inter" w:hAnsi="Inter"/>
        <w:color w:val="9B9B9B"/>
        <w:sz w:val="16"/>
        <w:szCs w:val="16"/>
      </w:rPr>
      <w:t xml:space="preserve">Ascension Capital Partners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55A" w:sz="6" w:space="4"/>
      </w:pBdr>
      <w:tabs>
        <w:tab w:val="right" w:pos="8788"/>
      </w:tabs>
      <w:spacing w:after="60"/>
    </w:pPr>
    <w:r>
      <w:rPr>
        <w:rFonts w:ascii="Inter" w:cs="Inter" w:eastAsia="Inter" w:hAnsi="Inter"/>
        <w:color w:val="333333"/>
        <w:sz w:val="18"/>
        <w:szCs w:val="18"/>
      </w:rPr>
      <w:t xml:space="preserve">Ascension Capital Partners</w:t>
    </w:r>
    <w:r>
      <w:t xml:space="preserve">	</w:t>
    </w:r>
    <w:r>
      <w:rPr>
        <w:rFonts w:ascii="Inter" w:cs="Inter" w:eastAsia="Inter" w:hAnsi="Inter"/>
        <w:color w:val="333333"/>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EB Garamond" w:cs="EB Garamond" w:eastAsia="EB Garamond" w:hAnsi="EB Garamond"/>
      <w:b/>
      <w:bCs/>
      <w:color w:val="000000"/>
      <w:sz w:val="40"/>
      <w:szCs w:val="40"/>
    </w:rPr>
  </w:style>
  <w:style w:type="paragraph" w:styleId="Heading2">
    <w:name w:val="Heading 2"/>
    <w:basedOn w:val="Normal"/>
    <w:next w:val="Normal"/>
    <w:qFormat/>
    <w:pPr>
      <w:spacing w:after="100" w:before="280"/>
      <w:outlineLvl w:val="1"/>
    </w:pPr>
    <w:rPr>
      <w:rFonts w:ascii="EB Garamond" w:cs="EB Garamond" w:eastAsia="EB Garamond" w:hAnsi="EB Garamond"/>
      <w:b/>
      <w:bCs/>
      <w:color w:val="333333"/>
      <w:sz w:val="32"/>
      <w:szCs w:val="32"/>
    </w:rPr>
  </w:style>
  <w:style w:type="paragraph" w:styleId="Heading3">
    <w:name w:val="Heading 3"/>
    <w:basedOn w:val="Normal"/>
    <w:next w:val="Normal"/>
    <w:qFormat/>
    <w:pPr>
      <w:spacing w:after="80" w:before="200"/>
      <w:outlineLvl w:val="2"/>
    </w:pPr>
    <w:rPr>
      <w:rFonts w:ascii="Inter" w:cs="Inter" w:eastAsia="Inter" w:hAnsi="Inter"/>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2026-04-14T17:42:08.511Z</dcterms:created>
  <dcterms:modified xsi:type="dcterms:W3CDTF">2026-04-14T17:42:08.511Z</dcterms:modified>
</cp:coreProperties>
</file>

<file path=docProps/custom.xml><?xml version="1.0" encoding="utf-8"?>
<Properties xmlns="http://schemas.openxmlformats.org/officeDocument/2006/custom-properties" xmlns:vt="http://schemas.openxmlformats.org/officeDocument/2006/docPropsVTypes"/>
</file>