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Programme Mandate</w:t>
      </w:r>
    </w:p>
    <w:p>
      <w:pPr>
        <w:spacing w:after="120" w:before="120"/>
        <w:jc w:val="center"/>
      </w:pPr>
      <w:r>
        <w:rPr>
          <w:rFonts w:ascii="Inter" w:cs="Inter" w:eastAsia="Inter" w:hAnsi="Inter"/>
          <w:b w:val="false"/>
          <w:bCs w:val="false"/>
          <w:i w:val="false"/>
          <w:iCs w:val="false"/>
          <w:caps w:val="false"/>
          <w:color w:val="333333"/>
          <w:sz w:val="26"/>
          <w:szCs w:val="26"/>
        </w:rPr>
        <w:t xml:space="preserve">Letter of Engagement — Exclusive</w:t>
      </w:r>
    </w:p>
    <w:p>
      <w:pPr>
        <w:spacing w:after="120" w:before="120"/>
      </w:pPr>
      <w:r>
        <w:t xml:space="preserve"/>
      </w:r>
    </w:p>
    <w:p>
      <w:pPr>
        <w:spacing w:after="80" w:before="80"/>
        <w:jc w:val="center"/>
      </w:pPr>
      <w:r>
        <w:rPr>
          <w:rFonts w:ascii="Inter" w:cs="Inter" w:eastAsia="Inter" w:hAnsi="Inter"/>
          <w:b/>
          <w:bCs/>
          <w:i w:val="false"/>
          <w:iCs w:val="false"/>
          <w:caps w:val="false"/>
          <w:color w:val="333333"/>
          <w:sz w:val="22"/>
          <w:szCs w:val="22"/>
        </w:rPr>
        <w:t xml:space="preserve">Phase I &amp; Phase II Programme Advisory, Execution Governance, Capital Structuring and Debt/Equity Syndication</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CONFIDENTIAL — FOR PROFESSIONAL / WHOLESALE INVESTORS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Mandate ID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ACP-YYYY-NN-SECTOR-TYPE-vN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Effective 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Client / Sponsor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Advisor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APEX Consulting Partners Pty Ltd (ACN 674 649 417), trading as Ascension Capital Partners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Programme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Programme SPVs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spacing w:after="80" w:before="80"/>
        <w:jc w:val="both"/>
      </w:pPr>
      <w:r>
        <w:rPr>
          <w:rFonts w:ascii="Inter" w:cs="Inter" w:eastAsia="Inter" w:hAnsi="Inter"/>
          <w:b w:val="false"/>
          <w:bCs w:val="false"/>
          <w:i/>
          <w:iCs/>
          <w:caps w:val="false"/>
          <w:color w:val="333333"/>
          <w:sz w:val="22"/>
          <w:szCs w:val="22"/>
        </w:rPr>
        <w:t xml:space="preserve">This Letter of Engagement ("LoE") sets out the terms on which the Advisor is engaged by the Client on an exclusive basis in connection with the Programme and the Closing Events as defined below.</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Definitions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"Affiliate"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Any entity that directly or indirectly controls, is controlled by, or is under common control with a Party.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"Business Day"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 day other than a Saturday, Sunday, or public holiday on which banks are open for business in the principal financial centre of the governing law jurisdiction.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"Closing Event"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 discrete acquisition closing and/or financing close and/or facility drawdown event within the Programme.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"Debt Commitments Signed"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The committed principal amount under executed facility documents for the relevant Closing Event, whether or not fully drawn on day 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"Direct Equity"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funded by (i) the Client/Sponsor, (ii) a co-investor introduced by the Advisor, or (iii) a third party under an equity commitment letter.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"Equity Proceeds Funded"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Gross cash equity subscription proceeds funded into the relevant entity.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"Execution Team"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The core execution team and specialist resources as updated by written agreement of the Parties.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"Funded Draw"</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 drawdown of debt proceeds actually received by the relevant borrower under a facility.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"Mobilisation Fee"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The upfront fee payable upon execution of this LoE as specified in Section 7.1.</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1"</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The initial phase of the Programme, comprising the Phase 1 Closing Events listed in Section 3.</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2"</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The second phase of the Programme, comprising the Phase 2 Closing Events listed in Section 3.</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"Programme"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The multi-asset capital deployment programme described herein, as updated by written agreement of the Parties.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Scope of Engagement</w:t>
      </w:r>
    </w:p>
    <w:p>
      <w:pPr>
        <w:spacing w:after="80" w:before="80"/>
        <w:jc w:val="both"/>
      </w:pPr>
      <w:r>
        <w:rPr>
          <w:rFonts w:ascii="Inter" w:cs="Inter" w:eastAsia="Inter" w:hAnsi="Inter"/>
          <w:b w:val="false"/>
          <w:bCs w:val="false"/>
          <w:i w:val="false"/>
          <w:iCs w:val="false"/>
          <w:caps w:val="false"/>
          <w:color w:val="333333"/>
          <w:sz w:val="22"/>
          <w:szCs w:val="22"/>
        </w:rPr>
        <w:t xml:space="preserve">The Advisor is engaged on an exclusive basis to provide the following services in connection with the Programme: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Capital structuring and credit architecture across all tranches of the capital stack (senior debt, mezzanine, preferred equity, and hybrid instruments).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Origination, preparation, and delivery of all lender/investor marketing materials, including Information Memoranda, investor teasers, and term sheets.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Syndication and placement of debt and equity tranches to qualified institutional investors, credit funds, and family offices within the Advisor's network.</w:t>
      </w:r>
    </w:p>
    <w:p>
      <w:pPr>
        <w:spacing w:after="60" w:before="60"/>
        <w:ind w:left="600" w:hanging="260"/>
      </w:pPr>
      <w:r>
        <w:rPr>
          <w:rFonts w:ascii="Inter" w:cs="Inter" w:eastAsia="Inter" w:hAnsi="Inter"/>
          <w:b w:val="false"/>
          <w:bCs w:val="false"/>
          <w:i w:val="false"/>
          <w:iCs w:val="false"/>
          <w:caps w:val="false"/>
          <w:color w:val="333333"/>
          <w:sz w:val="22"/>
          <w:szCs w:val="22"/>
        </w:rPr>
        <w:t xml:space="preserve">▸  Execution governance — documentation management, conditions precedent tracking, lender/investor coordination, and financial close mechanics.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Post-close monitoring framework and quarterly reporting to lenders/investors as required under facility documents.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Programme Closing Events</w:t>
      </w:r>
    </w:p>
    <w:p>
      <w:pPr>
        <w:pStyle w:val="Heading2"/>
        <w:spacing w:after="100" w:before="280"/>
      </w:pPr>
      <w:r>
        <w:rPr>
          <w:rFonts w:ascii="EB Garamond" w:cs="EB Garamond" w:eastAsia="EB Garamond" w:hAnsi="EB Garamond"/>
          <w:b/>
          <w:bCs/>
          <w:color w:val="333333"/>
          <w:sz w:val="32"/>
          <w:szCs w:val="32"/>
        </w:rPr>
        <w:t xml:space="preserve">3.1  Phase 1 Closing Events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CE-01</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CE-02</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CE-03</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1 Target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1 Aggregate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3.2  Phase 2 Closing Events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CE-04</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CE-05</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CE-06</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2 Target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2 Aggregate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Mandate Term</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1 Term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 from Effective Date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2 Term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 from Phase 1 Completion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Extension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[●]-month extension at Advisor's election if ≥50% of Phase 1 capital committed by midpoint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Total Programme Duration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Exclusivity</w:t>
      </w:r>
    </w:p>
    <w:p>
      <w:pPr>
        <w:spacing w:after="80" w:before="80"/>
        <w:jc w:val="both"/>
      </w:pPr>
      <w:r>
        <w:rPr>
          <w:rFonts w:ascii="Inter" w:cs="Inter" w:eastAsia="Inter" w:hAnsi="Inter"/>
          <w:b w:val="false"/>
          <w:bCs w:val="false"/>
          <w:i w:val="false"/>
          <w:iCs w:val="false"/>
          <w:caps w:val="false"/>
          <w:color w:val="333333"/>
          <w:sz w:val="22"/>
          <w:szCs w:val="22"/>
        </w:rPr>
        <w:t xml:space="preserve">The Client grants the Advisor an exclusive right to act as sole arranger, placement agent, and capital advisor in respect of the Programme for the duration of the mandate term. No other advisors, finders, brokers, or placement agents shall be engaged in connection with the Programme without the prior written consent of the Advisor.</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Client Undertakings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Promptly provide all information, data, and documents reasonably requested by the Advisor in connection with the Programme.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Maintain full exclusivity and not engage any competing advisory party during the mandate term.</w:t>
      </w:r>
    </w:p>
    <w:p>
      <w:pPr>
        <w:spacing w:after="60" w:before="60"/>
        <w:ind w:left="600" w:hanging="260"/>
      </w:pPr>
      <w:r>
        <w:rPr>
          <w:rFonts w:ascii="Inter" w:cs="Inter" w:eastAsia="Inter" w:hAnsi="Inter"/>
          <w:b w:val="false"/>
          <w:bCs w:val="false"/>
          <w:i w:val="false"/>
          <w:iCs w:val="false"/>
          <w:caps w:val="false"/>
          <w:color w:val="333333"/>
          <w:sz w:val="22"/>
          <w:szCs w:val="22"/>
        </w:rPr>
        <w:t xml:space="preserve">▸  Notify the Advisor immediately of any material change in the financial condition, corporate structure, or regulatory status of the Client or any Programme SPV.</w:t>
      </w:r>
    </w:p>
    <w:p>
      <w:pPr>
        <w:spacing w:after="60" w:before="60"/>
        <w:ind w:left="600" w:hanging="260"/>
      </w:pPr>
      <w:r>
        <w:rPr>
          <w:rFonts w:ascii="Inter" w:cs="Inter" w:eastAsia="Inter" w:hAnsi="Inter"/>
          <w:b w:val="false"/>
          <w:bCs w:val="false"/>
          <w:i w:val="false"/>
          <w:iCs w:val="false"/>
          <w:caps w:val="false"/>
          <w:color w:val="333333"/>
          <w:sz w:val="22"/>
          <w:szCs w:val="22"/>
        </w:rPr>
        <w:t xml:space="preserve">▸  Execute all documentation required for KYC/AML compliance within [●] Business Days of request.</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Fee Schedule</w:t>
      </w:r>
    </w:p>
    <w:p>
      <w:pPr>
        <w:pStyle w:val="Heading2"/>
        <w:spacing w:after="100" w:before="280"/>
      </w:pPr>
      <w:r>
        <w:rPr>
          <w:rFonts w:ascii="EB Garamond" w:cs="EB Garamond" w:eastAsia="EB Garamond" w:hAnsi="EB Garamond"/>
          <w:b/>
          <w:bCs/>
          <w:color w:val="333333"/>
          <w:sz w:val="32"/>
          <w:szCs w:val="32"/>
        </w:rPr>
        <w:t xml:space="preserve">7.1  Mobilisation Fee</w:t>
      </w:r>
    </w:p>
    <w:p>
      <w:pPr>
        <w:spacing w:after="80" w:before="80"/>
        <w:jc w:val="both"/>
      </w:pPr>
      <w:r>
        <w:rPr>
          <w:rFonts w:ascii="Inter" w:cs="Inter" w:eastAsia="Inter" w:hAnsi="Inter"/>
          <w:b w:val="false"/>
          <w:bCs w:val="false"/>
          <w:i w:val="false"/>
          <w:iCs w:val="false"/>
          <w:caps w:val="false"/>
          <w:color w:val="333333"/>
          <w:sz w:val="22"/>
          <w:szCs w:val="22"/>
        </w:rPr>
        <w:t xml:space="preserve">[●] payable on execution of this LoE. The Mobilisation Fee is non-refundable and covers the initial programme setup, documentation preparation, and team mobilisation costs.</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7.2  Arrangement Fee</w:t>
      </w:r>
    </w:p>
    <w:p>
      <w:pPr>
        <w:spacing w:after="80" w:before="80"/>
        <w:jc w:val="both"/>
      </w:pPr>
      <w:r>
        <w:rPr>
          <w:rFonts w:ascii="Inter" w:cs="Inter" w:eastAsia="Inter" w:hAnsi="Inter"/>
          <w:b w:val="false"/>
          <w:bCs w:val="false"/>
          <w:i w:val="false"/>
          <w:iCs w:val="false"/>
          <w:caps w:val="false"/>
          <w:color w:val="333333"/>
          <w:sz w:val="22"/>
          <w:szCs w:val="22"/>
        </w:rPr>
        <w:t xml:space="preserve">[●]% of Debt Commitments Signed per Closing Event, payable on the date of execution of the relevant facility agreement.</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7.3  Success / Placement Fee</w:t>
      </w:r>
    </w:p>
    <w:p>
      <w:pPr>
        <w:spacing w:after="80" w:before="80"/>
        <w:jc w:val="both"/>
      </w:pPr>
      <w:r>
        <w:rPr>
          <w:rFonts w:ascii="Inter" w:cs="Inter" w:eastAsia="Inter" w:hAnsi="Inter"/>
          <w:b w:val="false"/>
          <w:bCs w:val="false"/>
          <w:i w:val="false"/>
          <w:iCs w:val="false"/>
          <w:caps w:val="false"/>
          <w:color w:val="333333"/>
          <w:sz w:val="22"/>
          <w:szCs w:val="22"/>
        </w:rPr>
        <w:t xml:space="preserve">[●]% of Equity Proceeds Funded per Closing Event, payable on the date of each Funded Draw or equity subscription, as applicable.</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7.4  Ongoing Advisory Retainer</w:t>
      </w:r>
    </w:p>
    <w:p>
      <w:pPr>
        <w:spacing w:after="80" w:before="80"/>
        <w:jc w:val="both"/>
      </w:pPr>
      <w:r>
        <w:rPr>
          <w:rFonts w:ascii="Inter" w:cs="Inter" w:eastAsia="Inter" w:hAnsi="Inter"/>
          <w:b w:val="false"/>
          <w:bCs w:val="false"/>
          <w:i w:val="false"/>
          <w:iCs w:val="false"/>
          <w:caps w:val="false"/>
          <w:color w:val="333333"/>
          <w:sz w:val="22"/>
          <w:szCs w:val="22"/>
        </w:rPr>
        <w:t xml:space="preserve">[●] per month, payable monthly in advance from the Effective Date until Programme completion or termination of this LoE.</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7.5  Equity Earn-In / Co-Investment</w:t>
      </w:r>
    </w:p>
    <w:p>
      <w:pPr>
        <w:spacing w:after="80" w:before="80"/>
        <w:jc w:val="both"/>
      </w:pPr>
      <w:r>
        <w:rPr>
          <w:rFonts w:ascii="Inter" w:cs="Inter" w:eastAsia="Inter" w:hAnsi="Inter"/>
          <w:b w:val="false"/>
          <w:bCs w:val="false"/>
          <w:i w:val="false"/>
          <w:iCs w:val="false"/>
          <w:caps w:val="false"/>
          <w:color w:val="333333"/>
          <w:sz w:val="22"/>
          <w:szCs w:val="22"/>
        </w:rPr>
        <w:t xml:space="preserve">Subject to a separate Co-Investment Agreement, the Advisor shall be entitled to co-invest [●]% alongside the Client in each Closing Event at the same economic terms as the Client's direct equity, up to an aggregate of [●]% of total Programme equity.</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7.6  Tail Provision</w:t>
      </w:r>
    </w:p>
    <w:p>
      <w:pPr>
        <w:spacing w:after="80" w:before="80"/>
        <w:jc w:val="both"/>
      </w:pPr>
      <w:r>
        <w:rPr>
          <w:rFonts w:ascii="Inter" w:cs="Inter" w:eastAsia="Inter" w:hAnsi="Inter"/>
          <w:b w:val="false"/>
          <w:bCs w:val="false"/>
          <w:i w:val="false"/>
          <w:iCs w:val="false"/>
          <w:caps w:val="false"/>
          <w:color w:val="333333"/>
          <w:sz w:val="22"/>
          <w:szCs w:val="22"/>
        </w:rPr>
        <w:t xml:space="preserve">In the event of termination of this LoE, the Advisor shall be entitled to its full fee schedule in respect of any Closing Event that closes within [●] months of termination where the relevant investor or lender was introduced by the Advisor prior to termination.</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8.  Governing Law &amp; Dispute Resolution</w:t>
      </w:r>
    </w:p>
    <w:p>
      <w:pPr>
        <w:spacing w:after="80" w:before="80"/>
        <w:jc w:val="both"/>
      </w:pPr>
      <w:r>
        <w:rPr>
          <w:rFonts w:ascii="Inter" w:cs="Inter" w:eastAsia="Inter" w:hAnsi="Inter"/>
          <w:b w:val="false"/>
          <w:bCs w:val="false"/>
          <w:i w:val="false"/>
          <w:iCs w:val="false"/>
          <w:caps w:val="false"/>
          <w:color w:val="333333"/>
          <w:sz w:val="22"/>
          <w:szCs w:val="22"/>
        </w:rPr>
        <w:t xml:space="preserve">This LoE shall be governed by and construed in accordance with the laws of [●]. Any disputes shall be referred to [●] arbitration, with interim injunctive relief reserved.</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9.  Signatures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For and on behalf of Ascension Capital Partners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For and on behalf of [Client / Sponsor]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Signed: ___________________________</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Signed: ___________________________</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Name: Joshua Ting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Name: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 Executive Managing Partner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Title: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Date: [●]</w:t>
            </w:r>
          </w:p>
        </w:tc>
      </w:tr>
    </w:tbl>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2026-04-14T17:42:08.671Z</dcterms:created>
  <dcterms:modified xsi:type="dcterms:W3CDTF">2026-04-14T17:42:08.671Z</dcterms:modified>
</cp:coreProperties>
</file>

<file path=docProps/custom.xml><?xml version="1.0" encoding="utf-8"?>
<Properties xmlns="http://schemas.openxmlformats.org/officeDocument/2006/custom-properties" xmlns:vt="http://schemas.openxmlformats.org/officeDocument/2006/docPropsVTypes"/>
</file>