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Inter" w:cs="Inter" w:eastAsia="Inter" w:hAnsi="Inter"/>
          <w:b/>
          <w:bCs/>
          <w:i w:val="false"/>
          <w:iCs w:val="false"/>
          <w:caps/>
          <w:color w:val="000000"/>
          <w:sz w:val="24"/>
          <w:szCs w:val="24"/>
        </w:rPr>
        <w:t xml:space="preserve">ASCENSION CAPITAL PARTNERS</w:t>
      </w:r>
    </w:p>
    <w:p>
      <w:pPr>
        <w:spacing w:after="200" w:before="0"/>
        <w:jc w:val="center"/>
      </w:pPr>
      <w:r>
        <w:rPr>
          <w:rFonts w:ascii="Inter" w:cs="Inter" w:eastAsia="Inter" w:hAnsi="Inter"/>
          <w:b w:val="false"/>
          <w:bCs w:val="false"/>
          <w:i w:val="false"/>
          <w:iCs w:val="false"/>
          <w:caps w:val="false"/>
          <w:color w:val="9B9B9B"/>
          <w:sz w:val="18"/>
          <w:szCs w:val="18"/>
        </w:rPr>
        <w:t xml:space="preserve">APEX Consulting Partners Pty Ltd (ACN 674 649 417)</w:t>
      </w:r>
    </w:p>
    <w:p>
      <w:pPr>
        <w:pBdr>
          <w:bottom w:val="single" w:color="C5A55A" w:sz="4" w:space="2"/>
        </w:pBdr>
        <w:spacing w:after="200" w:before="200"/>
      </w:pPr>
      <w:r>
        <w:t xml:space="preserve"/>
      </w:r>
    </w:p>
    <w:p>
      <w:pPr>
        <w:spacing w:after="240" w:before="480"/>
        <w:jc w:val="center"/>
      </w:pPr>
      <w:r>
        <w:rPr>
          <w:rFonts w:ascii="EB Garamond" w:cs="EB Garamond" w:eastAsia="EB Garamond" w:hAnsi="EB Garamond"/>
          <w:b/>
          <w:bCs/>
          <w:color w:val="000000"/>
          <w:sz w:val="56"/>
          <w:szCs w:val="56"/>
        </w:rPr>
        <w:t xml:space="preserve">Strategic Alliance &amp; Revenue Share Side Letter</w:t>
      </w:r>
    </w:p>
    <w:p>
      <w:pPr>
        <w:spacing w:after="120" w:before="120"/>
      </w:pPr>
      <w:r>
        <w:t xml:space="preserve"/>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00"/>
        <w:gridCol w:w="5788"/>
      </w:tblGrid>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Date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From</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APEX Consulting Partners Pty Ltd (ACN 674 649 417), trading as Ascension Capital Partners ("Originator")</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To</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[Partner Entity Name] ("Partner")</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Re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Strategic Alliance — Master Framework for Deal Flow, Execution Certainty &amp; Commercial Alignment</w:t>
            </w:r>
          </w:p>
        </w:tc>
      </w:tr>
    </w:tbl>
    <w:p>
      <w:pPr>
        <w:spacing w:after="120" w:before="120"/>
      </w:pPr>
      <w:r>
        <w:t xml:space="preserve"/>
      </w:r>
    </w:p>
    <w:p>
      <w:pPr>
        <w:shd w:fill="000000" w:val="clear"/>
        <w:spacing w:after="120" w:before="120"/>
        <w:jc w:val="center"/>
      </w:pPr>
      <w:r>
        <w:rPr>
          <w:rFonts w:ascii="Inter" w:cs="Inter" w:eastAsia="Inter" w:hAnsi="Inter"/>
          <w:b/>
          <w:bCs/>
          <w:i w:val="false"/>
          <w:iCs w:val="false"/>
          <w:caps w:val="false"/>
          <w:color w:val="C5A55A"/>
          <w:sz w:val="18"/>
          <w:szCs w:val="18"/>
        </w:rPr>
        <w:t xml:space="preserve">CONFIDENTIAL — FOR PROFESSIONAL / WHOLESALE INVESTORS ONLY</w:t>
      </w:r>
    </w:p>
    <w:p>
      <w:r>
        <w:r>
          <w:br w:type="page"/>
        </w:r>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1.  Commercial Objective</w:t>
      </w:r>
    </w:p>
    <w:p>
      <w:pPr>
        <w:spacing w:after="80" w:before="80"/>
        <w:jc w:val="both"/>
      </w:pPr>
      <w:r>
        <w:rPr>
          <w:rFonts w:ascii="Inter" w:cs="Inter" w:eastAsia="Inter" w:hAnsi="Inter"/>
          <w:b w:val="false"/>
          <w:bCs w:val="false"/>
          <w:i w:val="false"/>
          <w:iCs w:val="false"/>
          <w:caps w:val="false"/>
          <w:color w:val="333333"/>
          <w:sz w:val="22"/>
          <w:szCs w:val="22"/>
        </w:rPr>
        <w:t xml:space="preserve">This Side Letter formalises the strategic partnership between the Originator and the Partner. The objective is to secure execution certainty for the Originator's proprietary deal flow in exchange for preferred access and a structured revenue framework for the Partner.</w:t>
      </w:r>
    </w:p>
    <w:p>
      <w:pPr>
        <w:spacing w:after="80" w:before="80"/>
        <w:jc w:val="both"/>
      </w:pPr>
      <w:r>
        <w:rPr>
          <w:rFonts w:ascii="Inter" w:cs="Inter" w:eastAsia="Inter" w:hAnsi="Inter"/>
          <w:b w:val="false"/>
          <w:bCs w:val="false"/>
          <w:i w:val="false"/>
          <w:iCs w:val="false"/>
          <w:caps w:val="false"/>
          <w:color w:val="333333"/>
          <w:sz w:val="22"/>
          <w:szCs w:val="22"/>
        </w:rPr>
        <w:t xml:space="preserve">The Parties intend to establish a repeatable, scalable framework under which the Originator leads origination and structuring and the Partner provides capital solutions within an agreed risk/return Buy-Box, with clear economics and protections for both Parties.</w:t>
      </w:r>
    </w:p>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2.  Strategic Roadmap</w:t>
      </w:r>
    </w:p>
    <w:p>
      <w:pPr>
        <w:pStyle w:val="Heading2"/>
        <w:spacing w:after="100" w:before="280"/>
      </w:pPr>
      <w:r>
        <w:rPr>
          <w:rFonts w:ascii="EB Garamond" w:cs="EB Garamond" w:eastAsia="EB Garamond" w:hAnsi="EB Garamond"/>
          <w:b/>
          <w:bCs/>
          <w:color w:val="333333"/>
          <w:sz w:val="32"/>
          <w:szCs w:val="32"/>
        </w:rPr>
        <w:t xml:space="preserve">2.1  Fund Strategy</w:t>
      </w:r>
    </w:p>
    <w:p>
      <w:pPr>
        <w:spacing w:after="80" w:before="80"/>
        <w:jc w:val="both"/>
      </w:pPr>
      <w:r>
        <w:rPr>
          <w:rFonts w:ascii="Inter" w:cs="Inter" w:eastAsia="Inter" w:hAnsi="Inter"/>
          <w:b w:val="false"/>
          <w:bCs w:val="false"/>
          <w:i w:val="false"/>
          <w:iCs w:val="false"/>
          <w:caps w:val="false"/>
          <w:color w:val="333333"/>
          <w:sz w:val="22"/>
          <w:szCs w:val="22"/>
        </w:rPr>
        <w:t xml:space="preserve">The Partner acknowledges the Originator's strategic roadmap to seed and launch a proprietary USD 100,000,000 Energy Transition &amp; Renewables Private Credit Fund (the "Fund").</w:t>
      </w:r>
    </w:p>
    <w:p>
      <w:pPr>
        <w:pStyle w:val="Heading2"/>
        <w:spacing w:after="100" w:before="280"/>
      </w:pPr>
      <w:r>
        <w:rPr>
          <w:rFonts w:ascii="EB Garamond" w:cs="EB Garamond" w:eastAsia="EB Garamond" w:hAnsi="EB Garamond"/>
          <w:b/>
          <w:bCs/>
          <w:color w:val="333333"/>
          <w:sz w:val="32"/>
          <w:szCs w:val="32"/>
        </w:rPr>
        <w:t xml:space="preserve">2.2  Interim Period</w:t>
      </w:r>
    </w:p>
    <w:p>
      <w:pPr>
        <w:spacing w:after="80" w:before="80"/>
        <w:jc w:val="both"/>
      </w:pPr>
      <w:r>
        <w:rPr>
          <w:rFonts w:ascii="Inter" w:cs="Inter" w:eastAsia="Inter" w:hAnsi="Inter"/>
          <w:b w:val="false"/>
          <w:bCs w:val="false"/>
          <w:i w:val="false"/>
          <w:iCs w:val="false"/>
          <w:caps w:val="false"/>
          <w:color w:val="333333"/>
          <w:sz w:val="22"/>
          <w:szCs w:val="22"/>
        </w:rPr>
        <w:t xml:space="preserve">Until the Fund is operational, the Originator shall route qualifying deal flow to the Partner under the First Look provisions in Section 3.</w:t>
      </w:r>
    </w:p>
    <w:p>
      <w:pPr>
        <w:pStyle w:val="Heading2"/>
        <w:spacing w:after="100" w:before="280"/>
      </w:pPr>
      <w:r>
        <w:rPr>
          <w:rFonts w:ascii="EB Garamond" w:cs="EB Garamond" w:eastAsia="EB Garamond" w:hAnsi="EB Garamond"/>
          <w:b/>
          <w:bCs/>
          <w:color w:val="333333"/>
          <w:sz w:val="32"/>
          <w:szCs w:val="32"/>
        </w:rPr>
        <w:t xml:space="preserve">2.3  Future Alignment</w:t>
      </w:r>
    </w:p>
    <w:p>
      <w:pPr>
        <w:spacing w:after="80" w:before="80"/>
        <w:jc w:val="both"/>
      </w:pPr>
      <w:r>
        <w:rPr>
          <w:rFonts w:ascii="Inter" w:cs="Inter" w:eastAsia="Inter" w:hAnsi="Inter"/>
          <w:b w:val="false"/>
          <w:bCs w:val="false"/>
          <w:i w:val="false"/>
          <w:iCs w:val="false"/>
          <w:caps w:val="false"/>
          <w:color w:val="333333"/>
          <w:sz w:val="22"/>
          <w:szCs w:val="22"/>
        </w:rPr>
        <w:t xml:space="preserve">The Parties agree to explore, in good faith, opportunities for the Partner to participate in the Fund — for example, as a cornerstone LP, co-GP, warehouse provider, or other strategic capital partner — upon its formation.</w:t>
      </w:r>
    </w:p>
    <w:p>
      <w:pPr>
        <w:pStyle w:val="Heading2"/>
        <w:spacing w:after="100" w:before="280"/>
      </w:pPr>
      <w:r>
        <w:rPr>
          <w:rFonts w:ascii="EB Garamond" w:cs="EB Garamond" w:eastAsia="EB Garamond" w:hAnsi="EB Garamond"/>
          <w:b/>
          <w:bCs/>
          <w:color w:val="333333"/>
          <w:sz w:val="32"/>
          <w:szCs w:val="32"/>
        </w:rPr>
        <w:t xml:space="preserve">2.4  Joint Go-To-Market</w:t>
      </w:r>
    </w:p>
    <w:p>
      <w:pPr>
        <w:spacing w:after="80" w:before="80"/>
        <w:jc w:val="both"/>
      </w:pPr>
      <w:r>
        <w:rPr>
          <w:rFonts w:ascii="Inter" w:cs="Inter" w:eastAsia="Inter" w:hAnsi="Inter"/>
          <w:b w:val="false"/>
          <w:bCs w:val="false"/>
          <w:i w:val="false"/>
          <w:iCs w:val="false"/>
          <w:caps w:val="false"/>
          <w:color w:val="333333"/>
          <w:sz w:val="22"/>
          <w:szCs w:val="22"/>
        </w:rPr>
        <w:t xml:space="preserve">The Parties will cooperate on a joint go-to-market strategy in energy transition, renewables, infrastructure, and specialty private credit, including coordinated sponsor coverage and repeatable execution processes.</w:t>
      </w:r>
    </w:p>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3.  First Look Commitment &amp; Buy-Box</w:t>
      </w:r>
    </w:p>
    <w:p>
      <w:pPr>
        <w:pStyle w:val="Heading2"/>
        <w:spacing w:after="100" w:before="280"/>
      </w:pPr>
      <w:r>
        <w:rPr>
          <w:rFonts w:ascii="EB Garamond" w:cs="EB Garamond" w:eastAsia="EB Garamond" w:hAnsi="EB Garamond"/>
          <w:b/>
          <w:bCs/>
          <w:color w:val="333333"/>
          <w:sz w:val="32"/>
          <w:szCs w:val="32"/>
        </w:rPr>
        <w:t xml:space="preserve">3.1  First Look</w:t>
      </w:r>
    </w:p>
    <w:p>
      <w:pPr>
        <w:spacing w:after="80" w:before="80"/>
        <w:jc w:val="both"/>
      </w:pPr>
      <w:r>
        <w:rPr>
          <w:rFonts w:ascii="Inter" w:cs="Inter" w:eastAsia="Inter" w:hAnsi="Inter"/>
          <w:b w:val="false"/>
          <w:bCs w:val="false"/>
          <w:i w:val="false"/>
          <w:iCs w:val="false"/>
          <w:caps w:val="false"/>
          <w:color w:val="333333"/>
          <w:sz w:val="22"/>
          <w:szCs w:val="22"/>
        </w:rPr>
        <w:t xml:space="preserve">The Originator agrees to present all qualifying transactions to the Partner on a first-look basis before approaching any other capital provider. The Partner shall have [●] Business Days to issue a non-binding indication of interest before the Originator is free to approach alternative capital providers.</w:t>
      </w:r>
    </w:p>
    <w:p>
      <w:pPr>
        <w:spacing w:after="120" w:before="120"/>
      </w:pPr>
      <w:r>
        <w:t xml:space="preserve"/>
      </w:r>
    </w:p>
    <w:p>
      <w:pPr>
        <w:pStyle w:val="Heading2"/>
        <w:spacing w:after="100" w:before="280"/>
      </w:pPr>
      <w:r>
        <w:rPr>
          <w:rFonts w:ascii="EB Garamond" w:cs="EB Garamond" w:eastAsia="EB Garamond" w:hAnsi="EB Garamond"/>
          <w:b/>
          <w:bCs/>
          <w:color w:val="333333"/>
          <w:sz w:val="32"/>
          <w:szCs w:val="32"/>
        </w:rPr>
        <w:t xml:space="preserve">3.2  Buy-Box Parameters</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00"/>
        <w:gridCol w:w="5788"/>
      </w:tblGrid>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Asset Classes</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[Energy Transition / Renewables / Digital Infrastructure / [●]]</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Transaction Types</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[Senior Secured / Unitranche / Mezzanine / [●]]</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Geography</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[APAC / EMEA / [●]]</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Ticket Size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USD [●]m — USD [●]m per transaction</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Minimum Yield</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p.a. (all-in)</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Maximum LTV</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Minimum DSCR</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[●]x (average)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Tenor</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 [●] years</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Minimum Credit Rating / Equivalent</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bl>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4.  Revenue Share Framework</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988"/>
      </w:tblGrid>
      <w:tr>
        <w:tc>
          <w:tcPr>
            <w:tcW w:type="dxa" w:w="26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Fee Component</w:t>
            </w:r>
          </w:p>
        </w:tc>
        <w:tc>
          <w:tcPr>
            <w:tcW w:type="dxa" w:w="32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Originator Share</w:t>
            </w:r>
          </w:p>
        </w:tc>
        <w:tc>
          <w:tcPr>
            <w:tcW w:type="dxa" w:w="2988"/>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Partner Share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Arrangement Fee</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Success Fee</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Ongoing Administration / Monitoring Fee</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Equity Carry (if applicable)</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bl>
    <w:p>
      <w:pPr>
        <w:spacing w:after="120" w:before="120"/>
      </w:pPr>
      <w:r>
        <w:t xml:space="preserve"/>
      </w:r>
    </w:p>
    <w:p>
      <w:pPr>
        <w:spacing w:after="80" w:before="80"/>
        <w:jc w:val="both"/>
      </w:pPr>
      <w:r>
        <w:rPr>
          <w:rFonts w:ascii="Inter" w:cs="Inter" w:eastAsia="Inter" w:hAnsi="Inter"/>
          <w:b w:val="false"/>
          <w:bCs w:val="false"/>
          <w:i w:val="false"/>
          <w:iCs w:val="false"/>
          <w:caps w:val="false"/>
          <w:color w:val="333333"/>
          <w:sz w:val="22"/>
          <w:szCs w:val="22"/>
        </w:rPr>
        <w:t xml:space="preserve">Revenue share calculations shall be based on gross fees received and documented in a fee confirmation notice issued within [●] Business Days of each Closing Event.</w:t>
      </w:r>
    </w:p>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5.  Exclusivity &amp; Right of First Refusal</w:t>
      </w:r>
    </w:p>
    <w:p>
      <w:pPr>
        <w:spacing w:after="80" w:before="80"/>
        <w:jc w:val="both"/>
      </w:pPr>
      <w:r>
        <w:rPr>
          <w:rFonts w:ascii="Inter" w:cs="Inter" w:eastAsia="Inter" w:hAnsi="Inter"/>
          <w:b w:val="false"/>
          <w:bCs w:val="false"/>
          <w:i w:val="false"/>
          <w:iCs w:val="false"/>
          <w:caps w:val="false"/>
          <w:color w:val="333333"/>
          <w:sz w:val="22"/>
          <w:szCs w:val="22"/>
        </w:rPr>
        <w:t xml:space="preserve">Subject to the First Look provisions in Section 3, this Side Letter is non-exclusive. However, the Partner acknowledges that the Originator reserves the right to syndicate each transaction to multiple capital providers if the Partner declines to commit within the First Look period.</w:t>
      </w:r>
    </w:p>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6.  Representations &amp; Warranties</w:t>
      </w:r>
    </w:p>
    <w:p>
      <w:pPr>
        <w:spacing w:after="60" w:before="60"/>
        <w:ind w:left="600" w:hanging="260"/>
      </w:pPr>
      <w:r>
        <w:rPr>
          <w:rFonts w:ascii="Inter" w:cs="Inter" w:eastAsia="Inter" w:hAnsi="Inter"/>
          <w:b w:val="false"/>
          <w:bCs w:val="false"/>
          <w:i w:val="false"/>
          <w:iCs w:val="false"/>
          <w:caps w:val="false"/>
          <w:color w:val="333333"/>
          <w:sz w:val="22"/>
          <w:szCs w:val="22"/>
        </w:rPr>
        <w:t xml:space="preserve">▸  Each Party represents that it has full power and authority to enter into and perform its obligations under this Side Letter.</w:t>
      </w:r>
    </w:p>
    <w:p>
      <w:pPr>
        <w:spacing w:after="60" w:before="60"/>
        <w:ind w:left="600" w:hanging="260"/>
      </w:pPr>
      <w:r>
        <w:rPr>
          <w:rFonts w:ascii="Inter" w:cs="Inter" w:eastAsia="Inter" w:hAnsi="Inter"/>
          <w:b w:val="false"/>
          <w:bCs w:val="false"/>
          <w:i w:val="false"/>
          <w:iCs w:val="false"/>
          <w:caps w:val="false"/>
          <w:color w:val="333333"/>
          <w:sz w:val="22"/>
          <w:szCs w:val="22"/>
        </w:rPr>
        <w:t xml:space="preserve">▸  The Originator represents that it is the originator of all transactions presented under this framework and that no competing advisory relationship exists with respect to the relevant transaction.</w:t>
      </w:r>
    </w:p>
    <w:p>
      <w:pPr>
        <w:spacing w:after="60" w:before="60"/>
        <w:ind w:left="600" w:hanging="260"/>
      </w:pPr>
      <w:r>
        <w:rPr>
          <w:rFonts w:ascii="Inter" w:cs="Inter" w:eastAsia="Inter" w:hAnsi="Inter"/>
          <w:b w:val="false"/>
          <w:bCs w:val="false"/>
          <w:i w:val="false"/>
          <w:iCs w:val="false"/>
          <w:caps w:val="false"/>
          <w:color w:val="333333"/>
          <w:sz w:val="22"/>
          <w:szCs w:val="22"/>
        </w:rPr>
        <w:t xml:space="preserve">▸  The Partner represents that it is an authorised capital provider and that investment decisions will be made in accordance with its own internal credit and compliance framework.</w:t>
      </w:r>
    </w:p>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7.  Term &amp; Termination</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00"/>
        <w:gridCol w:w="5788"/>
      </w:tblGrid>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Initial Term</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months</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Renewal</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Auto-renewal for successive [●]-month periods unless terminated</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Termination Notice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days' written notice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Tail Period (Post-Termination)</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months</w:t>
            </w:r>
          </w:p>
        </w:tc>
      </w:tr>
    </w:tbl>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8.  Governing Law</w:t>
      </w:r>
    </w:p>
    <w:p>
      <w:pPr>
        <w:spacing w:after="80" w:before="80"/>
        <w:jc w:val="both"/>
      </w:pPr>
      <w:r>
        <w:rPr>
          <w:rFonts w:ascii="Inter" w:cs="Inter" w:eastAsia="Inter" w:hAnsi="Inter"/>
          <w:b w:val="false"/>
          <w:bCs w:val="false"/>
          <w:i w:val="false"/>
          <w:iCs w:val="false"/>
          <w:caps w:val="false"/>
          <w:color w:val="333333"/>
          <w:sz w:val="22"/>
          <w:szCs w:val="22"/>
        </w:rPr>
        <w:t xml:space="preserve">This Side Letter shall be governed by the laws of [●]. Any disputes shall be resolved by [●] arbitration.</w:t>
      </w:r>
    </w:p>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9.  Signatures</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00"/>
        <w:gridCol w:w="5788"/>
      </w:tblGrid>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For Ascension Capital Partners (Originator)</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For [Partner Entity] (Partner)</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Signed: ___________________________</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Signed: ___________________________</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Name: Joshua Ting</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Name: [●]</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Title: Executive Managing Partner</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Title: [●]</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Date: [●]</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Date: [●]</w:t>
            </w:r>
          </w:p>
        </w:tc>
      </w:tr>
    </w:tbl>
    <w:p>
      <w:pPr>
        <w:pBdr>
          <w:bottom w:val="single" w:color="C5A55A" w:sz="4" w:space="2"/>
        </w:pBdr>
        <w:spacing w:after="200" w:before="200"/>
      </w:pPr>
      <w:r>
        <w:t xml:space="preserve"/>
      </w:r>
    </w:p>
    <w:p>
      <w:pPr>
        <w:spacing w:after="80" w:before="80"/>
        <w:jc w:val="both"/>
      </w:pPr>
      <w:r>
        <w:rPr>
          <w:rFonts w:ascii="Inter" w:cs="Inter" w:eastAsia="Inter" w:hAnsi="Inter"/>
          <w:b w:val="false"/>
          <w:bCs w:val="false"/>
          <w:i/>
          <w:iCs/>
          <w:caps w:val="false"/>
          <w:color w:val="333333"/>
          <w:sz w:val="22"/>
          <w:szCs w:val="22"/>
        </w:rPr>
        <w:t xml:space="preserve">Ascension Capital Partners t/a APEX Consulting Partners Pty Ltd  |  ACN 674 649 417</w:t>
      </w:r>
    </w:p>
    <w:sectPr>
      <w:headerReference w:type="default" r:id="rId7"/>
      <w:footerReference w:type="default" r:id="rId8"/>
      <w:pgSz w:w="11906" w:h="16838" w:orient="portrait"/>
      <w:pgMar w:top="1417" w:right="1417" w:bottom="1417" w:left="1701" w:header="708" w:footer="708" w:gutter="0"/>
      <w:pgBorders>
        <w:left w:val="single" w:color="C5A55A" w:sz="36" w:space="20"/>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rFonts w:ascii="Inter" w:cs="Inter" w:eastAsia="Inter" w:hAnsi="Inter"/>
        <w:color w:val="9B9B9B"/>
        <w:sz w:val="16"/>
        <w:szCs w:val="16"/>
      </w:rPr>
      <w:t xml:space="preserve">Ascension Capital Partners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55A" w:sz="6" w:space="4"/>
      </w:pBdr>
      <w:tabs>
        <w:tab w:val="right" w:pos="8788"/>
      </w:tabs>
      <w:spacing w:after="60"/>
    </w:pPr>
    <w:r>
      <w:rPr>
        <w:rFonts w:ascii="Inter" w:cs="Inter" w:eastAsia="Inter" w:hAnsi="Inter"/>
        <w:color w:val="333333"/>
        <w:sz w:val="18"/>
        <w:szCs w:val="18"/>
      </w:rPr>
      <w:t xml:space="preserve">Ascension Capital Partners</w:t>
    </w:r>
    <w:r>
      <w:t xml:space="preserve">	</w:t>
    </w:r>
    <w:r>
      <w:rPr>
        <w:rFonts w:ascii="Inter" w:cs="Inter" w:eastAsia="Inter" w:hAnsi="Inter"/>
        <w:color w:val="333333"/>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EB Garamond" w:cs="EB Garamond" w:eastAsia="EB Garamond" w:hAnsi="EB Garamond"/>
      <w:b/>
      <w:bCs/>
      <w:color w:val="000000"/>
      <w:sz w:val="40"/>
      <w:szCs w:val="40"/>
    </w:rPr>
  </w:style>
  <w:style w:type="paragraph" w:styleId="Heading2">
    <w:name w:val="Heading 2"/>
    <w:basedOn w:val="Normal"/>
    <w:next w:val="Normal"/>
    <w:qFormat/>
    <w:pPr>
      <w:spacing w:after="100" w:before="280"/>
      <w:outlineLvl w:val="1"/>
    </w:pPr>
    <w:rPr>
      <w:rFonts w:ascii="EB Garamond" w:cs="EB Garamond" w:eastAsia="EB Garamond" w:hAnsi="EB Garamond"/>
      <w:b/>
      <w:bCs/>
      <w:color w:val="333333"/>
      <w:sz w:val="32"/>
      <w:szCs w:val="32"/>
    </w:rPr>
  </w:style>
  <w:style w:type="paragraph" w:styleId="Heading3">
    <w:name w:val="Heading 3"/>
    <w:basedOn w:val="Normal"/>
    <w:next w:val="Normal"/>
    <w:qFormat/>
    <w:pPr>
      <w:spacing w:after="80" w:before="200"/>
      <w:outlineLvl w:val="2"/>
    </w:pPr>
    <w:rPr>
      <w:rFonts w:ascii="Inter" w:cs="Inter" w:eastAsia="Inter" w:hAnsi="Inter"/>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2026-04-14T17:42:08.716Z</dcterms:created>
  <dcterms:modified xsi:type="dcterms:W3CDTF">2026-04-14T17:42:08.716Z</dcterms:modified>
</cp:coreProperties>
</file>

<file path=docProps/custom.xml><?xml version="1.0" encoding="utf-8"?>
<Properties xmlns="http://schemas.openxmlformats.org/officeDocument/2006/custom-properties" xmlns:vt="http://schemas.openxmlformats.org/officeDocument/2006/docPropsVTypes"/>
</file>