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Comfort Letter</w:t>
      </w:r>
    </w:p>
    <w:p>
      <w:pPr>
        <w:spacing w:after="120" w:before="120"/>
        <w:jc w:val="center"/>
      </w:pPr>
      <w:r>
        <w:rPr>
          <w:rFonts w:ascii="Inter" w:cs="Inter" w:eastAsia="Inter" w:hAnsi="Inter"/>
          <w:b w:val="false"/>
          <w:bCs w:val="false"/>
          <w:i w:val="false"/>
          <w:iCs w:val="false"/>
          <w:caps w:val="false"/>
          <w:color w:val="333333"/>
          <w:sz w:val="26"/>
          <w:szCs w:val="26"/>
        </w:rPr>
        <w:t xml:space="preserve">Financing Status Update</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To</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CC</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From</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Joshua Ting — Executive Managing Partner, Ascension Capital Partners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[Project Name] — Financing Status Update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Project Reference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Classification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Confidential — For Professional / Wholesale Investors Only</w:t>
            </w:r>
          </w:p>
        </w:tc>
      </w:tr>
    </w:tbl>
    <w:p>
      <w:pPr>
        <w:spacing w:after="120" w:before="120"/>
      </w:pPr>
      <w:r>
        <w:t xml:space="preserve"/>
      </w:r>
    </w:p>
    <w:p>
      <w:pPr>
        <w:pBdr>
          <w:bottom w:val="single" w:color="C5A55A" w:sz="4" w:space="2"/>
        </w:pBdr>
        <w:spacing w:after="200" w:before="20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Purpose of this Letter</w:t>
      </w:r>
    </w:p>
    <w:p>
      <w:pPr>
        <w:spacing w:after="80" w:before="80"/>
        <w:jc w:val="both"/>
      </w:pPr>
      <w:r>
        <w:rPr>
          <w:rFonts w:ascii="Inter" w:cs="Inter" w:eastAsia="Inter" w:hAnsi="Inter"/>
          <w:b w:val="false"/>
          <w:bCs w:val="false"/>
          <w:i w:val="false"/>
          <w:iCs w:val="false"/>
          <w:caps w:val="false"/>
          <w:color w:val="333333"/>
          <w:sz w:val="22"/>
          <w:szCs w:val="22"/>
        </w:rPr>
        <w:t xml:space="preserve">This letter is issued by Ascension Capital Partners in its capacity as Arranger and Capital Advisor to [Project Name] (the "Project"). It provides a comprehensive update on the current status of financing arrangements, technical advisory engagements, and the broader capital structure supporting the Project as at the date hereof.</w:t>
      </w:r>
    </w:p>
    <w:p>
      <w:pPr>
        <w:spacing w:after="80" w:before="80"/>
        <w:jc w:val="both"/>
      </w:pPr>
      <w:r>
        <w:rPr>
          <w:rFonts w:ascii="Inter" w:cs="Inter" w:eastAsia="Inter" w:hAnsi="Inter"/>
          <w:b w:val="false"/>
          <w:bCs w:val="false"/>
          <w:i w:val="false"/>
          <w:iCs w:val="false"/>
          <w:caps w:val="false"/>
          <w:color w:val="333333"/>
          <w:sz w:val="22"/>
          <w:szCs w:val="22"/>
        </w:rPr>
        <w:t xml:space="preserve">This letter is issued for the benefit of [Addressee(s)] only and may not be relied upon by any third party without the prior written consent of Ascension Capital Partners.</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Executive Summary</w:t>
      </w:r>
    </w:p>
    <w:p>
      <w:pPr>
        <w:spacing w:after="80" w:before="80"/>
        <w:jc w:val="both"/>
      </w:pPr>
      <w:r>
        <w:rPr>
          <w:rFonts w:ascii="Inter" w:cs="Inter" w:eastAsia="Inter" w:hAnsi="Inter"/>
          <w:b w:val="false"/>
          <w:bCs w:val="false"/>
          <w:i w:val="false"/>
          <w:iCs w:val="false"/>
          <w:caps w:val="false"/>
          <w:color w:val="333333"/>
          <w:sz w:val="22"/>
          <w:szCs w:val="22"/>
        </w:rPr>
        <w:t xml:space="preserve">We are pleased to provide this comprehensive update on the financing arrangements for [Project Name / Asset Description]. The transaction benefits from a well-structured, multi-facility capital stack designed to support both immediate capital requirements and long-term operational excellence.</w:t>
      </w:r>
    </w:p>
    <w:p>
      <w:pPr>
        <w:spacing w:after="80" w:before="80"/>
        <w:jc w:val="both"/>
      </w:pPr>
      <w:r>
        <w:rPr>
          <w:rFonts w:ascii="Inter" w:cs="Inter" w:eastAsia="Inter" w:hAnsi="Inter"/>
          <w:b w:val="false"/>
          <w:bCs w:val="false"/>
          <w:i w:val="false"/>
          <w:iCs w:val="false"/>
          <w:caps w:val="false"/>
          <w:color w:val="333333"/>
          <w:sz w:val="22"/>
          <w:szCs w:val="22"/>
        </w:rPr>
        <w:t xml:space="preserve">[Insert additional context on strategic significance and current momentum of the transaction.]</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Asset Profile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Capacity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Location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Grid Position / Connection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Regulatory Status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Development Stage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Planning Consent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Technology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Expected Commercial Operation 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Capital Structure &amp; Financing Status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Facility / Tranche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Amount</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Status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Senior Secured Debt Facility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[Committed / In Documentation / Closed]</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Mezzanine / Junior Facility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[Committed / In Documentation / Closed]</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Equity / Co-Investment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[Committed / Subscribed / Funded]</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Subordinated / Vendor Loan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[If applicable]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Total Capitalisation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Conditions Precedent Status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CP Item</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Status</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Expected Resolution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Legal Due Diligence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[Complete / Outstanding]</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Technical Due Diligence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[Complete / Outstanding]</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Environmental Assessment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[Complete / Outstanding]</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KYC / AML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[Complete / Outstanding]</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Security Perfection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[Complete / Outstanding]</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Facility Documentation Execution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[Complete / Outstanding]</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Timeline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Financial Close Target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Initial Drawdown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Construction Start / Acquisition Completion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Commercial Operation / Exit Target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7.  Advisor Confirmation</w:t>
      </w:r>
    </w:p>
    <w:p>
      <w:pPr>
        <w:spacing w:after="80" w:before="80"/>
        <w:jc w:val="both"/>
      </w:pPr>
      <w:r>
        <w:rPr>
          <w:rFonts w:ascii="Inter" w:cs="Inter" w:eastAsia="Inter" w:hAnsi="Inter"/>
          <w:b w:val="false"/>
          <w:bCs w:val="false"/>
          <w:i w:val="false"/>
          <w:iCs w:val="false"/>
          <w:caps w:val="false"/>
          <w:color w:val="333333"/>
          <w:sz w:val="22"/>
          <w:szCs w:val="22"/>
        </w:rPr>
        <w:t xml:space="preserve">Ascension Capital Partners confirms that, as at the date of this letter, it is actively engaged as Arranger and Capital Advisor in respect of the Project and that financing discussions are progressing in accordance with the timeline set out above. This letter does not constitute a commitment to provide or guarantee financing.</w:t>
      </w:r>
    </w:p>
    <w:p>
      <w:pPr>
        <w:spacing w:after="120" w:before="120"/>
      </w:pPr>
      <w:r>
        <w:t xml:space="preserve"/>
      </w:r>
    </w:p>
    <w:p>
      <w:pPr>
        <w:pBdr>
          <w:bottom w:val="single" w:color="C5A55A" w:sz="4" w:space="2"/>
        </w:pBdr>
        <w:spacing w:after="200" w:before="200"/>
      </w:pPr>
      <w:r>
        <w:t xml:space="preserve"/>
      </w:r>
    </w:p>
    <w:p>
      <w:pPr>
        <w:spacing w:after="80" w:before="80"/>
        <w:jc w:val="both"/>
      </w:pPr>
      <w:r>
        <w:rPr>
          <w:rFonts w:ascii="Inter" w:cs="Inter" w:eastAsia="Inter" w:hAnsi="Inter"/>
          <w:b/>
          <w:bCs/>
          <w:i w:val="false"/>
          <w:iCs w:val="false"/>
          <w:caps w:val="false"/>
          <w:color w:val="333333"/>
          <w:sz w:val="22"/>
          <w:szCs w:val="22"/>
        </w:rPr>
        <w:t xml:space="preserve">Joshua Ting</w:t>
      </w:r>
    </w:p>
    <w:p>
      <w:pPr>
        <w:spacing w:after="80" w:before="80"/>
        <w:jc w:val="both"/>
      </w:pPr>
      <w:r>
        <w:rPr>
          <w:rFonts w:ascii="Inter" w:cs="Inter" w:eastAsia="Inter" w:hAnsi="Inter"/>
          <w:b w:val="false"/>
          <w:bCs w:val="false"/>
          <w:i w:val="false"/>
          <w:iCs w:val="false"/>
          <w:caps w:val="false"/>
          <w:color w:val="333333"/>
          <w:sz w:val="22"/>
          <w:szCs w:val="22"/>
        </w:rPr>
        <w:t xml:space="preserve">Executive Managing Partner  |  Global Head of Alternatives &amp; Private Markets</w:t>
      </w:r>
    </w:p>
    <w:p>
      <w:pPr>
        <w:spacing w:after="80" w:before="80"/>
        <w:jc w:val="both"/>
      </w:pPr>
      <w:r>
        <w:rPr>
          <w:rFonts w:ascii="Inter" w:cs="Inter" w:eastAsia="Inter" w:hAnsi="Inter"/>
          <w:b w:val="false"/>
          <w:bCs w:val="false"/>
          <w:i w:val="false"/>
          <w:iCs w:val="false"/>
          <w:caps w:val="false"/>
          <w:color w:val="333333"/>
          <w:sz w:val="22"/>
          <w:szCs w:val="22"/>
        </w:rPr>
        <w:t xml:space="preserve">Ascension Capital Partners t/a APEX Consulting Partners Pty Ltd  |  ACN 674 649 417</w:t>
      </w:r>
    </w:p>
    <w:p>
      <w:pPr>
        <w:spacing w:after="80" w:before="80"/>
        <w:jc w:val="both"/>
      </w:pPr>
      <w:r>
        <w:rPr>
          <w:rFonts w:ascii="Inter" w:cs="Inter" w:eastAsia="Inter" w:hAnsi="Inter"/>
          <w:b w:val="false"/>
          <w:bCs w:val="false"/>
          <w:i w:val="false"/>
          <w:iCs w:val="false"/>
          <w:caps w:val="false"/>
          <w:color w:val="333333"/>
          <w:sz w:val="22"/>
          <w:szCs w:val="22"/>
        </w:rPr>
        <w:t xml:space="preserve">M: +61 451 338 533  |  E: joshuating53@outlook.com</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2026-04-14T17:42:08.789Z</dcterms:created>
  <dcterms:modified xsi:type="dcterms:W3CDTF">2026-04-14T17:42:08.789Z</dcterms:modified>
</cp:coreProperties>
</file>

<file path=docProps/custom.xml><?xml version="1.0" encoding="utf-8"?>
<Properties xmlns="http://schemas.openxmlformats.org/officeDocument/2006/custom-properties" xmlns:vt="http://schemas.openxmlformats.org/officeDocument/2006/docPropsVTypes"/>
</file>