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Inter" w:cs="Inter" w:eastAsia="Inter" w:hAnsi="Inter"/>
          <w:b/>
          <w:bCs/>
          <w:i w:val="false"/>
          <w:iCs w:val="false"/>
          <w:caps/>
          <w:color w:val="000000"/>
          <w:sz w:val="24"/>
          <w:szCs w:val="24"/>
        </w:rPr>
        <w:t xml:space="preserve">ASCENSION CAPITAL PARTNERS</w:t>
      </w:r>
    </w:p>
    <w:p>
      <w:pPr>
        <w:spacing w:after="200" w:before="0"/>
        <w:jc w:val="center"/>
      </w:pPr>
      <w:r>
        <w:rPr>
          <w:rFonts w:ascii="Inter" w:cs="Inter" w:eastAsia="Inter" w:hAnsi="Inter"/>
          <w:b w:val="false"/>
          <w:bCs w:val="false"/>
          <w:i w:val="false"/>
          <w:iCs w:val="false"/>
          <w:caps w:val="false"/>
          <w:color w:val="9B9B9B"/>
          <w:sz w:val="18"/>
          <w:szCs w:val="18"/>
        </w:rPr>
        <w:t xml:space="preserve">APEX Consulting Partners Pty Ltd (ACN 674 649 417)</w:t>
      </w:r>
    </w:p>
    <w:p>
      <w:pPr>
        <w:pBdr>
          <w:bottom w:val="single" w:color="C5A55A" w:sz="4" w:space="2"/>
        </w:pBdr>
        <w:spacing w:after="200" w:before="200"/>
      </w:pPr>
      <w:r>
        <w:t xml:space="preserve"/>
      </w:r>
    </w:p>
    <w:p>
      <w:pPr>
        <w:spacing w:after="240" w:before="480"/>
        <w:jc w:val="center"/>
      </w:pPr>
      <w:r>
        <w:rPr>
          <w:rFonts w:ascii="EB Garamond" w:cs="EB Garamond" w:eastAsia="EB Garamond" w:hAnsi="EB Garamond"/>
          <w:b/>
          <w:bCs/>
          <w:color w:val="000000"/>
          <w:sz w:val="56"/>
          <w:szCs w:val="56"/>
        </w:rPr>
        <w:t xml:space="preserve">Strategic Teaming Agreement</w:t>
      </w:r>
    </w:p>
    <w:p>
      <w:pPr>
        <w:spacing w:after="120" w:before="120"/>
      </w:pPr>
      <w:r>
        <w:t xml:space="preserve"/>
      </w:r>
    </w:p>
    <w:p>
      <w:pPr>
        <w:shd w:fill="000000" w:val="clear"/>
        <w:spacing w:after="120" w:before="120"/>
        <w:jc w:val="center"/>
      </w:pPr>
      <w:r>
        <w:rPr>
          <w:rFonts w:ascii="Inter" w:cs="Inter" w:eastAsia="Inter" w:hAnsi="Inter"/>
          <w:b/>
          <w:bCs/>
          <w:i w:val="false"/>
          <w:iCs w:val="false"/>
          <w:caps w:val="false"/>
          <w:color w:val="C5A55A"/>
          <w:sz w:val="18"/>
          <w:szCs w:val="18"/>
        </w:rPr>
        <w:t xml:space="preserve">STRICTLY CONFIDENTIAL — FOR PROFESSIONAL / WHOLESALE INVESTORS ONLY</w:t>
      </w:r>
    </w:p>
    <w:p>
      <w:pPr>
        <w:spacing w:after="120" w:before="12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Work Order Ref</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Date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Effective Date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Party A</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Party B</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Classification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Strictly Confidential</w:t>
            </w:r>
          </w:p>
        </w:tc>
      </w:tr>
    </w:tbl>
    <w:p>
      <w:pPr>
        <w:spacing w:after="120" w:before="120"/>
      </w:pPr>
      <w:r>
        <w:t xml:space="preserve"/>
      </w:r>
    </w:p>
    <w:p>
      <w:pPr>
        <w:spacing w:after="120" w:before="120"/>
        <w:jc w:val="both"/>
      </w:pPr>
      <w:r>
        <w:rPr>
          <w:rFonts w:ascii="Inter" w:cs="Inter" w:eastAsia="Inter" w:hAnsi="Inter"/>
          <w:b w:val="false"/>
          <w:bCs w:val="false"/>
          <w:i/>
          <w:iCs/>
          <w:caps w:val="false"/>
          <w:color w:val="9B9B9B"/>
          <w:sz w:val="18"/>
          <w:szCs w:val="18"/>
        </w:rPr>
        <w:t xml:space="preserve">This document is provided for discussion purposes only and does not constitute a commitment, offer, or obligation to lend, invest, or enter into any transaction. Any proposed arrangement remains subject to satisfactory due diligence, receipt of all required internal approvals, execution of definitive documentation, and satisfaction of applicable conditions precedent. All terms described herein are indicative only and subject to change without notice.</w:t>
      </w:r>
    </w:p>
    <w:p>
      <w:r>
        <w:r>
          <w:br w:type="page"/>
        </w:r>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1.  Parties</w:t>
      </w:r>
    </w:p>
    <w:p>
      <w:pPr>
        <w:spacing w:after="80" w:before="80"/>
        <w:jc w:val="both"/>
      </w:pPr>
      <w:r>
        <w:rPr>
          <w:rFonts w:ascii="Inter" w:cs="Inter" w:eastAsia="Inter" w:hAnsi="Inter"/>
          <w:b w:val="false"/>
          <w:bCs w:val="false"/>
          <w:i w:val="false"/>
          <w:iCs w:val="false"/>
          <w:caps w:val="false"/>
          <w:color w:val="333333"/>
          <w:sz w:val="22"/>
          <w:szCs w:val="22"/>
        </w:rPr>
        <w:t xml:space="preserve">This Strategic Teaming Agreement (the "Agreement") is made as of [●] (the "Effective Date").</w:t>
      </w:r>
    </w:p>
    <w:p>
      <w:pPr>
        <w:pStyle w:val="Heading2"/>
        <w:spacing w:after="100" w:before="280"/>
      </w:pPr>
      <w:r>
        <w:rPr>
          <w:rFonts w:ascii="EB Garamond" w:cs="EB Garamond" w:eastAsia="EB Garamond" w:hAnsi="EB Garamond"/>
          <w:b/>
          <w:bCs/>
          <w:color w:val="333333"/>
          <w:sz w:val="32"/>
          <w:szCs w:val="32"/>
        </w:rPr>
        <w:t xml:space="preserve">Party A</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Entity Name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Registered Address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ABN / ACN / Registration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Representative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Title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Email</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Party B</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Entity Name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APEX Consulting Partners Pty Ltd (ACN 674 649 417), trading as Ascension Capital Partners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Registered Address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Representative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Joshua Ting</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Title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Executive Managing Partner</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Email</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joshuating53@outlook.com</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2.  Purpose &amp; Scope</w:t>
      </w:r>
    </w:p>
    <w:p>
      <w:pPr>
        <w:spacing w:after="80" w:before="80"/>
        <w:jc w:val="both"/>
      </w:pPr>
      <w:r>
        <w:rPr>
          <w:rFonts w:ascii="Inter" w:cs="Inter" w:eastAsia="Inter" w:hAnsi="Inter"/>
          <w:b w:val="false"/>
          <w:bCs w:val="false"/>
          <w:i w:val="false"/>
          <w:iCs w:val="false"/>
          <w:caps w:val="false"/>
          <w:color w:val="333333"/>
          <w:sz w:val="22"/>
          <w:szCs w:val="22"/>
        </w:rPr>
        <w:t xml:space="preserve">The Parties enter into this Agreement for the purpose of establishing a joint teaming arrangement to collaborate on the origination, structuring, and execution of [●] (the "Programme" / "Project"). The respective roles of each Party are set out in Schedule 1.</w:t>
      </w:r>
    </w:p>
    <w:p>
      <w:pPr>
        <w:spacing w:after="60" w:before="60"/>
        <w:ind w:left="600" w:hanging="260"/>
      </w:pPr>
      <w:r>
        <w:rPr>
          <w:rFonts w:ascii="Inter" w:cs="Inter" w:eastAsia="Inter" w:hAnsi="Inter"/>
          <w:b w:val="false"/>
          <w:bCs w:val="false"/>
          <w:i w:val="false"/>
          <w:iCs w:val="false"/>
          <w:caps w:val="false"/>
          <w:color w:val="333333"/>
          <w:sz w:val="22"/>
          <w:szCs w:val="22"/>
        </w:rPr>
        <w:t xml:space="preserve">▸  Party A shall be responsible for: [●]</w:t>
      </w:r>
    </w:p>
    <w:p>
      <w:pPr>
        <w:spacing w:after="60" w:before="60"/>
        <w:ind w:left="600" w:hanging="260"/>
      </w:pPr>
      <w:r>
        <w:rPr>
          <w:rFonts w:ascii="Inter" w:cs="Inter" w:eastAsia="Inter" w:hAnsi="Inter"/>
          <w:b w:val="false"/>
          <w:bCs w:val="false"/>
          <w:i w:val="false"/>
          <w:iCs w:val="false"/>
          <w:caps w:val="false"/>
          <w:color w:val="333333"/>
          <w:sz w:val="22"/>
          <w:szCs w:val="22"/>
        </w:rPr>
        <w:t xml:space="preserve">▸  Party B (Ascension Capital Partners) shall be responsible for: capital structuring, capital markets execution, investor syndication, documentation management, and financial close.</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3.  Exclusivity &amp; Lead Arranger Status</w:t>
      </w:r>
    </w:p>
    <w:p>
      <w:pPr>
        <w:spacing w:after="80" w:before="80"/>
        <w:jc w:val="both"/>
      </w:pPr>
      <w:r>
        <w:rPr>
          <w:rFonts w:ascii="Inter" w:cs="Inter" w:eastAsia="Inter" w:hAnsi="Inter"/>
          <w:b w:val="false"/>
          <w:bCs w:val="false"/>
          <w:i w:val="false"/>
          <w:iCs w:val="false"/>
          <w:caps w:val="false"/>
          <w:color w:val="333333"/>
          <w:sz w:val="22"/>
          <w:szCs w:val="22"/>
        </w:rPr>
        <w:t xml:space="preserve">For the duration of this Agreement, Party B is appointed as exclusive Lead Arranger and Capital Advisor in respect of the Programme. Party A agrees not to engage any other capital advisor, placement agent, or arranger in connection with the Programme without Party B's prior written consent.</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4.  Intellectual Property &amp; Confidentiality</w:t>
      </w:r>
    </w:p>
    <w:p>
      <w:pPr>
        <w:spacing w:after="80" w:before="80"/>
        <w:jc w:val="both"/>
      </w:pPr>
      <w:r>
        <w:rPr>
          <w:rFonts w:ascii="Inter" w:cs="Inter" w:eastAsia="Inter" w:hAnsi="Inter"/>
          <w:b w:val="false"/>
          <w:bCs w:val="false"/>
          <w:i w:val="false"/>
          <w:iCs w:val="false"/>
          <w:caps w:val="false"/>
          <w:color w:val="333333"/>
          <w:sz w:val="22"/>
          <w:szCs w:val="22"/>
        </w:rPr>
        <w:t xml:space="preserve">All information, data, models, and materials exchanged between the Parties in connection with this Agreement shall be treated as strictly confidential. Neither Party shall disclose any such information to third parties (other than in connection with the Programme itself and with prior written consent) for a period of [●] years following termination of this Agreement.</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5.  Fee Sharing &amp; Commercial Terms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Fee Component</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Party A Share</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Party B Share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Arrangement Fee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Success / Placement Fee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Retainer / Mobilisation Fee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Equity Carry (if applicable)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spacing w:after="80" w:before="80"/>
        <w:jc w:val="both"/>
      </w:pPr>
      <w:r>
        <w:rPr>
          <w:rFonts w:ascii="Inter" w:cs="Inter" w:eastAsia="Inter" w:hAnsi="Inter"/>
          <w:b w:val="false"/>
          <w:bCs w:val="false"/>
          <w:i w:val="false"/>
          <w:iCs w:val="false"/>
          <w:caps w:val="false"/>
          <w:color w:val="333333"/>
          <w:sz w:val="22"/>
          <w:szCs w:val="22"/>
        </w:rPr>
        <w:t xml:space="preserve">Revenue sharing calculations shall be documented in a fee confirmation notice and settled within [●] Business Days of receipt of each applicable fee by the receiving Party.</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6.  Term &amp; Termination</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Initial Term</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months from Effective Date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Termination for Convenience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days' written notice by either Party</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Termination for Cause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Immediately upon written notice if a Party is in material breach and fails to remedy within [●] days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Post-Termination Tail</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months</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7.  Representations &amp; Warranties</w:t>
      </w:r>
    </w:p>
    <w:p>
      <w:pPr>
        <w:spacing w:after="60" w:before="60"/>
        <w:ind w:left="600" w:hanging="260"/>
      </w:pPr>
      <w:r>
        <w:rPr>
          <w:rFonts w:ascii="Inter" w:cs="Inter" w:eastAsia="Inter" w:hAnsi="Inter"/>
          <w:b w:val="false"/>
          <w:bCs w:val="false"/>
          <w:i w:val="false"/>
          <w:iCs w:val="false"/>
          <w:caps w:val="false"/>
          <w:color w:val="333333"/>
          <w:sz w:val="22"/>
          <w:szCs w:val="22"/>
        </w:rPr>
        <w:t xml:space="preserve">▸  Each Party has full power and authority to execute and perform this Agreement.</w:t>
      </w:r>
    </w:p>
    <w:p>
      <w:pPr>
        <w:spacing w:after="60" w:before="60"/>
        <w:ind w:left="600" w:hanging="260"/>
      </w:pPr>
      <w:r>
        <w:rPr>
          <w:rFonts w:ascii="Inter" w:cs="Inter" w:eastAsia="Inter" w:hAnsi="Inter"/>
          <w:b w:val="false"/>
          <w:bCs w:val="false"/>
          <w:i w:val="false"/>
          <w:iCs w:val="false"/>
          <w:caps w:val="false"/>
          <w:color w:val="333333"/>
          <w:sz w:val="22"/>
          <w:szCs w:val="22"/>
        </w:rPr>
        <w:t xml:space="preserve">▸  Neither Party is subject to any restriction, injunction, or regulatory prohibition that would prevent performance.</w:t>
      </w:r>
    </w:p>
    <w:p>
      <w:pPr>
        <w:spacing w:after="60" w:before="60"/>
        <w:ind w:left="600" w:hanging="260"/>
      </w:pPr>
      <w:r>
        <w:rPr>
          <w:rFonts w:ascii="Inter" w:cs="Inter" w:eastAsia="Inter" w:hAnsi="Inter"/>
          <w:b w:val="false"/>
          <w:bCs w:val="false"/>
          <w:i w:val="false"/>
          <w:iCs w:val="false"/>
          <w:caps w:val="false"/>
          <w:color w:val="333333"/>
          <w:sz w:val="22"/>
          <w:szCs w:val="22"/>
        </w:rPr>
        <w:t xml:space="preserve">▸  Each Party will maintain all necessary licences, authorisations, and regulatory approvals required for its role.</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8.  Governing Law &amp; Dispute Resolution</w:t>
      </w:r>
    </w:p>
    <w:p>
      <w:pPr>
        <w:spacing w:after="80" w:before="80"/>
        <w:jc w:val="both"/>
      </w:pPr>
      <w:r>
        <w:rPr>
          <w:rFonts w:ascii="Inter" w:cs="Inter" w:eastAsia="Inter" w:hAnsi="Inter"/>
          <w:b w:val="false"/>
          <w:bCs w:val="false"/>
          <w:i w:val="false"/>
          <w:iCs w:val="false"/>
          <w:caps w:val="false"/>
          <w:color w:val="333333"/>
          <w:sz w:val="22"/>
          <w:szCs w:val="22"/>
        </w:rPr>
        <w:t xml:space="preserve">This Agreement shall be governed by the laws of [●]. Any disputes shall be resolved by [●] arbitration. Interim injunctive relief may be sought in any court of competent jurisdiction.</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9.  Signatures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For and on behalf of Party A</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For and on behalf of Ascension Capital Partners (Party B)</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Signed: ___________________________</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Signed: ___________________________</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Name: [●]</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Name: Joshua Ting</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Title: [●]</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Title: Executive Managing Partner</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Date: [●]</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Date: [●]</w:t>
            </w:r>
          </w:p>
        </w:tc>
      </w:tr>
    </w:tbl>
    <w:p>
      <w:pPr>
        <w:pBdr>
          <w:bottom w:val="single" w:color="C5A55A" w:sz="4" w:space="2"/>
        </w:pBdr>
        <w:spacing w:after="200" w:before="200"/>
      </w:pPr>
      <w:r>
        <w:t xml:space="preserve"/>
      </w:r>
    </w:p>
    <w:p>
      <w:pPr>
        <w:spacing w:after="80" w:before="80"/>
        <w:jc w:val="both"/>
      </w:pPr>
      <w:r>
        <w:rPr>
          <w:rFonts w:ascii="Inter" w:cs="Inter" w:eastAsia="Inter" w:hAnsi="Inter"/>
          <w:b w:val="false"/>
          <w:bCs w:val="false"/>
          <w:i/>
          <w:iCs/>
          <w:caps w:val="false"/>
          <w:color w:val="333333"/>
          <w:sz w:val="22"/>
          <w:szCs w:val="22"/>
        </w:rPr>
        <w:t xml:space="preserve">Ascension Capital Partners t/a APEX Consulting Partners Pty Ltd  |  ACN 674 649 417</w:t>
      </w:r>
    </w:p>
    <w:sectPr>
      <w:headerReference w:type="default" r:id="rId7"/>
      <w:footerReference w:type="default" r:id="rId8"/>
      <w:pgSz w:w="11906" w:h="16838" w:orient="portrait"/>
      <w:pgMar w:top="1417" w:right="1417" w:bottom="1417" w:left="1701" w:header="708" w:footer="708" w:gutter="0"/>
      <w:pgBorders>
        <w:left w:val="single" w:color="C5A55A" w:sz="36"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Inter" w:cs="Inter" w:eastAsia="Inter" w:hAnsi="Inter"/>
        <w:color w:val="9B9B9B"/>
        <w:sz w:val="16"/>
        <w:szCs w:val="16"/>
      </w:rPr>
      <w:t xml:space="preserve">Ascension Capital Partners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5A" w:sz="6" w:space="4"/>
      </w:pBdr>
      <w:tabs>
        <w:tab w:val="right" w:pos="8788"/>
      </w:tabs>
      <w:spacing w:after="60"/>
    </w:pPr>
    <w:r>
      <w:rPr>
        <w:rFonts w:ascii="Inter" w:cs="Inter" w:eastAsia="Inter" w:hAnsi="Inter"/>
        <w:color w:val="333333"/>
        <w:sz w:val="18"/>
        <w:szCs w:val="18"/>
      </w:rPr>
      <w:t xml:space="preserve">Ascension Capital Partners</w:t>
    </w:r>
    <w:r>
      <w:t xml:space="preserve">	</w:t>
    </w:r>
    <w:r>
      <w:rPr>
        <w:rFonts w:ascii="Inter" w:cs="Inter" w:eastAsia="Inter" w:hAnsi="Inter"/>
        <w:color w:val="333333"/>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EB Garamond" w:cs="EB Garamond" w:eastAsia="EB Garamond" w:hAnsi="EB Garamond"/>
      <w:b/>
      <w:bCs/>
      <w:color w:val="000000"/>
      <w:sz w:val="40"/>
      <w:szCs w:val="40"/>
    </w:rPr>
  </w:style>
  <w:style w:type="paragraph" w:styleId="Heading2">
    <w:name w:val="Heading 2"/>
    <w:basedOn w:val="Normal"/>
    <w:next w:val="Normal"/>
    <w:qFormat/>
    <w:pPr>
      <w:spacing w:after="100" w:before="280"/>
      <w:outlineLvl w:val="1"/>
    </w:pPr>
    <w:rPr>
      <w:rFonts w:ascii="EB Garamond" w:cs="EB Garamond" w:eastAsia="EB Garamond" w:hAnsi="EB Garamond"/>
      <w:b/>
      <w:bCs/>
      <w:color w:val="333333"/>
      <w:sz w:val="32"/>
      <w:szCs w:val="32"/>
    </w:rPr>
  </w:style>
  <w:style w:type="paragraph" w:styleId="Heading3">
    <w:name w:val="Heading 3"/>
    <w:basedOn w:val="Normal"/>
    <w:next w:val="Normal"/>
    <w:qFormat/>
    <w:pPr>
      <w:spacing w:after="80" w:before="200"/>
      <w:outlineLvl w:val="2"/>
    </w:pPr>
    <w:rPr>
      <w:rFonts w:ascii="Inter" w:cs="Inter" w:eastAsia="Inter" w:hAnsi="Inte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2026-04-14T17:42:08.868Z</dcterms:created>
  <dcterms:modified xsi:type="dcterms:W3CDTF">2026-04-14T17:42:08.868Z</dcterms:modified>
</cp:coreProperties>
</file>

<file path=docProps/custom.xml><?xml version="1.0" encoding="utf-8"?>
<Properties xmlns="http://schemas.openxmlformats.org/officeDocument/2006/custom-properties" xmlns:vt="http://schemas.openxmlformats.org/officeDocument/2006/docPropsVTypes"/>
</file>