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Inter" w:cs="Inter" w:eastAsia="Inter" w:hAnsi="Inter"/>
          <w:b/>
          <w:bCs/>
          <w:i w:val="false"/>
          <w:iCs w:val="false"/>
          <w:caps/>
          <w:color w:val="000000"/>
          <w:sz w:val="24"/>
          <w:szCs w:val="24"/>
        </w:rPr>
        <w:t xml:space="preserve">ASCENSION CAPITAL PARTNERS</w:t>
      </w:r>
    </w:p>
    <w:p>
      <w:pPr>
        <w:spacing w:after="200" w:before="0"/>
        <w:jc w:val="center"/>
      </w:pPr>
      <w:r>
        <w:rPr>
          <w:rFonts w:ascii="Inter" w:cs="Inter" w:eastAsia="Inter" w:hAnsi="Inter"/>
          <w:b w:val="false"/>
          <w:bCs w:val="false"/>
          <w:i w:val="false"/>
          <w:iCs w:val="false"/>
          <w:caps w:val="false"/>
          <w:color w:val="9B9B9B"/>
          <w:sz w:val="18"/>
          <w:szCs w:val="18"/>
        </w:rPr>
        <w:t xml:space="preserve">APEX Consulting Partners Pty Ltd (ACN 674 649 417)</w:t>
      </w:r>
    </w:p>
    <w:p>
      <w:pPr>
        <w:pBdr>
          <w:bottom w:val="single" w:color="C5A55A" w:sz="4" w:space="2"/>
        </w:pBdr>
        <w:spacing w:after="200" w:before="200"/>
      </w:pPr>
      <w:r>
        <w:t xml:space="preserve"/>
      </w:r>
    </w:p>
    <w:p>
      <w:pPr>
        <w:spacing w:after="240" w:before="480"/>
        <w:jc w:val="center"/>
      </w:pPr>
      <w:r>
        <w:rPr>
          <w:rFonts w:ascii="EB Garamond" w:cs="EB Garamond" w:eastAsia="EB Garamond" w:hAnsi="EB Garamond"/>
          <w:b/>
          <w:bCs/>
          <w:color w:val="000000"/>
          <w:sz w:val="56"/>
          <w:szCs w:val="56"/>
        </w:rPr>
        <w:t xml:space="preserve">Programme Mandate Pitchbook</w:t>
      </w:r>
    </w:p>
    <w:p>
      <w:pPr>
        <w:spacing w:after="120" w:before="120"/>
      </w:pPr>
      <w:r>
        <w:t xml:space="preserve"/>
      </w:r>
    </w:p>
    <w:p>
      <w:pPr>
        <w:shd w:fill="000000" w:val="clear"/>
        <w:spacing w:after="120" w:before="120"/>
        <w:jc w:val="center"/>
      </w:pPr>
      <w:r>
        <w:rPr>
          <w:rFonts w:ascii="Inter" w:cs="Inter" w:eastAsia="Inter" w:hAnsi="Inter"/>
          <w:b/>
          <w:bCs/>
          <w:i w:val="false"/>
          <w:iCs w:val="false"/>
          <w:caps w:val="false"/>
          <w:color w:val="C5A55A"/>
          <w:sz w:val="18"/>
          <w:szCs w:val="18"/>
        </w:rPr>
        <w:t xml:space="preserve">STRICTLY CONFIDENTIAL — FOR PROFESSIONAL / WHOLESALE INVESTORS ONLY</w:t>
      </w:r>
    </w:p>
    <w:p>
      <w:pPr>
        <w:spacing w:after="120" w:before="120"/>
      </w:pPr>
      <w:r>
        <w:t xml:space="preserve"/>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000"/>
        <w:gridCol w:w="5788"/>
      </w:tblGrid>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Mandate Type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Programme Name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Effective Date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Advisor</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Ascension Capital Partners</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Target Size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Status</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Classification</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Strictly Confidential</w:t>
            </w:r>
          </w:p>
        </w:tc>
      </w:tr>
    </w:tbl>
    <w:p>
      <w:pPr>
        <w:spacing w:after="120" w:before="120"/>
      </w:pPr>
      <w:r>
        <w:t xml:space="preserve"/>
      </w:r>
    </w:p>
    <w:p>
      <w:pPr>
        <w:spacing w:after="120" w:before="120"/>
        <w:jc w:val="both"/>
      </w:pPr>
      <w:r>
        <w:rPr>
          <w:rFonts w:ascii="Inter" w:cs="Inter" w:eastAsia="Inter" w:hAnsi="Inter"/>
          <w:b w:val="false"/>
          <w:bCs w:val="false"/>
          <w:i/>
          <w:iCs/>
          <w:caps w:val="false"/>
          <w:color w:val="9B9B9B"/>
          <w:sz w:val="18"/>
          <w:szCs w:val="18"/>
        </w:rPr>
        <w:t xml:space="preserve">This document is provided for discussion purposes only and does not constitute a commitment, offer, or obligation to lend, invest, or enter into any transaction. Any proposed arrangement remains subject to satisfactory due diligence, receipt of all required internal approvals, execution of definitive documentation, and satisfaction of applicable conditions precedent. All terms described herein are indicative only and subject to change without notice.</w:t>
      </w:r>
    </w:p>
    <w:p>
      <w:r>
        <w:r>
          <w:br w:type="page"/>
        </w:r>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1.  Executive Summary &amp; Investment Thesis</w:t>
      </w:r>
    </w:p>
    <w:p>
      <w:pPr>
        <w:pStyle w:val="Heading2"/>
        <w:spacing w:after="100" w:before="280"/>
      </w:pPr>
      <w:r>
        <w:rPr>
          <w:rFonts w:ascii="EB Garamond" w:cs="EB Garamond" w:eastAsia="EB Garamond" w:hAnsi="EB Garamond"/>
          <w:b/>
          <w:bCs/>
          <w:color w:val="333333"/>
          <w:sz w:val="32"/>
          <w:szCs w:val="32"/>
        </w:rPr>
        <w:t xml:space="preserve">1.1  Investment Thesis</w:t>
      </w:r>
    </w:p>
    <w:p>
      <w:pPr>
        <w:spacing w:after="80" w:before="80"/>
        <w:jc w:val="both"/>
      </w:pPr>
      <w:r>
        <w:rPr>
          <w:rFonts w:ascii="Inter" w:cs="Inter" w:eastAsia="Inter" w:hAnsi="Inter"/>
          <w:b w:val="false"/>
          <w:bCs w:val="false"/>
          <w:i w:val="false"/>
          <w:iCs w:val="false"/>
          <w:caps w:val="false"/>
          <w:color w:val="333333"/>
          <w:sz w:val="22"/>
          <w:szCs w:val="22"/>
        </w:rPr>
        <w:t xml:space="preserve">[Describe the core investment thesis — e.g., contracted cashflows, asset quality, market positioning, policy alignment, and return profile.] The Programme is designed to provide qualified institutional investors with superior risk-adjusted returns underpinned by [●].</w:t>
      </w:r>
    </w:p>
    <w:p>
      <w:pPr>
        <w:spacing w:after="120" w:before="120"/>
      </w:pPr>
      <w:r>
        <w:t xml:space="preserve"/>
      </w:r>
    </w:p>
    <w:p>
      <w:pPr>
        <w:pStyle w:val="Heading2"/>
        <w:spacing w:after="100" w:before="280"/>
      </w:pPr>
      <w:r>
        <w:rPr>
          <w:rFonts w:ascii="EB Garamond" w:cs="EB Garamond" w:eastAsia="EB Garamond" w:hAnsi="EB Garamond"/>
          <w:b/>
          <w:bCs/>
          <w:color w:val="333333"/>
          <w:sz w:val="32"/>
          <w:szCs w:val="32"/>
        </w:rPr>
        <w:t xml:space="preserve">1.2  Catalyst &amp; Opportunity</w:t>
      </w:r>
    </w:p>
    <w:p>
      <w:pPr>
        <w:spacing w:after="80" w:before="80"/>
        <w:jc w:val="both"/>
      </w:pPr>
      <w:r>
        <w:rPr>
          <w:rFonts w:ascii="Inter" w:cs="Inter" w:eastAsia="Inter" w:hAnsi="Inter"/>
          <w:b w:val="false"/>
          <w:bCs w:val="false"/>
          <w:i w:val="false"/>
          <w:iCs w:val="false"/>
          <w:caps w:val="false"/>
          <w:color w:val="333333"/>
          <w:sz w:val="22"/>
          <w:szCs w:val="22"/>
        </w:rPr>
        <w:t xml:space="preserve">[Describe the market catalyst driving this programme — e.g., infrastructure funding gap, energy transition imperative, digital infrastructure demand surge, critical minerals supply constraint, or regulatory/policy driver.]</w:t>
      </w:r>
    </w:p>
    <w:p>
      <w:pPr>
        <w:spacing w:after="120" w:before="120"/>
      </w:pPr>
      <w:r>
        <w:t xml:space="preserve"/>
      </w:r>
    </w:p>
    <w:p>
      <w:pPr>
        <w:pStyle w:val="Heading2"/>
        <w:spacing w:after="100" w:before="280"/>
      </w:pPr>
      <w:r>
        <w:rPr>
          <w:rFonts w:ascii="EB Garamond" w:cs="EB Garamond" w:eastAsia="EB Garamond" w:hAnsi="EB Garamond"/>
          <w:b/>
          <w:bCs/>
          <w:color w:val="333333"/>
          <w:sz w:val="32"/>
          <w:szCs w:val="32"/>
        </w:rPr>
        <w:t xml:space="preserve">1.3  Mandate Description</w:t>
      </w:r>
    </w:p>
    <w:p>
      <w:pPr>
        <w:spacing w:after="80" w:before="80"/>
        <w:jc w:val="both"/>
      </w:pPr>
      <w:r>
        <w:rPr>
          <w:rFonts w:ascii="Inter" w:cs="Inter" w:eastAsia="Inter" w:hAnsi="Inter"/>
          <w:b w:val="false"/>
          <w:bCs w:val="false"/>
          <w:i w:val="false"/>
          <w:iCs w:val="false"/>
          <w:caps w:val="false"/>
          <w:color w:val="333333"/>
          <w:sz w:val="22"/>
          <w:szCs w:val="22"/>
        </w:rPr>
        <w:t xml:space="preserve">Ascension Capital Partners has been engaged as exclusive Arranger and Capital Advisor to [●] in connection with the Programme. The Programme comprises [●] Closing Events across Phase 1 and Phase 2, targeting aggregate deployment of [●].</w:t>
      </w:r>
    </w:p>
    <w:p>
      <w:pPr>
        <w:spacing w:after="120" w:before="120"/>
      </w:pPr>
      <w:r>
        <w:t xml:space="preserve"/>
      </w:r>
    </w:p>
    <w:p>
      <w:pPr>
        <w:pStyle w:val="Heading2"/>
        <w:spacing w:after="100" w:before="280"/>
      </w:pPr>
      <w:r>
        <w:rPr>
          <w:rFonts w:ascii="EB Garamond" w:cs="EB Garamond" w:eastAsia="EB Garamond" w:hAnsi="EB Garamond"/>
          <w:b/>
          <w:bCs/>
          <w:color w:val="333333"/>
          <w:sz w:val="32"/>
          <w:szCs w:val="32"/>
        </w:rPr>
        <w:t xml:space="preserve">1.4  Programme at a Glance</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000"/>
        <w:gridCol w:w="5788"/>
      </w:tblGrid>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Total Programme Size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Number of Closing Events</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Phase 1 Target Close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Phase 2 Target Close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Primary Asset Class</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Geography</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Target Return</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IRR / [●]x MOIC</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Investment Horizon</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years</w:t>
            </w:r>
          </w:p>
        </w:tc>
      </w:tr>
    </w:tbl>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2.  Company / Sponsor Overview</w:t>
      </w:r>
    </w:p>
    <w:p>
      <w:pPr>
        <w:spacing w:after="80" w:before="80"/>
        <w:jc w:val="both"/>
      </w:pPr>
      <w:r>
        <w:rPr>
          <w:rFonts w:ascii="Inter" w:cs="Inter" w:eastAsia="Inter" w:hAnsi="Inter"/>
          <w:b w:val="false"/>
          <w:bCs w:val="false"/>
          <w:i w:val="false"/>
          <w:iCs w:val="false"/>
          <w:caps w:val="false"/>
          <w:color w:val="333333"/>
          <w:sz w:val="22"/>
          <w:szCs w:val="22"/>
        </w:rPr>
        <w:t xml:space="preserve">[Describe the Sponsor / Client — company history, track record, management credentials, existing portfolio, financial position, and strategic rationale for the Programme.]</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000"/>
        <w:gridCol w:w="5788"/>
      </w:tblGrid>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Sponsor / Client</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Founded</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Headquarters</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AUM / Portfolio</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Key Principals</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Jurisdictions</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Accreditations / Licences</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bl>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3.  Programme Structure &amp; Capital Architecture</w:t>
      </w:r>
    </w:p>
    <w:p>
      <w:pPr>
        <w:pStyle w:val="Heading2"/>
        <w:spacing w:after="100" w:before="280"/>
      </w:pPr>
      <w:r>
        <w:rPr>
          <w:rFonts w:ascii="EB Garamond" w:cs="EB Garamond" w:eastAsia="EB Garamond" w:hAnsi="EB Garamond"/>
          <w:b/>
          <w:bCs/>
          <w:color w:val="333333"/>
          <w:sz w:val="32"/>
          <w:szCs w:val="32"/>
        </w:rPr>
        <w:t xml:space="preserve">3.1  Capital Stack</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988"/>
      </w:tblGrid>
      <w:tr>
        <w:tc>
          <w:tcPr>
            <w:tcW w:type="dxa" w:w="26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Tranche</w:t>
            </w:r>
          </w:p>
        </w:tc>
        <w:tc>
          <w:tcPr>
            <w:tcW w:type="dxa" w:w="32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Amount</w:t>
            </w:r>
          </w:p>
        </w:tc>
        <w:tc>
          <w:tcPr>
            <w:tcW w:type="dxa" w:w="2988"/>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Key Terms &amp; Return</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Senior Secured Debt</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p.a. / SOFR+[●]bps / [●] year tenor</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Mezzanine / Junior Debt</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p.a. / [●] year tenor / PIK option</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Preferred Equity</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preferred return / [●] year redemption</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Common Equity / Co-Investment</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target IRR / [●] year horizon</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Total Programme</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bl>
    <w:p>
      <w:pPr>
        <w:spacing w:after="120" w:before="120"/>
      </w:pPr>
      <w:r>
        <w:t xml:space="preserve"/>
      </w:r>
    </w:p>
    <w:p>
      <w:pPr>
        <w:pStyle w:val="Heading2"/>
        <w:spacing w:after="100" w:before="280"/>
      </w:pPr>
      <w:r>
        <w:rPr>
          <w:rFonts w:ascii="EB Garamond" w:cs="EB Garamond" w:eastAsia="EB Garamond" w:hAnsi="EB Garamond"/>
          <w:b/>
          <w:bCs/>
          <w:color w:val="333333"/>
          <w:sz w:val="32"/>
          <w:szCs w:val="32"/>
        </w:rPr>
        <w:t xml:space="preserve">3.2  Phase Architecture</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200"/>
        <w:gridCol w:w="3594"/>
        <w:gridCol w:w="2994"/>
      </w:tblGrid>
      <w:tr>
        <w:tc>
          <w:tcPr>
            <w:tcW w:type="dxa" w:w="22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Phase</w:t>
            </w:r>
          </w:p>
        </w:tc>
        <w:tc>
          <w:tcPr>
            <w:tcW w:type="dxa" w:w="3594"/>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Closing Events</w:t>
            </w:r>
          </w:p>
        </w:tc>
        <w:tc>
          <w:tcPr>
            <w:tcW w:type="dxa" w:w="2994"/>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Target Close Date</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Phase 1</w:t>
            </w:r>
          </w:p>
        </w:tc>
        <w:tc>
          <w:tcPr>
            <w:tcW w:type="dxa" w:w="3594"/>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[CE-01], [CE-02], [CE-03]</w:t>
            </w:r>
          </w:p>
        </w:tc>
        <w:tc>
          <w:tcPr>
            <w:tcW w:type="dxa" w:w="2994"/>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Phase 2</w:t>
            </w:r>
          </w:p>
        </w:tc>
        <w:tc>
          <w:tcPr>
            <w:tcW w:type="dxa" w:w="3594"/>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[CE-04], [CE-05], [CE-06]</w:t>
            </w:r>
          </w:p>
        </w:tc>
        <w:tc>
          <w:tcPr>
            <w:tcW w:type="dxa" w:w="2994"/>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bl>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4.  Pipeline Overview</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988"/>
      </w:tblGrid>
      <w:tr>
        <w:tc>
          <w:tcPr>
            <w:tcW w:type="dxa" w:w="26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Asset / CE</w:t>
            </w:r>
          </w:p>
        </w:tc>
        <w:tc>
          <w:tcPr>
            <w:tcW w:type="dxa" w:w="32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Type</w:t>
            </w:r>
          </w:p>
        </w:tc>
        <w:tc>
          <w:tcPr>
            <w:tcW w:type="dxa" w:w="2988"/>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Size / Status</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CE-01: [●]</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 [Stage]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CE-02: [●]</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 [Stage]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CE-03: [●]</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 [Stage]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CE-04: [●]</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 [Stage]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CE-05: [●]</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 [Stage]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CE-06: [●]</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 [Stage]</w:t>
            </w:r>
          </w:p>
        </w:tc>
      </w:tr>
    </w:tbl>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5.  Risk Framework</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988"/>
      </w:tblGrid>
      <w:tr>
        <w:tc>
          <w:tcPr>
            <w:tcW w:type="dxa" w:w="26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Risk Category</w:t>
            </w:r>
          </w:p>
        </w:tc>
        <w:tc>
          <w:tcPr>
            <w:tcW w:type="dxa" w:w="32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Rating</w:t>
            </w:r>
          </w:p>
        </w:tc>
        <w:tc>
          <w:tcPr>
            <w:tcW w:type="dxa" w:w="2988"/>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Key Mitigant</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Credit / Counterparty</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[Low / Medium / High]</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Market / Revenue</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[Low / Medium / High]</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Construction / Delivery</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[Low / Medium / High]</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Regulatory / Policy</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[Low / Medium / High]</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ESG / Environmental</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[Low / Medium / High]</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bl>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6.  Ascension Capital Partners — Advisor Profile</w:t>
      </w:r>
    </w:p>
    <w:p>
      <w:pPr>
        <w:spacing w:after="80" w:before="80"/>
        <w:jc w:val="both"/>
      </w:pPr>
      <w:r>
        <w:rPr>
          <w:rFonts w:ascii="Inter" w:cs="Inter" w:eastAsia="Inter" w:hAnsi="Inter"/>
          <w:b w:val="false"/>
          <w:bCs w:val="false"/>
          <w:i w:val="false"/>
          <w:iCs w:val="false"/>
          <w:caps w:val="false"/>
          <w:color w:val="333333"/>
          <w:sz w:val="22"/>
          <w:szCs w:val="22"/>
        </w:rPr>
        <w:t xml:space="preserve">Ascension Capital Partners is a global alternatives advisory and capital structuring platform, operating through APEX Consulting Partners Pty Ltd (ACN 674 649 417). The firm specialises in private credit, project finance, real assets, and energy transition across developed and emerging markets, delivering institutional-grade structuring, syndication, and execution services to sponsors, corporates, and sovereign-linked entities.</w:t>
      </w:r>
    </w:p>
    <w:p>
      <w:pPr>
        <w:spacing w:after="60" w:before="60"/>
        <w:ind w:left="600" w:hanging="260"/>
      </w:pPr>
      <w:r>
        <w:rPr>
          <w:rFonts w:ascii="Inter" w:cs="Inter" w:eastAsia="Inter" w:hAnsi="Inter"/>
          <w:b w:val="false"/>
          <w:bCs w:val="false"/>
          <w:i w:val="false"/>
          <w:iCs w:val="false"/>
          <w:caps w:val="false"/>
          <w:color w:val="333333"/>
          <w:sz w:val="22"/>
          <w:szCs w:val="22"/>
        </w:rPr>
        <w:t xml:space="preserve">▸  Deep sector expertise across energy transition, digital infrastructure, critical minerals, and upstream O&amp;G.</w:t>
      </w:r>
    </w:p>
    <w:p>
      <w:pPr>
        <w:spacing w:after="60" w:before="60"/>
        <w:ind w:left="600" w:hanging="260"/>
      </w:pPr>
      <w:r>
        <w:rPr>
          <w:rFonts w:ascii="Inter" w:cs="Inter" w:eastAsia="Inter" w:hAnsi="Inter"/>
          <w:b w:val="false"/>
          <w:bCs w:val="false"/>
          <w:i w:val="false"/>
          <w:iCs w:val="false"/>
          <w:caps w:val="false"/>
          <w:color w:val="333333"/>
          <w:sz w:val="22"/>
          <w:szCs w:val="22"/>
        </w:rPr>
        <w:t xml:space="preserve">▸  Multi-jurisdictional structuring capability across APAC, EMEA, and North America.</w:t>
      </w:r>
    </w:p>
    <w:p>
      <w:pPr>
        <w:spacing w:after="60" w:before="60"/>
        <w:ind w:left="600" w:hanging="260"/>
      </w:pPr>
      <w:r>
        <w:rPr>
          <w:rFonts w:ascii="Inter" w:cs="Inter" w:eastAsia="Inter" w:hAnsi="Inter"/>
          <w:b w:val="false"/>
          <w:bCs w:val="false"/>
          <w:i w:val="false"/>
          <w:iCs w:val="false"/>
          <w:caps w:val="false"/>
          <w:color w:val="333333"/>
          <w:sz w:val="22"/>
          <w:szCs w:val="22"/>
        </w:rPr>
        <w:t xml:space="preserve">▸  Institutional-grade execution — documentation management, CP tracking, lender coordination, and post-close monitoring.</w:t>
      </w:r>
    </w:p>
    <w:p>
      <w:pPr>
        <w:spacing w:after="60" w:before="60"/>
        <w:ind w:left="600" w:hanging="260"/>
      </w:pPr>
      <w:r>
        <w:rPr>
          <w:rFonts w:ascii="Inter" w:cs="Inter" w:eastAsia="Inter" w:hAnsi="Inter"/>
          <w:b w:val="false"/>
          <w:bCs w:val="false"/>
          <w:i w:val="false"/>
          <w:iCs w:val="false"/>
          <w:caps w:val="false"/>
          <w:color w:val="333333"/>
          <w:sz w:val="22"/>
          <w:szCs w:val="22"/>
        </w:rPr>
        <w:t xml:space="preserve">▸  Proprietary investor network spanning credit funds, family offices, pension funds, insurance companies, and sovereign wealth funds.</w:t>
      </w:r>
    </w:p>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7.  Next Steps &amp; Contact</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000"/>
        <w:gridCol w:w="5788"/>
      </w:tblGrid>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NDA Execution</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Investor Qualification Certificate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Preliminary Data Request</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Management Presentation</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Term Sheet Issuance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Target Financial Close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bl>
    <w:p>
      <w:pPr>
        <w:spacing w:after="120" w:before="120"/>
      </w:pPr>
      <w:r>
        <w:t xml:space="preserve"/>
      </w:r>
    </w:p>
    <w:p>
      <w:pPr>
        <w:pBdr>
          <w:bottom w:val="single" w:color="C5A55A" w:sz="4" w:space="2"/>
        </w:pBdr>
        <w:spacing w:after="200" w:before="200"/>
      </w:pPr>
      <w:r>
        <w:t xml:space="preserve"/>
      </w:r>
    </w:p>
    <w:p>
      <w:pPr>
        <w:spacing w:after="80" w:before="80"/>
        <w:jc w:val="both"/>
      </w:pPr>
      <w:r>
        <w:rPr>
          <w:rFonts w:ascii="Inter" w:cs="Inter" w:eastAsia="Inter" w:hAnsi="Inter"/>
          <w:b/>
          <w:bCs/>
          <w:i w:val="false"/>
          <w:iCs w:val="false"/>
          <w:caps w:val="false"/>
          <w:color w:val="333333"/>
          <w:sz w:val="22"/>
          <w:szCs w:val="22"/>
        </w:rPr>
        <w:t xml:space="preserve">Joshua Ting  |  Executive Managing Partner  |  Global Head of Alternatives &amp; Private Markets</w:t>
      </w:r>
    </w:p>
    <w:p>
      <w:pPr>
        <w:spacing w:after="80" w:before="80"/>
        <w:jc w:val="both"/>
      </w:pPr>
      <w:r>
        <w:rPr>
          <w:rFonts w:ascii="Inter" w:cs="Inter" w:eastAsia="Inter" w:hAnsi="Inter"/>
          <w:b w:val="false"/>
          <w:bCs w:val="false"/>
          <w:i w:val="false"/>
          <w:iCs w:val="false"/>
          <w:caps w:val="false"/>
          <w:color w:val="333333"/>
          <w:sz w:val="22"/>
          <w:szCs w:val="22"/>
        </w:rPr>
        <w:t xml:space="preserve">M: +61 451 338 533  |  E: joshuating53@outlook.com</w:t>
      </w:r>
    </w:p>
    <w:p>
      <w:pPr>
        <w:spacing w:after="80" w:before="80"/>
        <w:jc w:val="both"/>
      </w:pPr>
      <w:r>
        <w:rPr>
          <w:rFonts w:ascii="Inter" w:cs="Inter" w:eastAsia="Inter" w:hAnsi="Inter"/>
          <w:b w:val="false"/>
          <w:bCs w:val="false"/>
          <w:i/>
          <w:iCs/>
          <w:caps w:val="false"/>
          <w:color w:val="333333"/>
          <w:sz w:val="22"/>
          <w:szCs w:val="22"/>
        </w:rPr>
        <w:t xml:space="preserve">Ascension Capital Partners t/a APEX Consulting Partners Pty Ltd  |  ACN 674 649 417</w:t>
      </w:r>
    </w:p>
    <w:sectPr>
      <w:headerReference w:type="default" r:id="rId7"/>
      <w:footerReference w:type="default" r:id="rId8"/>
      <w:pgSz w:w="11906" w:h="16838" w:orient="portrait"/>
      <w:pgMar w:top="1417" w:right="1417" w:bottom="1417" w:left="1701" w:header="708" w:footer="708" w:gutter="0"/>
      <w:pgBorders>
        <w:left w:val="single" w:color="C5A55A" w:sz="36" w:space="20"/>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center"/>
    </w:pPr>
    <w:r>
      <w:rPr>
        <w:rFonts w:ascii="Inter" w:cs="Inter" w:eastAsia="Inter" w:hAnsi="Inter"/>
        <w:color w:val="9B9B9B"/>
        <w:sz w:val="16"/>
        <w:szCs w:val="16"/>
      </w:rPr>
      <w:t xml:space="preserve">Ascension Capital Partners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55A" w:sz="6" w:space="4"/>
      </w:pBdr>
      <w:tabs>
        <w:tab w:val="right" w:pos="8788"/>
      </w:tabs>
      <w:spacing w:after="60"/>
    </w:pPr>
    <w:r>
      <w:rPr>
        <w:rFonts w:ascii="Inter" w:cs="Inter" w:eastAsia="Inter" w:hAnsi="Inter"/>
        <w:color w:val="333333"/>
        <w:sz w:val="18"/>
        <w:szCs w:val="18"/>
      </w:rPr>
      <w:t xml:space="preserve">Ascension Capital Partners</w:t>
    </w:r>
    <w:r>
      <w:t xml:space="preserve">	</w:t>
    </w:r>
    <w:r>
      <w:rPr>
        <w:rFonts w:ascii="Inter" w:cs="Inter" w:eastAsia="Inter" w:hAnsi="Inter"/>
        <w:color w:val="333333"/>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EB Garamond" w:cs="EB Garamond" w:eastAsia="EB Garamond" w:hAnsi="EB Garamond"/>
      <w:b/>
      <w:bCs/>
      <w:color w:val="000000"/>
      <w:sz w:val="40"/>
      <w:szCs w:val="40"/>
    </w:rPr>
  </w:style>
  <w:style w:type="paragraph" w:styleId="Heading2">
    <w:name w:val="Heading 2"/>
    <w:basedOn w:val="Normal"/>
    <w:next w:val="Normal"/>
    <w:qFormat/>
    <w:pPr>
      <w:spacing w:after="100" w:before="280"/>
      <w:outlineLvl w:val="1"/>
    </w:pPr>
    <w:rPr>
      <w:rFonts w:ascii="EB Garamond" w:cs="EB Garamond" w:eastAsia="EB Garamond" w:hAnsi="EB Garamond"/>
      <w:b/>
      <w:bCs/>
      <w:color w:val="333333"/>
      <w:sz w:val="32"/>
      <w:szCs w:val="32"/>
    </w:rPr>
  </w:style>
  <w:style w:type="paragraph" w:styleId="Heading3">
    <w:name w:val="Heading 3"/>
    <w:basedOn w:val="Normal"/>
    <w:next w:val="Normal"/>
    <w:qFormat/>
    <w:pPr>
      <w:spacing w:after="80" w:before="200"/>
      <w:outlineLvl w:val="2"/>
    </w:pPr>
    <w:rPr>
      <w:rFonts w:ascii="Inter" w:cs="Inter" w:eastAsia="Inter" w:hAnsi="Inter"/>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2026-04-14T17:42:08.913Z</dcterms:created>
  <dcterms:modified xsi:type="dcterms:W3CDTF">2026-04-14T17:42:08.913Z</dcterms:modified>
</cp:coreProperties>
</file>

<file path=docProps/custom.xml><?xml version="1.0" encoding="utf-8"?>
<Properties xmlns="http://schemas.openxmlformats.org/officeDocument/2006/custom-properties" xmlns:vt="http://schemas.openxmlformats.org/officeDocument/2006/docPropsVTypes"/>
</file>