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jc w:val="center"/>
      </w:pPr>
      <w:r>
        <w:rPr>
          <w:rFonts w:ascii="Inter" w:cs="Inter" w:eastAsia="Inter" w:hAnsi="Inter"/>
          <w:b/>
          <w:bCs/>
          <w:i w:val="false"/>
          <w:iCs w:val="false"/>
          <w:caps/>
          <w:color w:val="000000"/>
          <w:sz w:val="24"/>
          <w:szCs w:val="24"/>
        </w:rPr>
        <w:t xml:space="preserve">ASCENSION CAPITAL PARTNERS</w:t>
      </w:r>
    </w:p>
    <w:p>
      <w:pPr>
        <w:spacing w:after="200" w:before="0"/>
        <w:jc w:val="center"/>
      </w:pPr>
      <w:r>
        <w:rPr>
          <w:rFonts w:ascii="Inter" w:cs="Inter" w:eastAsia="Inter" w:hAnsi="Inter"/>
          <w:b w:val="false"/>
          <w:bCs w:val="false"/>
          <w:i w:val="false"/>
          <w:iCs w:val="false"/>
          <w:caps w:val="false"/>
          <w:color w:val="9B9B9B"/>
          <w:sz w:val="18"/>
          <w:szCs w:val="18"/>
        </w:rPr>
        <w:t xml:space="preserve">APEX Consulting Partners Pty Ltd (ACN 674 649 417)</w:t>
      </w:r>
    </w:p>
    <w:p>
      <w:pPr>
        <w:pBdr>
          <w:bottom w:val="single" w:color="C5A55A" w:sz="4" w:space="2"/>
        </w:pBdr>
        <w:spacing w:after="200" w:before="200"/>
      </w:pPr>
      <w:r>
        <w:t xml:space="preserve"/>
      </w:r>
    </w:p>
    <w:p>
      <w:pPr>
        <w:spacing w:after="240" w:before="480"/>
        <w:jc w:val="center"/>
      </w:pPr>
      <w:r>
        <w:rPr>
          <w:rFonts w:ascii="EB Garamond" w:cs="EB Garamond" w:eastAsia="EB Garamond" w:hAnsi="EB Garamond"/>
          <w:b/>
          <w:bCs/>
          <w:color w:val="000000"/>
          <w:sz w:val="56"/>
          <w:szCs w:val="56"/>
        </w:rPr>
        <w:t xml:space="preserve">Institutional Platform &amp; Programmatic Teaser</w:t>
      </w:r>
    </w:p>
    <w:p>
      <w:pPr>
        <w:spacing w:after="120" w:before="120"/>
        <w:jc w:val="center"/>
      </w:pPr>
      <w:r>
        <w:rPr>
          <w:rFonts w:ascii="Inter" w:cs="Inter" w:eastAsia="Inter" w:hAnsi="Inter"/>
          <w:b w:val="false"/>
          <w:bCs w:val="false"/>
          <w:i w:val="false"/>
          <w:iCs w:val="false"/>
          <w:caps w:val="false"/>
          <w:color w:val="333333"/>
          <w:sz w:val="26"/>
          <w:szCs w:val="26"/>
        </w:rPr>
        <w:t xml:space="preserve">[●] — Programme Name</w:t>
      </w:r>
    </w:p>
    <w:p>
      <w:pPr>
        <w:spacing w:after="120" w:before="120"/>
      </w:pPr>
      <w:r>
        <w:t xml:space="preserve"/>
      </w:r>
    </w:p>
    <w:p>
      <w:pPr>
        <w:shd w:fill="000000" w:val="clear"/>
        <w:spacing w:after="120" w:before="120"/>
        <w:jc w:val="center"/>
      </w:pPr>
      <w:r>
        <w:rPr>
          <w:rFonts w:ascii="Inter" w:cs="Inter" w:eastAsia="Inter" w:hAnsi="Inter"/>
          <w:b/>
          <w:bCs/>
          <w:i w:val="false"/>
          <w:iCs w:val="false"/>
          <w:caps w:val="false"/>
          <w:color w:val="C5A55A"/>
          <w:sz w:val="18"/>
          <w:szCs w:val="18"/>
        </w:rPr>
        <w:t xml:space="preserve">STRICTLY CONFIDENTIAL — FOR QUALIFIED INSTITUTIONAL INVESTORS ONLY</w:t>
      </w:r>
    </w:p>
    <w:p>
      <w:pPr>
        <w:spacing w:after="120" w:before="120"/>
      </w:pPr>
      <w:r>
        <w:t xml:space="preserve"/>
      </w:r>
    </w:p>
    <w:tbl>
      <w:tblPr>
        <w:tblW w:type="dxa" w:w="8788"/>
        <w:tblBorders>
          <w:top w:val="single" w:color="auto" w:sz="4"/>
          <w:left w:val="single" w:color="auto" w:sz="4"/>
          <w:bottom w:val="single" w:color="auto" w:sz="4"/>
          <w:right w:val="single" w:color="auto" w:sz="4"/>
          <w:insideH w:val="single" w:color="auto" w:sz="4"/>
          <w:insideV w:val="single" w:color="auto" w:sz="4"/>
        </w:tblBorders>
      </w:tblPr>
      <w:tblGrid>
        <w:gridCol w:w="3000"/>
        <w:gridCol w:w="5788"/>
      </w:tblGrid>
      <w:tr>
        <w:tc>
          <w:tcPr>
            <w:tcW w:type="dxa" w:w="3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r>
              <w:rPr>
                <w:rFonts w:ascii="Inter" w:cs="Inter" w:eastAsia="Inter" w:hAnsi="Inter"/>
                <w:b/>
                <w:bCs/>
                <w:i w:val="false"/>
                <w:iCs w:val="false"/>
                <w:caps w:val="false"/>
                <w:color w:val="333333"/>
                <w:sz w:val="20"/>
                <w:szCs w:val="20"/>
              </w:rPr>
              <w:t xml:space="preserve">Programme</w:t>
            </w:r>
          </w:p>
        </w:tc>
        <w:tc>
          <w:tcPr>
            <w:tcW w:type="dxa" w:w="57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r>
              <w:rPr>
                <w:rFonts w:ascii="Inter" w:cs="Inter" w:eastAsia="Inter" w:hAnsi="Inter"/>
                <w:b/>
                <w:bCs/>
                <w:i w:val="false"/>
                <w:iCs w:val="false"/>
                <w:caps w:val="false"/>
                <w:color w:val="333333"/>
                <w:sz w:val="20"/>
                <w:szCs w:val="20"/>
              </w:rPr>
              <w:t xml:space="preserve">Advisor</w:t>
            </w:r>
          </w:p>
        </w:tc>
        <w:tc>
          <w:tcPr>
            <w:tcW w:type="dxa" w:w="57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Ascension Capital Partners / APEX Consulting Partners Pty Ltd (ACN 674 649 417)</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r>
              <w:rPr>
                <w:rFonts w:ascii="Inter" w:cs="Inter" w:eastAsia="Inter" w:hAnsi="Inter"/>
                <w:b/>
                <w:bCs/>
                <w:i w:val="false"/>
                <w:iCs w:val="false"/>
                <w:caps w:val="false"/>
                <w:color w:val="333333"/>
                <w:sz w:val="20"/>
                <w:szCs w:val="20"/>
              </w:rPr>
              <w:t xml:space="preserve">Date</w:t>
            </w:r>
          </w:p>
        </w:tc>
        <w:tc>
          <w:tcPr>
            <w:tcW w:type="dxa" w:w="57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r>
              <w:rPr>
                <w:rFonts w:ascii="Inter" w:cs="Inter" w:eastAsia="Inter" w:hAnsi="Inter"/>
                <w:b/>
                <w:bCs/>
                <w:i w:val="false"/>
                <w:iCs w:val="false"/>
                <w:caps w:val="false"/>
                <w:color w:val="333333"/>
                <w:sz w:val="20"/>
                <w:szCs w:val="20"/>
              </w:rPr>
              <w:t xml:space="preserve">Classification</w:t>
            </w:r>
          </w:p>
        </w:tc>
        <w:tc>
          <w:tcPr>
            <w:tcW w:type="dxa" w:w="57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Strictly Confidential — For Qualified Institutional Investors Only</w:t>
            </w:r>
          </w:p>
        </w:tc>
      </w:tr>
    </w:tbl>
    <w:p>
      <w:pPr>
        <w:spacing w:after="120" w:before="120"/>
      </w:pPr>
      <w:r>
        <w:t xml:space="preserve"/>
      </w:r>
    </w:p>
    <w:p>
      <w:pPr>
        <w:pStyle w:val="Heading1"/>
        <w:pBdr>
          <w:bottom w:val="single" w:color="C5A55A" w:sz="6" w:space="3"/>
        </w:pBdr>
        <w:spacing w:after="160" w:before="400"/>
      </w:pPr>
      <w:r>
        <w:rPr>
          <w:rFonts w:ascii="EB Garamond" w:cs="EB Garamond" w:eastAsia="EB Garamond" w:hAnsi="EB Garamond"/>
          <w:b/>
          <w:bCs/>
          <w:color w:val="000000"/>
          <w:sz w:val="40"/>
          <w:szCs w:val="40"/>
        </w:rPr>
        <w:t xml:space="preserve">1.  Executive Summary</w:t>
      </w:r>
    </w:p>
    <w:p>
      <w:pPr>
        <w:spacing w:after="80" w:before="80"/>
        <w:jc w:val="both"/>
      </w:pPr>
      <w:r>
        <w:rPr>
          <w:rFonts w:ascii="Inter" w:cs="Inter" w:eastAsia="Inter" w:hAnsi="Inter"/>
          <w:b w:val="false"/>
          <w:bCs w:val="false"/>
          <w:i w:val="false"/>
          <w:iCs w:val="false"/>
          <w:caps w:val="false"/>
          <w:color w:val="333333"/>
          <w:sz w:val="22"/>
          <w:szCs w:val="22"/>
        </w:rPr>
        <w:t xml:space="preserve">Ascension Capital Partners (the "Advisor") is pleased to present this institutional teaser in connection with [●] (the "Programme"), a programmatic platform designed to deploy capital across a diversified pipeline of [●] assets. The Programme has been structured to provide qualified institutional investors with access to [●] opportunities underpinned by contracted cashflows, established counterparties, and institutional-grade security packages.</w:t>
      </w:r>
    </w:p>
    <w:p>
      <w:pPr>
        <w:spacing w:after="80" w:before="80"/>
        <w:jc w:val="both"/>
      </w:pPr>
      <w:r>
        <w:rPr>
          <w:rFonts w:ascii="Inter" w:cs="Inter" w:eastAsia="Inter" w:hAnsi="Inter"/>
          <w:b w:val="false"/>
          <w:bCs w:val="false"/>
          <w:i w:val="false"/>
          <w:iCs w:val="false"/>
          <w:caps w:val="false"/>
          <w:color w:val="333333"/>
          <w:sz w:val="22"/>
          <w:szCs w:val="22"/>
        </w:rPr>
        <w:t xml:space="preserve">The platform targets an aggregate deployment of [●] across [●] phases, with each transaction individually underwritten and credit-assessed. The Advisor acts as arranger, structuring agent, and ongoing monitoring party, ensuring alignment of interests through [●] equity co-investment and performance-linked fee structures.</w:t>
      </w:r>
    </w:p>
    <w:p>
      <w:pPr>
        <w:spacing w:after="80" w:before="80"/>
        <w:jc w:val="both"/>
      </w:pPr>
      <w:r>
        <w:rPr>
          <w:rFonts w:ascii="Inter" w:cs="Inter" w:eastAsia="Inter" w:hAnsi="Inter"/>
          <w:b w:val="false"/>
          <w:bCs w:val="false"/>
          <w:i w:val="false"/>
          <w:iCs w:val="false"/>
          <w:caps w:val="false"/>
          <w:color w:val="333333"/>
          <w:sz w:val="22"/>
          <w:szCs w:val="22"/>
        </w:rPr>
        <w:t xml:space="preserve">This document provides a summary of the Programme's structure, pipeline, credit metrics, and security arrangements. Detailed information is available upon execution of a Non-Disclosure Agreement and submission of an Investor Qualification Certificate.</w:t>
      </w:r>
    </w:p>
    <w:p>
      <w:pPr>
        <w:spacing w:after="120" w:before="120"/>
      </w:pPr>
      <w:r>
        <w:t xml:space="preserve"/>
      </w:r>
    </w:p>
    <w:p>
      <w:pPr>
        <w:pStyle w:val="Heading1"/>
        <w:pBdr>
          <w:bottom w:val="single" w:color="C5A55A" w:sz="6" w:space="3"/>
        </w:pBdr>
        <w:spacing w:after="160" w:before="400"/>
      </w:pPr>
      <w:r>
        <w:rPr>
          <w:rFonts w:ascii="EB Garamond" w:cs="EB Garamond" w:eastAsia="EB Garamond" w:hAnsi="EB Garamond"/>
          <w:b/>
          <w:bCs/>
          <w:color w:val="000000"/>
          <w:sz w:val="40"/>
          <w:szCs w:val="40"/>
        </w:rPr>
        <w:t xml:space="preserve">2.  Key Facts</w:t>
      </w:r>
    </w:p>
    <w:tbl>
      <w:tblPr>
        <w:tblW w:type="dxa" w:w="8788"/>
        <w:tblBorders>
          <w:top w:val="single" w:color="auto" w:sz="4"/>
          <w:left w:val="single" w:color="auto" w:sz="4"/>
          <w:bottom w:val="single" w:color="auto" w:sz="4"/>
          <w:right w:val="single" w:color="auto" w:sz="4"/>
          <w:insideH w:val="single" w:color="auto" w:sz="4"/>
          <w:insideV w:val="single" w:color="auto" w:sz="4"/>
        </w:tblBorders>
      </w:tblPr>
      <w:tblGrid>
        <w:gridCol w:w="3000"/>
        <w:gridCol w:w="5788"/>
      </w:tblGrid>
      <w:tr>
        <w:tc>
          <w:tcPr>
            <w:tcW w:type="dxa" w:w="3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r>
              <w:rPr>
                <w:rFonts w:ascii="Inter" w:cs="Inter" w:eastAsia="Inter" w:hAnsi="Inter"/>
                <w:b/>
                <w:bCs/>
                <w:i w:val="false"/>
                <w:iCs w:val="false"/>
                <w:caps w:val="false"/>
                <w:color w:val="333333"/>
                <w:sz w:val="20"/>
                <w:szCs w:val="20"/>
              </w:rPr>
              <w:t xml:space="preserve">Issuer / Platform</w:t>
            </w:r>
          </w:p>
        </w:tc>
        <w:tc>
          <w:tcPr>
            <w:tcW w:type="dxa" w:w="57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r>
              <w:rPr>
                <w:rFonts w:ascii="Inter" w:cs="Inter" w:eastAsia="Inter" w:hAnsi="Inter"/>
                <w:b/>
                <w:bCs/>
                <w:i w:val="false"/>
                <w:iCs w:val="false"/>
                <w:caps w:val="false"/>
                <w:color w:val="333333"/>
                <w:sz w:val="20"/>
                <w:szCs w:val="20"/>
              </w:rPr>
              <w:t xml:space="preserve">Use of Proceeds</w:t>
            </w:r>
          </w:p>
        </w:tc>
        <w:tc>
          <w:tcPr>
            <w:tcW w:type="dxa" w:w="57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r>
              <w:rPr>
                <w:rFonts w:ascii="Inter" w:cs="Inter" w:eastAsia="Inter" w:hAnsi="Inter"/>
                <w:b/>
                <w:bCs/>
                <w:i w:val="false"/>
                <w:iCs w:val="false"/>
                <w:caps w:val="false"/>
                <w:color w:val="333333"/>
                <w:sz w:val="20"/>
                <w:szCs w:val="20"/>
              </w:rPr>
              <w:t xml:space="preserve">Instruments</w:t>
            </w:r>
          </w:p>
        </w:tc>
        <w:tc>
          <w:tcPr>
            <w:tcW w:type="dxa" w:w="57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r>
              <w:rPr>
                <w:rFonts w:ascii="Inter" w:cs="Inter" w:eastAsia="Inter" w:hAnsi="Inter"/>
                <w:b/>
                <w:bCs/>
                <w:i w:val="false"/>
                <w:iCs w:val="false"/>
                <w:caps w:val="false"/>
                <w:color w:val="333333"/>
                <w:sz w:val="20"/>
                <w:szCs w:val="20"/>
              </w:rPr>
              <w:t xml:space="preserve">GP Seed Stake / Bridge</w:t>
            </w:r>
          </w:p>
        </w:tc>
        <w:tc>
          <w:tcPr>
            <w:tcW w:type="dxa" w:w="57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r>
              <w:rPr>
                <w:rFonts w:ascii="Inter" w:cs="Inter" w:eastAsia="Inter" w:hAnsi="Inter"/>
                <w:b/>
                <w:bCs/>
                <w:i w:val="false"/>
                <w:iCs w:val="false"/>
                <w:caps w:val="false"/>
                <w:color w:val="333333"/>
                <w:sz w:val="20"/>
                <w:szCs w:val="20"/>
              </w:rPr>
              <w:t xml:space="preserve">Facility Size Target</w:t>
            </w:r>
          </w:p>
        </w:tc>
        <w:tc>
          <w:tcPr>
            <w:tcW w:type="dxa" w:w="57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r>
              <w:rPr>
                <w:rFonts w:ascii="Inter" w:cs="Inter" w:eastAsia="Inter" w:hAnsi="Inter"/>
                <w:b/>
                <w:bCs/>
                <w:i w:val="false"/>
                <w:iCs w:val="false"/>
                <w:caps w:val="false"/>
                <w:color w:val="333333"/>
                <w:sz w:val="20"/>
                <w:szCs w:val="20"/>
              </w:rPr>
              <w:t xml:space="preserve">Number of Tranches / CEs</w:t>
            </w:r>
          </w:p>
        </w:tc>
        <w:tc>
          <w:tcPr>
            <w:tcW w:type="dxa" w:w="57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r>
              <w:rPr>
                <w:rFonts w:ascii="Inter" w:cs="Inter" w:eastAsia="Inter" w:hAnsi="Inter"/>
                <w:b/>
                <w:bCs/>
                <w:i w:val="false"/>
                <w:iCs w:val="false"/>
                <w:caps w:val="false"/>
                <w:color w:val="333333"/>
                <w:sz w:val="20"/>
                <w:szCs w:val="20"/>
              </w:rPr>
              <w:t xml:space="preserve">Target Return</w:t>
            </w:r>
          </w:p>
        </w:tc>
        <w:tc>
          <w:tcPr>
            <w:tcW w:type="dxa" w:w="57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 IRR</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r>
              <w:rPr>
                <w:rFonts w:ascii="Inter" w:cs="Inter" w:eastAsia="Inter" w:hAnsi="Inter"/>
                <w:b/>
                <w:bCs/>
                <w:i w:val="false"/>
                <w:iCs w:val="false"/>
                <w:caps w:val="false"/>
                <w:color w:val="333333"/>
                <w:sz w:val="20"/>
                <w:szCs w:val="20"/>
              </w:rPr>
              <w:t xml:space="preserve">Investment Horizon</w:t>
            </w:r>
          </w:p>
        </w:tc>
        <w:tc>
          <w:tcPr>
            <w:tcW w:type="dxa" w:w="57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 years</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r>
              <w:rPr>
                <w:rFonts w:ascii="Inter" w:cs="Inter" w:eastAsia="Inter" w:hAnsi="Inter"/>
                <w:b/>
                <w:bCs/>
                <w:i w:val="false"/>
                <w:iCs w:val="false"/>
                <w:caps w:val="false"/>
                <w:color w:val="333333"/>
                <w:sz w:val="20"/>
                <w:szCs w:val="20"/>
              </w:rPr>
              <w:t xml:space="preserve">Advisor / Arranger</w:t>
            </w:r>
          </w:p>
        </w:tc>
        <w:tc>
          <w:tcPr>
            <w:tcW w:type="dxa" w:w="57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Ascension Capital Partners</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r>
              <w:rPr>
                <w:rFonts w:ascii="Inter" w:cs="Inter" w:eastAsia="Inter" w:hAnsi="Inter"/>
                <w:b/>
                <w:bCs/>
                <w:i w:val="false"/>
                <w:iCs w:val="false"/>
                <w:caps w:val="false"/>
                <w:color w:val="333333"/>
                <w:sz w:val="20"/>
                <w:szCs w:val="20"/>
              </w:rPr>
              <w:t xml:space="preserve">Security</w:t>
            </w:r>
          </w:p>
        </w:tc>
        <w:tc>
          <w:tcPr>
            <w:tcW w:type="dxa" w:w="57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r>
              <w:rPr>
                <w:rFonts w:ascii="Inter" w:cs="Inter" w:eastAsia="Inter" w:hAnsi="Inter"/>
                <w:b/>
                <w:bCs/>
                <w:i w:val="false"/>
                <w:iCs w:val="false"/>
                <w:caps w:val="false"/>
                <w:color w:val="333333"/>
                <w:sz w:val="20"/>
                <w:szCs w:val="20"/>
              </w:rPr>
              <w:t xml:space="preserve">Governing Law</w:t>
            </w:r>
          </w:p>
        </w:tc>
        <w:tc>
          <w:tcPr>
            <w:tcW w:type="dxa" w:w="57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r>
              <w:rPr>
                <w:rFonts w:ascii="Inter" w:cs="Inter" w:eastAsia="Inter" w:hAnsi="Inter"/>
                <w:b/>
                <w:bCs/>
                <w:i w:val="false"/>
                <w:iCs w:val="false"/>
                <w:caps w:val="false"/>
                <w:color w:val="333333"/>
                <w:sz w:val="20"/>
                <w:szCs w:val="20"/>
              </w:rPr>
              <w:t xml:space="preserve">Expected First Close</w:t>
            </w:r>
          </w:p>
        </w:tc>
        <w:tc>
          <w:tcPr>
            <w:tcW w:type="dxa" w:w="57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w:t>
            </w:r>
          </w:p>
        </w:tc>
      </w:tr>
    </w:tbl>
    <w:p>
      <w:pPr>
        <w:spacing w:after="120" w:before="120"/>
      </w:pPr>
      <w:r>
        <w:t xml:space="preserve"/>
      </w:r>
    </w:p>
    <w:p>
      <w:pPr>
        <w:pStyle w:val="Heading1"/>
        <w:pBdr>
          <w:bottom w:val="single" w:color="C5A55A" w:sz="6" w:space="3"/>
        </w:pBdr>
        <w:spacing w:after="160" w:before="400"/>
      </w:pPr>
      <w:r>
        <w:rPr>
          <w:rFonts w:ascii="EB Garamond" w:cs="EB Garamond" w:eastAsia="EB Garamond" w:hAnsi="EB Garamond"/>
          <w:b/>
          <w:bCs/>
          <w:color w:val="000000"/>
          <w:sz w:val="40"/>
          <w:szCs w:val="40"/>
        </w:rPr>
        <w:t xml:space="preserve">3.  Investment Case</w:t>
      </w:r>
    </w:p>
    <w:p>
      <w:pPr>
        <w:pStyle w:val="Heading2"/>
        <w:spacing w:after="100" w:before="280"/>
      </w:pPr>
      <w:r>
        <w:rPr>
          <w:rFonts w:ascii="EB Garamond" w:cs="EB Garamond" w:eastAsia="EB Garamond" w:hAnsi="EB Garamond"/>
          <w:b/>
          <w:bCs/>
          <w:color w:val="333333"/>
          <w:sz w:val="32"/>
          <w:szCs w:val="32"/>
        </w:rPr>
        <w:t xml:space="preserve">3.1  Market Context</w:t>
      </w:r>
    </w:p>
    <w:p>
      <w:pPr>
        <w:spacing w:after="80" w:before="80"/>
        <w:jc w:val="both"/>
      </w:pPr>
      <w:r>
        <w:rPr>
          <w:rFonts w:ascii="Inter" w:cs="Inter" w:eastAsia="Inter" w:hAnsi="Inter"/>
          <w:b w:val="false"/>
          <w:bCs w:val="false"/>
          <w:i w:val="false"/>
          <w:iCs w:val="false"/>
          <w:caps w:val="false"/>
          <w:color w:val="333333"/>
          <w:sz w:val="22"/>
          <w:szCs w:val="22"/>
        </w:rPr>
        <w:t xml:space="preserve">[Describe the macro backdrop and sector opportunity — e.g., energy transition financing gap, digital infrastructure demand, critical minerals supply constraints, or infrastructure deficit. Quantify the market opportunity where possible.]</w:t>
      </w:r>
    </w:p>
    <w:p>
      <w:pPr>
        <w:spacing w:after="120" w:before="120"/>
      </w:pPr>
      <w:r>
        <w:t xml:space="preserve"/>
      </w:r>
    </w:p>
    <w:p>
      <w:pPr>
        <w:pStyle w:val="Heading2"/>
        <w:spacing w:after="100" w:before="280"/>
      </w:pPr>
      <w:r>
        <w:rPr>
          <w:rFonts w:ascii="EB Garamond" w:cs="EB Garamond" w:eastAsia="EB Garamond" w:hAnsi="EB Garamond"/>
          <w:b/>
          <w:bCs/>
          <w:color w:val="333333"/>
          <w:sz w:val="32"/>
          <w:szCs w:val="32"/>
        </w:rPr>
        <w:t xml:space="preserve">3.2  Platform Differentiation</w:t>
      </w:r>
    </w:p>
    <w:p>
      <w:pPr>
        <w:spacing w:after="60" w:before="60"/>
        <w:ind w:left="600" w:hanging="260"/>
      </w:pPr>
      <w:r>
        <w:rPr>
          <w:rFonts w:ascii="Inter" w:cs="Inter" w:eastAsia="Inter" w:hAnsi="Inter"/>
          <w:b w:val="false"/>
          <w:bCs w:val="false"/>
          <w:i w:val="false"/>
          <w:iCs w:val="false"/>
          <w:caps w:val="false"/>
          <w:color w:val="333333"/>
          <w:sz w:val="22"/>
          <w:szCs w:val="22"/>
        </w:rPr>
        <w:t xml:space="preserve">▸  [Differentiator 1 — e.g., Proprietary deal flow with institutional-grade origination discipline]</w:t>
      </w:r>
    </w:p>
    <w:p>
      <w:pPr>
        <w:spacing w:after="60" w:before="60"/>
        <w:ind w:left="600" w:hanging="260"/>
      </w:pPr>
      <w:r>
        <w:rPr>
          <w:rFonts w:ascii="Inter" w:cs="Inter" w:eastAsia="Inter" w:hAnsi="Inter"/>
          <w:b w:val="false"/>
          <w:bCs w:val="false"/>
          <w:i w:val="false"/>
          <w:iCs w:val="false"/>
          <w:caps w:val="false"/>
          <w:color w:val="333333"/>
          <w:sz w:val="22"/>
          <w:szCs w:val="22"/>
        </w:rPr>
        <w:t xml:space="preserve">▸  [Differentiator 2 — e.g., End-to-end execution capability from origination through financial close]</w:t>
      </w:r>
    </w:p>
    <w:p>
      <w:pPr>
        <w:spacing w:after="60" w:before="60"/>
        <w:ind w:left="600" w:hanging="260"/>
      </w:pPr>
      <w:r>
        <w:rPr>
          <w:rFonts w:ascii="Inter" w:cs="Inter" w:eastAsia="Inter" w:hAnsi="Inter"/>
          <w:b w:val="false"/>
          <w:bCs w:val="false"/>
          <w:i w:val="false"/>
          <w:iCs w:val="false"/>
          <w:caps w:val="false"/>
          <w:color w:val="333333"/>
          <w:sz w:val="22"/>
          <w:szCs w:val="22"/>
        </w:rPr>
        <w:t xml:space="preserve">▸  [Differentiator 3 — e.g., Alignment of interest through equity co-investment alongside investors]</w:t>
      </w:r>
    </w:p>
    <w:p>
      <w:pPr>
        <w:spacing w:after="60" w:before="60"/>
        <w:ind w:left="600" w:hanging="260"/>
      </w:pPr>
      <w:r>
        <w:rPr>
          <w:rFonts w:ascii="Inter" w:cs="Inter" w:eastAsia="Inter" w:hAnsi="Inter"/>
          <w:b w:val="false"/>
          <w:bCs w:val="false"/>
          <w:i w:val="false"/>
          <w:iCs w:val="false"/>
          <w:caps w:val="false"/>
          <w:color w:val="333333"/>
          <w:sz w:val="22"/>
          <w:szCs w:val="22"/>
        </w:rPr>
        <w:t xml:space="preserve">▸  [Differentiator 4 — e.g., Programmatic approach enabling scale and repeatability]</w:t>
      </w:r>
    </w:p>
    <w:p>
      <w:pPr>
        <w:spacing w:after="60" w:before="60"/>
        <w:ind w:left="600" w:hanging="260"/>
      </w:pPr>
      <w:r>
        <w:rPr>
          <w:rFonts w:ascii="Inter" w:cs="Inter" w:eastAsia="Inter" w:hAnsi="Inter"/>
          <w:b w:val="false"/>
          <w:bCs w:val="false"/>
          <w:i w:val="false"/>
          <w:iCs w:val="false"/>
          <w:caps w:val="false"/>
          <w:color w:val="333333"/>
          <w:sz w:val="22"/>
          <w:szCs w:val="22"/>
        </w:rPr>
        <w:t xml:space="preserve">▸  [Differentiator 5 — e.g., Established lender and investor relationships across APAC, EMEA, and North America]</w:t>
      </w:r>
    </w:p>
    <w:p>
      <w:pPr>
        <w:spacing w:after="120" w:before="120"/>
      </w:pPr>
      <w:r>
        <w:t xml:space="preserve"/>
      </w:r>
    </w:p>
    <w:p>
      <w:pPr>
        <w:pStyle w:val="Heading2"/>
        <w:spacing w:after="100" w:before="280"/>
      </w:pPr>
      <w:r>
        <w:rPr>
          <w:rFonts w:ascii="EB Garamond" w:cs="EB Garamond" w:eastAsia="EB Garamond" w:hAnsi="EB Garamond"/>
          <w:b/>
          <w:bCs/>
          <w:color w:val="333333"/>
          <w:sz w:val="32"/>
          <w:szCs w:val="32"/>
        </w:rPr>
        <w:t xml:space="preserve">3.3  Return Profile</w:t>
      </w:r>
    </w:p>
    <w:tbl>
      <w:tblPr>
        <w:tblW w:type="dxa" w:w="8788"/>
        <w:tblBorders>
          <w:top w:val="single" w:color="auto" w:sz="4"/>
          <w:left w:val="single" w:color="auto" w:sz="4"/>
          <w:bottom w:val="single" w:color="auto" w:sz="4"/>
          <w:right w:val="single" w:color="auto" w:sz="4"/>
          <w:insideH w:val="single" w:color="auto" w:sz="4"/>
          <w:insideV w:val="single" w:color="auto" w:sz="4"/>
        </w:tblBorders>
      </w:tblPr>
      <w:tblGrid>
        <w:gridCol w:w="3000"/>
        <w:gridCol w:w="5788"/>
      </w:tblGrid>
      <w:tr>
        <w:tc>
          <w:tcPr>
            <w:tcW w:type="dxa" w:w="3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r>
              <w:rPr>
                <w:rFonts w:ascii="Inter" w:cs="Inter" w:eastAsia="Inter" w:hAnsi="Inter"/>
                <w:b/>
                <w:bCs/>
                <w:i w:val="false"/>
                <w:iCs w:val="false"/>
                <w:caps w:val="false"/>
                <w:color w:val="333333"/>
                <w:sz w:val="20"/>
                <w:szCs w:val="20"/>
              </w:rPr>
              <w:t xml:space="preserve">Target Net IRR (Debt)</w:t>
            </w:r>
          </w:p>
        </w:tc>
        <w:tc>
          <w:tcPr>
            <w:tcW w:type="dxa" w:w="57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 — [●]% p.a.</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r>
              <w:rPr>
                <w:rFonts w:ascii="Inter" w:cs="Inter" w:eastAsia="Inter" w:hAnsi="Inter"/>
                <w:b/>
                <w:bCs/>
                <w:i w:val="false"/>
                <w:iCs w:val="false"/>
                <w:caps w:val="false"/>
                <w:color w:val="333333"/>
                <w:sz w:val="20"/>
                <w:szCs w:val="20"/>
              </w:rPr>
              <w:t xml:space="preserve">Target Net IRR (Equity Co-investment)</w:t>
            </w:r>
          </w:p>
        </w:tc>
        <w:tc>
          <w:tcPr>
            <w:tcW w:type="dxa" w:w="57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 — [●]% p.a.</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r>
              <w:rPr>
                <w:rFonts w:ascii="Inter" w:cs="Inter" w:eastAsia="Inter" w:hAnsi="Inter"/>
                <w:b/>
                <w:bCs/>
                <w:i w:val="false"/>
                <w:iCs w:val="false"/>
                <w:caps w:val="false"/>
                <w:color w:val="333333"/>
                <w:sz w:val="20"/>
                <w:szCs w:val="20"/>
              </w:rPr>
              <w:t xml:space="preserve">Target MOIC</w:t>
            </w:r>
          </w:p>
        </w:tc>
        <w:tc>
          <w:tcPr>
            <w:tcW w:type="dxa" w:w="57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[●]x — [●]x</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r>
              <w:rPr>
                <w:rFonts w:ascii="Inter" w:cs="Inter" w:eastAsia="Inter" w:hAnsi="Inter"/>
                <w:b/>
                <w:bCs/>
                <w:i w:val="false"/>
                <w:iCs w:val="false"/>
                <w:caps w:val="false"/>
                <w:color w:val="333333"/>
                <w:sz w:val="20"/>
                <w:szCs w:val="20"/>
              </w:rPr>
              <w:t xml:space="preserve">Cash Yield (Annual)</w:t>
            </w:r>
          </w:p>
        </w:tc>
        <w:tc>
          <w:tcPr>
            <w:tcW w:type="dxa" w:w="57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r>
              <w:rPr>
                <w:rFonts w:ascii="Inter" w:cs="Inter" w:eastAsia="Inter" w:hAnsi="Inter"/>
                <w:b/>
                <w:bCs/>
                <w:i w:val="false"/>
                <w:iCs w:val="false"/>
                <w:caps w:val="false"/>
                <w:color w:val="333333"/>
                <w:sz w:val="20"/>
                <w:szCs w:val="20"/>
              </w:rPr>
              <w:t xml:space="preserve">Benchmark Comparison</w:t>
            </w:r>
          </w:p>
        </w:tc>
        <w:tc>
          <w:tcPr>
            <w:tcW w:type="dxa" w:w="57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 vs. [relevant benchmark]</w:t>
            </w:r>
          </w:p>
        </w:tc>
      </w:tr>
    </w:tbl>
    <w:p>
      <w:pPr>
        <w:spacing w:after="120" w:before="120"/>
      </w:pPr>
      <w:r>
        <w:t xml:space="preserve"/>
      </w:r>
    </w:p>
    <w:p>
      <w:pPr>
        <w:pStyle w:val="Heading1"/>
        <w:pBdr>
          <w:bottom w:val="single" w:color="C5A55A" w:sz="6" w:space="3"/>
        </w:pBdr>
        <w:spacing w:after="160" w:before="400"/>
      </w:pPr>
      <w:r>
        <w:rPr>
          <w:rFonts w:ascii="EB Garamond" w:cs="EB Garamond" w:eastAsia="EB Garamond" w:hAnsi="EB Garamond"/>
          <w:b/>
          <w:bCs/>
          <w:color w:val="000000"/>
          <w:sz w:val="40"/>
          <w:szCs w:val="40"/>
        </w:rPr>
        <w:t xml:space="preserve">4.  Pipeline Summary</w:t>
      </w:r>
    </w:p>
    <w:tbl>
      <w:tblPr>
        <w:tblW w:type="dxa" w:w="8788"/>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2988"/>
      </w:tblGrid>
      <w:tr>
        <w:tc>
          <w:tcPr>
            <w:tcW w:type="dxa" w:w="2600"/>
            <w:tcBorders>
              <w:top w:val="single" w:color="000000" w:sz="1"/>
              <w:left w:val="single" w:color="000000" w:sz="1"/>
              <w:bottom w:val="single" w:color="000000" w:sz="1"/>
              <w:right w:val="single" w:color="000000" w:sz="1"/>
            </w:tcBorders>
            <w:shd w:fill="000000" w:val="clear"/>
            <w:tcMar>
              <w:top w:type="dxa" w:w="80"/>
              <w:left w:type="dxa" w:w="140"/>
              <w:bottom w:type="dxa" w:w="80"/>
              <w:right w:type="dxa" w:w="140"/>
            </w:tcMar>
          </w:tcPr>
          <w:p>
            <w:r>
              <w:rPr>
                <w:rFonts w:ascii="Inter" w:cs="Inter" w:eastAsia="Inter" w:hAnsi="Inter"/>
                <w:b/>
                <w:bCs/>
                <w:i w:val="false"/>
                <w:iCs w:val="false"/>
                <w:caps w:val="false"/>
                <w:color w:val="C5A55A"/>
                <w:sz w:val="20"/>
                <w:szCs w:val="20"/>
              </w:rPr>
              <w:t xml:space="preserve">Asset / CE</w:t>
            </w:r>
          </w:p>
        </w:tc>
        <w:tc>
          <w:tcPr>
            <w:tcW w:type="dxa" w:w="3200"/>
            <w:tcBorders>
              <w:top w:val="single" w:color="000000" w:sz="1"/>
              <w:left w:val="single" w:color="000000" w:sz="1"/>
              <w:bottom w:val="single" w:color="000000" w:sz="1"/>
              <w:right w:val="single" w:color="000000" w:sz="1"/>
            </w:tcBorders>
            <w:shd w:fill="000000" w:val="clear"/>
            <w:tcMar>
              <w:top w:type="dxa" w:w="80"/>
              <w:left w:type="dxa" w:w="140"/>
              <w:bottom w:type="dxa" w:w="80"/>
              <w:right w:type="dxa" w:w="140"/>
            </w:tcMar>
          </w:tcPr>
          <w:p>
            <w:r>
              <w:rPr>
                <w:rFonts w:ascii="Inter" w:cs="Inter" w:eastAsia="Inter" w:hAnsi="Inter"/>
                <w:b/>
                <w:bCs/>
                <w:i w:val="false"/>
                <w:iCs w:val="false"/>
                <w:caps w:val="false"/>
                <w:color w:val="C5A55A"/>
                <w:sz w:val="20"/>
                <w:szCs w:val="20"/>
              </w:rPr>
              <w:t xml:space="preserve">Sector / Type</w:t>
            </w:r>
          </w:p>
        </w:tc>
        <w:tc>
          <w:tcPr>
            <w:tcW w:type="dxa" w:w="2988"/>
            <w:tcBorders>
              <w:top w:val="single" w:color="000000" w:sz="1"/>
              <w:left w:val="single" w:color="000000" w:sz="1"/>
              <w:bottom w:val="single" w:color="000000" w:sz="1"/>
              <w:right w:val="single" w:color="000000" w:sz="1"/>
            </w:tcBorders>
            <w:shd w:fill="000000" w:val="clear"/>
            <w:tcMar>
              <w:top w:type="dxa" w:w="80"/>
              <w:left w:type="dxa" w:w="140"/>
              <w:bottom w:type="dxa" w:w="80"/>
              <w:right w:type="dxa" w:w="140"/>
            </w:tcMar>
          </w:tcPr>
          <w:p>
            <w:r>
              <w:rPr>
                <w:rFonts w:ascii="Inter" w:cs="Inter" w:eastAsia="Inter" w:hAnsi="Inter"/>
                <w:b/>
                <w:bCs/>
                <w:i w:val="false"/>
                <w:iCs w:val="false"/>
                <w:caps w:val="false"/>
                <w:color w:val="C5A55A"/>
                <w:sz w:val="20"/>
                <w:szCs w:val="20"/>
              </w:rPr>
              <w:t xml:space="preserve">Size &amp; Stage</w:t>
            </w:r>
          </w:p>
        </w:tc>
      </w:tr>
      <w:tr>
        <w:tc>
          <w:tcPr>
            <w:tcW w:type="dxa" w:w="26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CE-01: [●]</w:t>
            </w:r>
          </w:p>
        </w:tc>
        <w:tc>
          <w:tcPr>
            <w:tcW w:type="dxa" w:w="3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w:t>
            </w:r>
          </w:p>
        </w:tc>
        <w:tc>
          <w:tcPr>
            <w:tcW w:type="dxa" w:w="29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 / [Stage]</w:t>
            </w:r>
          </w:p>
        </w:tc>
      </w:tr>
      <w:tr>
        <w:tc>
          <w:tcPr>
            <w:tcW w:type="dxa" w:w="26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CE-02: [●]</w:t>
            </w:r>
          </w:p>
        </w:tc>
        <w:tc>
          <w:tcPr>
            <w:tcW w:type="dxa" w:w="3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w:t>
            </w:r>
          </w:p>
        </w:tc>
        <w:tc>
          <w:tcPr>
            <w:tcW w:type="dxa" w:w="29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 / [Stage]</w:t>
            </w:r>
          </w:p>
        </w:tc>
      </w:tr>
      <w:tr>
        <w:tc>
          <w:tcPr>
            <w:tcW w:type="dxa" w:w="26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CE-03: [●]</w:t>
            </w:r>
          </w:p>
        </w:tc>
        <w:tc>
          <w:tcPr>
            <w:tcW w:type="dxa" w:w="3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w:t>
            </w:r>
          </w:p>
        </w:tc>
        <w:tc>
          <w:tcPr>
            <w:tcW w:type="dxa" w:w="29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 / [Stage]</w:t>
            </w:r>
          </w:p>
        </w:tc>
      </w:tr>
      <w:tr>
        <w:tc>
          <w:tcPr>
            <w:tcW w:type="dxa" w:w="26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Additional pipeline available under NDA</w:t>
            </w:r>
          </w:p>
        </w:tc>
        <w:tc>
          <w:tcPr>
            <w:tcW w:type="dxa" w:w="3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w:t>
            </w:r>
          </w:p>
        </w:tc>
        <w:tc>
          <w:tcPr>
            <w:tcW w:type="dxa" w:w="29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w:t>
            </w:r>
          </w:p>
        </w:tc>
      </w:tr>
    </w:tbl>
    <w:p>
      <w:pPr>
        <w:spacing w:after="120" w:before="120"/>
      </w:pPr>
      <w:r>
        <w:t xml:space="preserve"/>
      </w:r>
    </w:p>
    <w:p>
      <w:pPr>
        <w:pStyle w:val="Heading1"/>
        <w:pBdr>
          <w:bottom w:val="single" w:color="C5A55A" w:sz="6" w:space="3"/>
        </w:pBdr>
        <w:spacing w:after="160" w:before="400"/>
      </w:pPr>
      <w:r>
        <w:rPr>
          <w:rFonts w:ascii="EB Garamond" w:cs="EB Garamond" w:eastAsia="EB Garamond" w:hAnsi="EB Garamond"/>
          <w:b/>
          <w:bCs/>
          <w:color w:val="000000"/>
          <w:sz w:val="40"/>
          <w:szCs w:val="40"/>
        </w:rPr>
        <w:t xml:space="preserve">5.  Security Architecture</w:t>
      </w:r>
    </w:p>
    <w:p>
      <w:pPr>
        <w:spacing w:after="60" w:before="60"/>
        <w:ind w:left="600" w:hanging="260"/>
      </w:pPr>
      <w:r>
        <w:rPr>
          <w:rFonts w:ascii="Inter" w:cs="Inter" w:eastAsia="Inter" w:hAnsi="Inter"/>
          <w:b w:val="false"/>
          <w:bCs w:val="false"/>
          <w:i w:val="false"/>
          <w:iCs w:val="false"/>
          <w:caps w:val="false"/>
          <w:color w:val="333333"/>
          <w:sz w:val="22"/>
          <w:szCs w:val="22"/>
        </w:rPr>
        <w:t xml:space="preserve">▸  [Security Element 1 — e.g., First-ranking fixed and floating charge over all project assets and accounts]</w:t>
      </w:r>
    </w:p>
    <w:p>
      <w:pPr>
        <w:spacing w:after="60" w:before="60"/>
        <w:ind w:left="600" w:hanging="260"/>
      </w:pPr>
      <w:r>
        <w:rPr>
          <w:rFonts w:ascii="Inter" w:cs="Inter" w:eastAsia="Inter" w:hAnsi="Inter"/>
          <w:b w:val="false"/>
          <w:bCs w:val="false"/>
          <w:i w:val="false"/>
          <w:iCs w:val="false"/>
          <w:caps w:val="false"/>
          <w:color w:val="333333"/>
          <w:sz w:val="22"/>
          <w:szCs w:val="22"/>
        </w:rPr>
        <w:t xml:space="preserve">▸  [Security Element 2 — e.g., Assignment of project contracts (PPA, EPC, O&amp;M) to Lender]</w:t>
      </w:r>
    </w:p>
    <w:p>
      <w:pPr>
        <w:spacing w:after="60" w:before="60"/>
        <w:ind w:left="600" w:hanging="260"/>
      </w:pPr>
      <w:r>
        <w:rPr>
          <w:rFonts w:ascii="Inter" w:cs="Inter" w:eastAsia="Inter" w:hAnsi="Inter"/>
          <w:b w:val="false"/>
          <w:bCs w:val="false"/>
          <w:i w:val="false"/>
          <w:iCs w:val="false"/>
          <w:caps w:val="false"/>
          <w:color w:val="333333"/>
          <w:sz w:val="22"/>
          <w:szCs w:val="22"/>
        </w:rPr>
        <w:t xml:space="preserve">▸  [Security Element 3 — e.g., Share pledge over SPV equity]</w:t>
      </w:r>
    </w:p>
    <w:p>
      <w:pPr>
        <w:spacing w:after="60" w:before="60"/>
        <w:ind w:left="600" w:hanging="260"/>
      </w:pPr>
      <w:r>
        <w:rPr>
          <w:rFonts w:ascii="Inter" w:cs="Inter" w:eastAsia="Inter" w:hAnsi="Inter"/>
          <w:b w:val="false"/>
          <w:bCs w:val="false"/>
          <w:i w:val="false"/>
          <w:iCs w:val="false"/>
          <w:caps w:val="false"/>
          <w:color w:val="333333"/>
          <w:sz w:val="22"/>
          <w:szCs w:val="22"/>
        </w:rPr>
        <w:t xml:space="preserve">▸  [Security Element 4 — e.g., Direct Agreement with Offtaker / Counterparty]</w:t>
      </w:r>
    </w:p>
    <w:p>
      <w:pPr>
        <w:spacing w:after="60" w:before="60"/>
        <w:ind w:left="600" w:hanging="260"/>
      </w:pPr>
      <w:r>
        <w:rPr>
          <w:rFonts w:ascii="Inter" w:cs="Inter" w:eastAsia="Inter" w:hAnsi="Inter"/>
          <w:b w:val="false"/>
          <w:bCs w:val="false"/>
          <w:i w:val="false"/>
          <w:iCs w:val="false"/>
          <w:caps w:val="false"/>
          <w:color w:val="333333"/>
          <w:sz w:val="22"/>
          <w:szCs w:val="22"/>
        </w:rPr>
        <w:t xml:space="preserve">▸  [Security Element 5 — e.g., Lender step-in rights and cure periods]</w:t>
      </w:r>
    </w:p>
    <w:p>
      <w:pPr>
        <w:spacing w:after="120" w:before="120"/>
      </w:pPr>
      <w:r>
        <w:t xml:space="preserve"/>
      </w:r>
    </w:p>
    <w:p>
      <w:pPr>
        <w:pStyle w:val="Heading1"/>
        <w:pBdr>
          <w:bottom w:val="single" w:color="C5A55A" w:sz="6" w:space="3"/>
        </w:pBdr>
        <w:spacing w:after="160" w:before="400"/>
      </w:pPr>
      <w:r>
        <w:rPr>
          <w:rFonts w:ascii="EB Garamond" w:cs="EB Garamond" w:eastAsia="EB Garamond" w:hAnsi="EB Garamond"/>
          <w:b/>
          <w:bCs/>
          <w:color w:val="000000"/>
          <w:sz w:val="40"/>
          <w:szCs w:val="40"/>
        </w:rPr>
        <w:t xml:space="preserve">6.  Ascension Capital Partners — Advisor</w:t>
      </w:r>
    </w:p>
    <w:p>
      <w:pPr>
        <w:spacing w:after="80" w:before="80"/>
        <w:jc w:val="both"/>
      </w:pPr>
      <w:r>
        <w:rPr>
          <w:rFonts w:ascii="Inter" w:cs="Inter" w:eastAsia="Inter" w:hAnsi="Inter"/>
          <w:b w:val="false"/>
          <w:bCs w:val="false"/>
          <w:i w:val="false"/>
          <w:iCs w:val="false"/>
          <w:caps w:val="false"/>
          <w:color w:val="333333"/>
          <w:sz w:val="22"/>
          <w:szCs w:val="22"/>
        </w:rPr>
        <w:t xml:space="preserve">Ascension Capital Partners is a global alternatives advisory and capital structuring platform operating across energy transition, digital infrastructure, critical minerals, and private credit. The firm delivers institutional-grade origination, structuring, and execution to sponsors, corporates, and sovereign-linked entities across APAC, EMEA, and North America.</w:t>
      </w:r>
    </w:p>
    <w:p>
      <w:pPr>
        <w:spacing w:after="120" w:before="120"/>
      </w:pPr>
      <w:r>
        <w:t xml:space="preserve"/>
      </w:r>
    </w:p>
    <w:p>
      <w:pPr>
        <w:pStyle w:val="Heading1"/>
        <w:pBdr>
          <w:bottom w:val="single" w:color="C5A55A" w:sz="6" w:space="3"/>
        </w:pBdr>
        <w:spacing w:after="160" w:before="400"/>
      </w:pPr>
      <w:r>
        <w:rPr>
          <w:rFonts w:ascii="EB Garamond" w:cs="EB Garamond" w:eastAsia="EB Garamond" w:hAnsi="EB Garamond"/>
          <w:b/>
          <w:bCs/>
          <w:color w:val="000000"/>
          <w:sz w:val="40"/>
          <w:szCs w:val="40"/>
        </w:rPr>
        <w:t xml:space="preserve">7.  Investor Process &amp; Next Steps</w:t>
      </w:r>
    </w:p>
    <w:tbl>
      <w:tblPr>
        <w:tblW w:type="dxa" w:w="8788"/>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2988"/>
      </w:tblGrid>
      <w:tr>
        <w:tc>
          <w:tcPr>
            <w:tcW w:type="dxa" w:w="2600"/>
            <w:tcBorders>
              <w:top w:val="single" w:color="000000" w:sz="1"/>
              <w:left w:val="single" w:color="000000" w:sz="1"/>
              <w:bottom w:val="single" w:color="000000" w:sz="1"/>
              <w:right w:val="single" w:color="000000" w:sz="1"/>
            </w:tcBorders>
            <w:shd w:fill="000000" w:val="clear"/>
            <w:tcMar>
              <w:top w:type="dxa" w:w="80"/>
              <w:left w:type="dxa" w:w="140"/>
              <w:bottom w:type="dxa" w:w="80"/>
              <w:right w:type="dxa" w:w="140"/>
            </w:tcMar>
          </w:tcPr>
          <w:p>
            <w:r>
              <w:rPr>
                <w:rFonts w:ascii="Inter" w:cs="Inter" w:eastAsia="Inter" w:hAnsi="Inter"/>
                <w:b/>
                <w:bCs/>
                <w:i w:val="false"/>
                <w:iCs w:val="false"/>
                <w:caps w:val="false"/>
                <w:color w:val="C5A55A"/>
                <w:sz w:val="20"/>
                <w:szCs w:val="20"/>
              </w:rPr>
              <w:t xml:space="preserve">Step</w:t>
            </w:r>
          </w:p>
        </w:tc>
        <w:tc>
          <w:tcPr>
            <w:tcW w:type="dxa" w:w="3200"/>
            <w:tcBorders>
              <w:top w:val="single" w:color="000000" w:sz="1"/>
              <w:left w:val="single" w:color="000000" w:sz="1"/>
              <w:bottom w:val="single" w:color="000000" w:sz="1"/>
              <w:right w:val="single" w:color="000000" w:sz="1"/>
            </w:tcBorders>
            <w:shd w:fill="000000" w:val="clear"/>
            <w:tcMar>
              <w:top w:type="dxa" w:w="80"/>
              <w:left w:type="dxa" w:w="140"/>
              <w:bottom w:type="dxa" w:w="80"/>
              <w:right w:type="dxa" w:w="140"/>
            </w:tcMar>
          </w:tcPr>
          <w:p>
            <w:r>
              <w:rPr>
                <w:rFonts w:ascii="Inter" w:cs="Inter" w:eastAsia="Inter" w:hAnsi="Inter"/>
                <w:b/>
                <w:bCs/>
                <w:i w:val="false"/>
                <w:iCs w:val="false"/>
                <w:caps w:val="false"/>
                <w:color w:val="C5A55A"/>
                <w:sz w:val="20"/>
                <w:szCs w:val="20"/>
              </w:rPr>
              <w:t xml:space="preserve">Action</w:t>
            </w:r>
          </w:p>
        </w:tc>
        <w:tc>
          <w:tcPr>
            <w:tcW w:type="dxa" w:w="2988"/>
            <w:tcBorders>
              <w:top w:val="single" w:color="000000" w:sz="1"/>
              <w:left w:val="single" w:color="000000" w:sz="1"/>
              <w:bottom w:val="single" w:color="000000" w:sz="1"/>
              <w:right w:val="single" w:color="000000" w:sz="1"/>
            </w:tcBorders>
            <w:shd w:fill="000000" w:val="clear"/>
            <w:tcMar>
              <w:top w:type="dxa" w:w="80"/>
              <w:left w:type="dxa" w:w="140"/>
              <w:bottom w:type="dxa" w:w="80"/>
              <w:right w:type="dxa" w:w="140"/>
            </w:tcMar>
          </w:tcPr>
          <w:p>
            <w:r>
              <w:rPr>
                <w:rFonts w:ascii="Inter" w:cs="Inter" w:eastAsia="Inter" w:hAnsi="Inter"/>
                <w:b/>
                <w:bCs/>
                <w:i w:val="false"/>
                <w:iCs w:val="false"/>
                <w:caps w:val="false"/>
                <w:color w:val="C5A55A"/>
                <w:sz w:val="20"/>
                <w:szCs w:val="20"/>
              </w:rPr>
              <w:t xml:space="preserve">Timeline</w:t>
            </w:r>
          </w:p>
        </w:tc>
      </w:tr>
      <w:tr>
        <w:tc>
          <w:tcPr>
            <w:tcW w:type="dxa" w:w="26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1</w:t>
            </w:r>
          </w:p>
        </w:tc>
        <w:tc>
          <w:tcPr>
            <w:tcW w:type="dxa" w:w="3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NDA Execution</w:t>
            </w:r>
          </w:p>
        </w:tc>
        <w:tc>
          <w:tcPr>
            <w:tcW w:type="dxa" w:w="29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w:t>
            </w:r>
          </w:p>
        </w:tc>
      </w:tr>
      <w:tr>
        <w:tc>
          <w:tcPr>
            <w:tcW w:type="dxa" w:w="26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2</w:t>
            </w:r>
          </w:p>
        </w:tc>
        <w:tc>
          <w:tcPr>
            <w:tcW w:type="dxa" w:w="3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Investor Qualification Certificate</w:t>
            </w:r>
          </w:p>
        </w:tc>
        <w:tc>
          <w:tcPr>
            <w:tcW w:type="dxa" w:w="29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w:t>
            </w:r>
          </w:p>
        </w:tc>
      </w:tr>
      <w:tr>
        <w:tc>
          <w:tcPr>
            <w:tcW w:type="dxa" w:w="26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3</w:t>
            </w:r>
          </w:p>
        </w:tc>
        <w:tc>
          <w:tcPr>
            <w:tcW w:type="dxa" w:w="3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Information Package Access</w:t>
            </w:r>
          </w:p>
        </w:tc>
        <w:tc>
          <w:tcPr>
            <w:tcW w:type="dxa" w:w="29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w:t>
            </w:r>
          </w:p>
        </w:tc>
      </w:tr>
      <w:tr>
        <w:tc>
          <w:tcPr>
            <w:tcW w:type="dxa" w:w="26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4</w:t>
            </w:r>
          </w:p>
        </w:tc>
        <w:tc>
          <w:tcPr>
            <w:tcW w:type="dxa" w:w="3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Management Presentation</w:t>
            </w:r>
          </w:p>
        </w:tc>
        <w:tc>
          <w:tcPr>
            <w:tcW w:type="dxa" w:w="29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w:t>
            </w:r>
          </w:p>
        </w:tc>
      </w:tr>
      <w:tr>
        <w:tc>
          <w:tcPr>
            <w:tcW w:type="dxa" w:w="26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5</w:t>
            </w:r>
          </w:p>
        </w:tc>
        <w:tc>
          <w:tcPr>
            <w:tcW w:type="dxa" w:w="3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Indicative Terms &amp; IC Approval</w:t>
            </w:r>
          </w:p>
        </w:tc>
        <w:tc>
          <w:tcPr>
            <w:tcW w:type="dxa" w:w="29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w:t>
            </w:r>
          </w:p>
        </w:tc>
      </w:tr>
      <w:tr>
        <w:tc>
          <w:tcPr>
            <w:tcW w:type="dxa" w:w="26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6</w:t>
            </w:r>
          </w:p>
        </w:tc>
        <w:tc>
          <w:tcPr>
            <w:tcW w:type="dxa" w:w="3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Due Diligence (VDR Access)</w:t>
            </w:r>
          </w:p>
        </w:tc>
        <w:tc>
          <w:tcPr>
            <w:tcW w:type="dxa" w:w="29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w:t>
            </w:r>
          </w:p>
        </w:tc>
      </w:tr>
      <w:tr>
        <w:tc>
          <w:tcPr>
            <w:tcW w:type="dxa" w:w="26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7</w:t>
            </w:r>
          </w:p>
        </w:tc>
        <w:tc>
          <w:tcPr>
            <w:tcW w:type="dxa" w:w="3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Documentation &amp; Final Terms</w:t>
            </w:r>
          </w:p>
        </w:tc>
        <w:tc>
          <w:tcPr>
            <w:tcW w:type="dxa" w:w="29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w:t>
            </w:r>
          </w:p>
        </w:tc>
      </w:tr>
      <w:tr>
        <w:tc>
          <w:tcPr>
            <w:tcW w:type="dxa" w:w="26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8</w:t>
            </w:r>
          </w:p>
        </w:tc>
        <w:tc>
          <w:tcPr>
            <w:tcW w:type="dxa" w:w="3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Financial Close</w:t>
            </w:r>
          </w:p>
        </w:tc>
        <w:tc>
          <w:tcPr>
            <w:tcW w:type="dxa" w:w="29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w:t>
            </w:r>
          </w:p>
        </w:tc>
      </w:tr>
    </w:tbl>
    <w:p>
      <w:pPr>
        <w:spacing w:after="120" w:before="120"/>
      </w:pPr>
      <w:r>
        <w:t xml:space="preserve"/>
      </w:r>
    </w:p>
    <w:p>
      <w:pPr>
        <w:pBdr>
          <w:bottom w:val="single" w:color="C5A55A" w:sz="4" w:space="2"/>
        </w:pBdr>
        <w:spacing w:after="200" w:before="200"/>
      </w:pPr>
      <w:r>
        <w:t xml:space="preserve"/>
      </w:r>
    </w:p>
    <w:p>
      <w:pPr>
        <w:spacing w:after="80" w:before="80"/>
        <w:jc w:val="both"/>
      </w:pPr>
      <w:r>
        <w:rPr>
          <w:rFonts w:ascii="Inter" w:cs="Inter" w:eastAsia="Inter" w:hAnsi="Inter"/>
          <w:b/>
          <w:bCs/>
          <w:i w:val="false"/>
          <w:iCs w:val="false"/>
          <w:caps w:val="false"/>
          <w:color w:val="333333"/>
          <w:sz w:val="22"/>
          <w:szCs w:val="22"/>
        </w:rPr>
        <w:t xml:space="preserve">Joshua Ting  |  Executive Managing Partner  |  Ascension Capital Partners</w:t>
      </w:r>
    </w:p>
    <w:p>
      <w:pPr>
        <w:spacing w:after="80" w:before="80"/>
        <w:jc w:val="both"/>
      </w:pPr>
      <w:r>
        <w:rPr>
          <w:rFonts w:ascii="Inter" w:cs="Inter" w:eastAsia="Inter" w:hAnsi="Inter"/>
          <w:b w:val="false"/>
          <w:bCs w:val="false"/>
          <w:i w:val="false"/>
          <w:iCs w:val="false"/>
          <w:caps w:val="false"/>
          <w:color w:val="333333"/>
          <w:sz w:val="22"/>
          <w:szCs w:val="22"/>
        </w:rPr>
        <w:t xml:space="preserve">M: +61 451 338 533  |  E: joshuating53@outlook.com</w:t>
      </w:r>
    </w:p>
    <w:p>
      <w:pPr>
        <w:spacing w:after="120" w:before="120"/>
      </w:pPr>
      <w:r>
        <w:t xml:space="preserve"/>
      </w:r>
    </w:p>
    <w:p>
      <w:pPr>
        <w:spacing w:after="120" w:before="120"/>
        <w:jc w:val="both"/>
      </w:pPr>
      <w:r>
        <w:rPr>
          <w:rFonts w:ascii="Inter" w:cs="Inter" w:eastAsia="Inter" w:hAnsi="Inter"/>
          <w:b w:val="false"/>
          <w:bCs w:val="false"/>
          <w:i/>
          <w:iCs/>
          <w:caps w:val="false"/>
          <w:color w:val="9B9B9B"/>
          <w:sz w:val="18"/>
          <w:szCs w:val="18"/>
        </w:rPr>
        <w:t xml:space="preserve">This document is provided for discussion purposes only and does not constitute a commitment, offer, or obligation to lend, invest, or enter into any transaction. Any proposed arrangement remains subject to satisfactory due diligence, receipt of all required internal approvals, execution of definitive documentation, and satisfaction of applicable conditions precedent. All terms described herein are indicative only and subject to change without notice.</w:t>
      </w:r>
    </w:p>
    <w:sectPr>
      <w:headerReference w:type="default" r:id="rId7"/>
      <w:footerReference w:type="default" r:id="rId8"/>
      <w:pgSz w:w="11906" w:h="16838" w:orient="portrait"/>
      <w:pgMar w:top="1417" w:right="1417" w:bottom="1417" w:left="1701" w:header="708" w:footer="708" w:gutter="0"/>
      <w:pgBorders>
        <w:left w:val="single" w:color="C5A55A" w:sz="36" w:space="20"/>
      </w:pgBorders>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80"/>
      <w:jc w:val="center"/>
    </w:pPr>
    <w:r>
      <w:rPr>
        <w:rFonts w:ascii="Inter" w:cs="Inter" w:eastAsia="Inter" w:hAnsi="Inter"/>
        <w:color w:val="9B9B9B"/>
        <w:sz w:val="16"/>
        <w:szCs w:val="16"/>
      </w:rPr>
      <w:t xml:space="preserve">Ascension Capital Partners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A55A" w:sz="6" w:space="4"/>
      </w:pBdr>
      <w:tabs>
        <w:tab w:val="right" w:pos="8788"/>
      </w:tabs>
      <w:spacing w:after="60"/>
    </w:pPr>
    <w:r>
      <w:rPr>
        <w:rFonts w:ascii="Inter" w:cs="Inter" w:eastAsia="Inter" w:hAnsi="Inter"/>
        <w:color w:val="333333"/>
        <w:sz w:val="18"/>
        <w:szCs w:val="18"/>
      </w:rPr>
      <w:t xml:space="preserve">Ascension Capital Partners</w:t>
    </w:r>
    <w:r>
      <w:t xml:space="preserve">	</w:t>
    </w:r>
    <w:r>
      <w:rPr>
        <w:rFonts w:ascii="Inter" w:cs="Inter" w:eastAsia="Inter" w:hAnsi="Inter"/>
        <w:color w:val="333333"/>
        <w:sz w:val="18"/>
        <w:szCs w:val="18"/>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EB Garamond" w:cs="EB Garamond" w:eastAsia="EB Garamond" w:hAnsi="EB Garamond"/>
      <w:b/>
      <w:bCs/>
      <w:color w:val="000000"/>
      <w:sz w:val="40"/>
      <w:szCs w:val="40"/>
    </w:rPr>
  </w:style>
  <w:style w:type="paragraph" w:styleId="Heading2">
    <w:name w:val="Heading 2"/>
    <w:basedOn w:val="Normal"/>
    <w:next w:val="Normal"/>
    <w:qFormat/>
    <w:pPr>
      <w:spacing w:after="100" w:before="280"/>
      <w:outlineLvl w:val="1"/>
    </w:pPr>
    <w:rPr>
      <w:rFonts w:ascii="EB Garamond" w:cs="EB Garamond" w:eastAsia="EB Garamond" w:hAnsi="EB Garamond"/>
      <w:b/>
      <w:bCs/>
      <w:color w:val="333333"/>
      <w:sz w:val="32"/>
      <w:szCs w:val="32"/>
    </w:rPr>
  </w:style>
  <w:style w:type="paragraph" w:styleId="Heading3">
    <w:name w:val="Heading 3"/>
    <w:basedOn w:val="Normal"/>
    <w:next w:val="Normal"/>
    <w:qFormat/>
    <w:pPr>
      <w:spacing w:after="80" w:before="200"/>
      <w:outlineLvl w:val="2"/>
    </w:pPr>
    <w:rPr>
      <w:rFonts w:ascii="Inter" w:cs="Inter" w:eastAsia="Inter" w:hAnsi="Inter"/>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2026-04-14T17:42:09.015Z</dcterms:created>
  <dcterms:modified xsi:type="dcterms:W3CDTF">2026-04-14T17:42:09.015Z</dcterms:modified>
</cp:coreProperties>
</file>

<file path=docProps/custom.xml><?xml version="1.0" encoding="utf-8"?>
<Properties xmlns="http://schemas.openxmlformats.org/officeDocument/2006/custom-properties" xmlns:vt="http://schemas.openxmlformats.org/officeDocument/2006/docPropsVTypes"/>
</file>