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Inter" w:cs="Inter" w:eastAsia="Inter" w:hAnsi="Inter"/>
          <w:b/>
          <w:bCs/>
          <w:i w:val="false"/>
          <w:iCs w:val="false"/>
          <w:caps/>
          <w:color w:val="000000"/>
          <w:sz w:val="24"/>
          <w:szCs w:val="24"/>
        </w:rPr>
        <w:t xml:space="preserve">ASCENSION CAPITAL PARTNERS</w:t>
      </w:r>
    </w:p>
    <w:p>
      <w:pPr>
        <w:spacing w:after="200" w:before="0"/>
        <w:jc w:val="center"/>
      </w:pPr>
      <w:r>
        <w:rPr>
          <w:rFonts w:ascii="Inter" w:cs="Inter" w:eastAsia="Inter" w:hAnsi="Inter"/>
          <w:b w:val="false"/>
          <w:bCs w:val="false"/>
          <w:i w:val="false"/>
          <w:iCs w:val="false"/>
          <w:caps w:val="false"/>
          <w:color w:val="9B9B9B"/>
          <w:sz w:val="18"/>
          <w:szCs w:val="18"/>
        </w:rPr>
        <w:t xml:space="preserve">APEX Consulting Partners Pty Ltd (ACN 674 649 417)</w:t>
      </w:r>
    </w:p>
    <w:p>
      <w:pPr>
        <w:pBdr>
          <w:bottom w:val="single" w:color="C5A55A" w:sz="4" w:space="2"/>
        </w:pBdr>
        <w:spacing w:after="200" w:before="200"/>
      </w:pPr>
      <w:r>
        <w:t xml:space="preserve"/>
      </w:r>
    </w:p>
    <w:p>
      <w:pPr>
        <w:spacing w:after="240" w:before="480"/>
        <w:jc w:val="center"/>
      </w:pPr>
      <w:r>
        <w:rPr>
          <w:rFonts w:ascii="EB Garamond" w:cs="EB Garamond" w:eastAsia="EB Garamond" w:hAnsi="EB Garamond"/>
          <w:b/>
          <w:bCs/>
          <w:color w:val="000000"/>
          <w:sz w:val="56"/>
          <w:szCs w:val="56"/>
        </w:rPr>
        <w:t xml:space="preserve">Deal Card &amp; Assumptions Table</w:t>
      </w:r>
    </w:p>
    <w:p>
      <w:pPr>
        <w:spacing w:after="120" w:before="120"/>
      </w:pPr>
      <w:r>
        <w:t xml:space="preserve"/>
      </w:r>
    </w:p>
    <w:p>
      <w:pPr>
        <w:shd w:fill="000000" w:val="clear"/>
        <w:spacing w:after="120" w:before="120"/>
        <w:jc w:val="center"/>
      </w:pPr>
      <w:r>
        <w:rPr>
          <w:rFonts w:ascii="Inter" w:cs="Inter" w:eastAsia="Inter" w:hAnsi="Inter"/>
          <w:b/>
          <w:bCs/>
          <w:i w:val="false"/>
          <w:iCs w:val="false"/>
          <w:caps w:val="false"/>
          <w:color w:val="C5A55A"/>
          <w:sz w:val="18"/>
          <w:szCs w:val="18"/>
        </w:rPr>
        <w:t xml:space="preserve">CONFIDENTIAL — FOR PROFESSIONAL / WHOLESALE INVESTORS ONLY</w:t>
      </w:r>
    </w:p>
    <w:p>
      <w:pPr>
        <w:spacing w:after="120" w:before="120"/>
      </w:pPr>
      <w:r>
        <w:t xml:space="preserve"/>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Mandate ID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Lead Advisor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Ascension Capital Partners / APEX Consulting Partners Pty Ltd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Classification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Confidential — For Professional / Wholesale Investors Only</w:t>
            </w:r>
          </w:p>
        </w:tc>
      </w:tr>
    </w:tbl>
    <w:p>
      <w:pPr>
        <w:spacing w:after="120" w:before="120"/>
      </w:pPr>
      <w:r>
        <w:t xml:space="preserve"/>
      </w:r>
    </w:p>
    <w:p>
      <w:pPr>
        <w:spacing w:after="120" w:before="120"/>
        <w:jc w:val="both"/>
      </w:pPr>
      <w:r>
        <w:rPr>
          <w:rFonts w:ascii="Inter" w:cs="Inter" w:eastAsia="Inter" w:hAnsi="Inter"/>
          <w:b w:val="false"/>
          <w:bCs w:val="false"/>
          <w:i/>
          <w:iCs/>
          <w:caps w:val="false"/>
          <w:color w:val="9B9B9B"/>
          <w:sz w:val="18"/>
          <w:szCs w:val="18"/>
        </w:rPr>
        <w:t xml:space="preserve">This document is provided for discussion purposes only and does not constitute a commitment, offer, or obligation to lend, invest, or enter into any transaction. Any proposed arrangement remains subject to satisfactory due diligence, receipt of all required internal approvals, execution of definitive documentation, and satisfaction of applicable conditions precedent. All terms described herein are indicative only and subject to change without notice.</w:t>
      </w:r>
    </w:p>
    <w:p>
      <w:r>
        <w:r>
          <w:br w:type="page"/>
        </w:r>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1.  Deal Card Summary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Deal Name / Code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Mandate ID</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User Role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[Arranger / Advisor / Placement Agent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Instrument Type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Secured / Unitranche / Mezz / Preferred Equity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Deal Type Module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[Infrastructure / Energy / Credit / M&amp;A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Transaction Size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Jurisdiction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Sector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Geography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Stage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[Origination / Mandate / DD / Docs / Closing / Closed]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Close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Governing Law</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2.  Sponsor / Counterparty Profile</w:t>
      </w:r>
    </w:p>
    <w:p>
      <w:pPr>
        <w:pStyle w:val="Heading2"/>
        <w:spacing w:after="100" w:before="280"/>
      </w:pPr>
      <w:r>
        <w:rPr>
          <w:rFonts w:ascii="EB Garamond" w:cs="EB Garamond" w:eastAsia="EB Garamond" w:hAnsi="EB Garamond"/>
          <w:b/>
          <w:bCs/>
          <w:color w:val="333333"/>
          <w:sz w:val="32"/>
          <w:szCs w:val="32"/>
        </w:rPr>
        <w:t xml:space="preserve">2.1  Company Details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Company Name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Registered Address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Company / Registration Number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Jurisdiction of Incorporation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Industry / Sector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Date of Incorporation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Website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Parent / Ultimate Beneficial Owner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2.2  Key Personnel</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Name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Title</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Background Summary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[CEO / MD / CFO]</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2.3  Credit Assessment</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Credit Rating (if applicable)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Revenue (Last FY)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EBITDA (Last FY)</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Net Debt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Existing Facilities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AML / KYC Status</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3.  Transaction Structure</w:t>
      </w:r>
    </w:p>
    <w:p>
      <w:pPr>
        <w:pStyle w:val="Heading2"/>
        <w:spacing w:after="100" w:before="280"/>
      </w:pPr>
      <w:r>
        <w:rPr>
          <w:rFonts w:ascii="EB Garamond" w:cs="EB Garamond" w:eastAsia="EB Garamond" w:hAnsi="EB Garamond"/>
          <w:b/>
          <w:bCs/>
          <w:color w:val="333333"/>
          <w:sz w:val="32"/>
          <w:szCs w:val="32"/>
        </w:rPr>
        <w:t xml:space="preserve">3.1  Capital Stack</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Tranche</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Amount</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Key Terms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Senior Secured Facility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Mezzanine / Junior Facility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Preferred Equity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Common Equity / Co-Investment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Total</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3.2  Security Package</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1]</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2]</w:t>
      </w:r>
    </w:p>
    <w:p>
      <w:pPr>
        <w:spacing w:after="60" w:before="60"/>
        <w:ind w:left="600" w:hanging="260"/>
      </w:pPr>
      <w:r>
        <w:rPr>
          <w:rFonts w:ascii="Inter" w:cs="Inter" w:eastAsia="Inter" w:hAnsi="Inter"/>
          <w:b w:val="false"/>
          <w:bCs w:val="false"/>
          <w:i w:val="false"/>
          <w:iCs w:val="false"/>
          <w:caps w:val="false"/>
          <w:color w:val="333333"/>
          <w:sz w:val="22"/>
          <w:szCs w:val="22"/>
        </w:rPr>
        <w:t xml:space="preserve">▸  [Security Element 3]</w:t>
      </w:r>
    </w:p>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4.  Financial Model Assumptions</w:t>
      </w:r>
    </w:p>
    <w:p>
      <w:pPr>
        <w:pStyle w:val="Heading2"/>
        <w:spacing w:after="100" w:before="280"/>
      </w:pPr>
      <w:r>
        <w:rPr>
          <w:rFonts w:ascii="EB Garamond" w:cs="EB Garamond" w:eastAsia="EB Garamond" w:hAnsi="EB Garamond"/>
          <w:b/>
          <w:bCs/>
          <w:color w:val="333333"/>
          <w:sz w:val="32"/>
          <w:szCs w:val="32"/>
        </w:rPr>
        <w:t xml:space="preserve">4.1  Revenue Assumptions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Revenue Model Type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[PPA / Merchant / Hybrid / [●]]</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Base Revenue (Year 1)</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Revenue Growth Rate (p.a.)</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Contracted Revenue %</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Offtaker / Counterparty Credit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PPA / Contract Duration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years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Indexation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4.2  Cost Assumptions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Operating Costs (Year 1)</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Opex Growth Rate (p.a.)</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EBITDA Margin Target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Capex (Construction)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Capex (Maintenance / Annual)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Working Capital</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2"/>
        <w:spacing w:after="100" w:before="280"/>
      </w:pPr>
      <w:r>
        <w:rPr>
          <w:rFonts w:ascii="EB Garamond" w:cs="EB Garamond" w:eastAsia="EB Garamond" w:hAnsi="EB Garamond"/>
          <w:b/>
          <w:bCs/>
          <w:color w:val="333333"/>
          <w:sz w:val="32"/>
          <w:szCs w:val="32"/>
        </w:rPr>
        <w:t xml:space="preserve">4.3  Debt Service &amp; Returns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3000"/>
        <w:gridCol w:w="5788"/>
      </w:tblGrid>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Interest Rate (Base Rate + Margin)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 + [●]bps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Amortisation Profile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Minimum DSCR Covenant</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Average DSCR (Base Case)</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LTV / LTC</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Equity IRR</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Target MOIC</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[●]x</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40"/>
              <w:bottom w:type="dxa" w:w="80"/>
              <w:right w:type="dxa" w:w="140"/>
            </w:tcMar>
          </w:tcPr>
          <w:p>
            <w:r>
              <w:rPr>
                <w:rFonts w:ascii="Inter" w:cs="Inter" w:eastAsia="Inter" w:hAnsi="Inter"/>
                <w:b/>
                <w:bCs/>
                <w:i w:val="false"/>
                <w:iCs w:val="false"/>
                <w:caps w:val="false"/>
                <w:color w:val="333333"/>
                <w:sz w:val="20"/>
                <w:szCs w:val="20"/>
              </w:rPr>
              <w:t xml:space="preserve">Exit Strategy / Horizon</w:t>
            </w:r>
          </w:p>
        </w:tc>
        <w:tc>
          <w:tcPr>
            <w:tcW w:type="dxa" w:w="57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Style w:val="Heading1"/>
        <w:pBdr>
          <w:bottom w:val="single" w:color="C5A55A" w:sz="6" w:space="3"/>
        </w:pBdr>
        <w:spacing w:after="160" w:before="400"/>
      </w:pPr>
      <w:r>
        <w:rPr>
          <w:rFonts w:ascii="EB Garamond" w:cs="EB Garamond" w:eastAsia="EB Garamond" w:hAnsi="EB Garamond"/>
          <w:b/>
          <w:bCs/>
          <w:color w:val="000000"/>
          <w:sz w:val="40"/>
          <w:szCs w:val="40"/>
        </w:rPr>
        <w:t xml:space="preserve">5.  Conditions Precedent Register</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88"/>
      </w:tblGrid>
      <w:tr>
        <w:tc>
          <w:tcPr>
            <w:tcW w:type="dxa" w:w="26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CP Item</w:t>
            </w:r>
          </w:p>
        </w:tc>
        <w:tc>
          <w:tcPr>
            <w:tcW w:type="dxa" w:w="3200"/>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Responsible Party</w:t>
            </w:r>
          </w:p>
        </w:tc>
        <w:tc>
          <w:tcPr>
            <w:tcW w:type="dxa" w:w="2988"/>
            <w:tcBorders>
              <w:top w:val="single" w:color="000000" w:sz="1"/>
              <w:left w:val="single" w:color="000000" w:sz="1"/>
              <w:bottom w:val="single" w:color="000000" w:sz="1"/>
              <w:right w:val="single" w:color="000000" w:sz="1"/>
            </w:tcBorders>
            <w:shd w:fill="000000" w:val="clear"/>
            <w:tcMar>
              <w:top w:type="dxa" w:w="80"/>
              <w:left w:type="dxa" w:w="140"/>
              <w:bottom w:type="dxa" w:w="80"/>
              <w:right w:type="dxa" w:w="140"/>
            </w:tcMar>
          </w:tcPr>
          <w:p>
            <w:r>
              <w:rPr>
                <w:rFonts w:ascii="Inter" w:cs="Inter" w:eastAsia="Inter" w:hAnsi="Inter"/>
                <w:b/>
                <w:bCs/>
                <w:i w:val="false"/>
                <w:iCs w:val="false"/>
                <w:caps w:val="false"/>
                <w:color w:val="C5A55A"/>
                <w:sz w:val="20"/>
                <w:szCs w:val="20"/>
              </w:rPr>
              <w:t xml:space="preserve">Status / Target Date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Legal Due Diligence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Technical Due Diligence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Environmental / ESG Review</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KYC / AML Completion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Security Perfection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Facility Agreement Execution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Financial Close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c>
          <w:tcPr>
            <w:tcW w:type="dxa" w:w="2988"/>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Inter" w:cs="Inter" w:eastAsia="Inter" w:hAnsi="Inter"/>
                <w:b w:val="false"/>
                <w:bCs w:val="false"/>
                <w:i w:val="false"/>
                <w:iCs w:val="false"/>
                <w:caps w:val="false"/>
                <w:color w:val="333333"/>
                <w:sz w:val="20"/>
                <w:szCs w:val="20"/>
              </w:rPr>
              <w:t xml:space="preserve">[●]</w:t>
            </w:r>
          </w:p>
        </w:tc>
      </w:tr>
    </w:tbl>
    <w:p>
      <w:pPr>
        <w:spacing w:after="120" w:before="120"/>
      </w:pPr>
      <w:r>
        <w:t xml:space="preserve"/>
      </w:r>
    </w:p>
    <w:p>
      <w:pPr>
        <w:pBdr>
          <w:bottom w:val="single" w:color="C5A55A" w:sz="4" w:space="2"/>
        </w:pBdr>
        <w:spacing w:after="200" w:before="200"/>
      </w:pPr>
      <w:r>
        <w:t xml:space="preserve"/>
      </w:r>
    </w:p>
    <w:p>
      <w:pPr>
        <w:spacing w:after="80" w:before="80"/>
        <w:jc w:val="both"/>
      </w:pPr>
      <w:r>
        <w:rPr>
          <w:rFonts w:ascii="Inter" w:cs="Inter" w:eastAsia="Inter" w:hAnsi="Inter"/>
          <w:b w:val="false"/>
          <w:bCs w:val="false"/>
          <w:i/>
          <w:iCs/>
          <w:caps w:val="false"/>
          <w:color w:val="333333"/>
          <w:sz w:val="22"/>
          <w:szCs w:val="22"/>
        </w:rPr>
        <w:t xml:space="preserve">Ascension Capital Partners t/a APEX Consulting Partners Pty Ltd  |  ACN 674 649 417</w:t>
      </w:r>
    </w:p>
    <w:sectPr>
      <w:headerReference w:type="default" r:id="rId7"/>
      <w:footerReference w:type="default" r:id="rId8"/>
      <w:pgSz w:w="11906" w:h="16838" w:orient="portrait"/>
      <w:pgMar w:top="1417" w:right="1417" w:bottom="1417" w:left="1701" w:header="708" w:footer="708" w:gutter="0"/>
      <w:pgBorders>
        <w:left w:val="single" w:color="C5A55A" w:sz="36" w:space="2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Inter" w:cs="Inter" w:eastAsia="Inter" w:hAnsi="Inter"/>
        <w:color w:val="9B9B9B"/>
        <w:sz w:val="16"/>
        <w:szCs w:val="16"/>
      </w:rPr>
      <w:t xml:space="preserve">Ascension Capital Partners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55A" w:sz="6" w:space="4"/>
      </w:pBdr>
      <w:tabs>
        <w:tab w:val="right" w:pos="8788"/>
      </w:tabs>
      <w:spacing w:after="60"/>
    </w:pPr>
    <w:r>
      <w:rPr>
        <w:rFonts w:ascii="Inter" w:cs="Inter" w:eastAsia="Inter" w:hAnsi="Inter"/>
        <w:color w:val="333333"/>
        <w:sz w:val="18"/>
        <w:szCs w:val="18"/>
      </w:rPr>
      <w:t xml:space="preserve">Ascension Capital Partners</w:t>
    </w:r>
    <w:r>
      <w:t xml:space="preserve">	</w:t>
    </w:r>
    <w:r>
      <w:rPr>
        <w:rFonts w:ascii="Inter" w:cs="Inter" w:eastAsia="Inter" w:hAnsi="Inter"/>
        <w:color w:val="333333"/>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EB Garamond" w:cs="EB Garamond" w:eastAsia="EB Garamond" w:hAnsi="EB Garamond"/>
      <w:b/>
      <w:bCs/>
      <w:color w:val="000000"/>
      <w:sz w:val="40"/>
      <w:szCs w:val="40"/>
    </w:rPr>
  </w:style>
  <w:style w:type="paragraph" w:styleId="Heading2">
    <w:name w:val="Heading 2"/>
    <w:basedOn w:val="Normal"/>
    <w:next w:val="Normal"/>
    <w:qFormat/>
    <w:pPr>
      <w:spacing w:after="100" w:before="280"/>
      <w:outlineLvl w:val="1"/>
    </w:pPr>
    <w:rPr>
      <w:rFonts w:ascii="EB Garamond" w:cs="EB Garamond" w:eastAsia="EB Garamond" w:hAnsi="EB Garamond"/>
      <w:b/>
      <w:bCs/>
      <w:color w:val="333333"/>
      <w:sz w:val="32"/>
      <w:szCs w:val="32"/>
    </w:rPr>
  </w:style>
  <w:style w:type="paragraph" w:styleId="Heading3">
    <w:name w:val="Heading 3"/>
    <w:basedOn w:val="Normal"/>
    <w:next w:val="Normal"/>
    <w:qFormat/>
    <w:pPr>
      <w:spacing w:after="80" w:before="200"/>
      <w:outlineLvl w:val="2"/>
    </w:pPr>
    <w:rPr>
      <w:rFonts w:ascii="Inter" w:cs="Inter" w:eastAsia="Inter" w:hAnsi="Inte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2026-04-14T17:42:09.081Z</dcterms:created>
  <dcterms:modified xsi:type="dcterms:W3CDTF">2026-04-14T17:42:09.081Z</dcterms:modified>
</cp:coreProperties>
</file>

<file path=docProps/custom.xml><?xml version="1.0" encoding="utf-8"?>
<Properties xmlns="http://schemas.openxmlformats.org/officeDocument/2006/custom-properties" xmlns:vt="http://schemas.openxmlformats.org/officeDocument/2006/docPropsVTypes"/>
</file>