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Inter" w:cs="Inter" w:eastAsia="Inter" w:hAnsi="Inter"/>
          <w:b/>
          <w:bCs/>
          <w:i w:val="false"/>
          <w:iCs w:val="false"/>
          <w:caps/>
          <w:color w:val="000000"/>
          <w:sz w:val="24"/>
          <w:szCs w:val="24"/>
        </w:rPr>
        <w:t xml:space="preserve">ASCENSION CAPITAL PARTNERS</w:t>
      </w:r>
    </w:p>
    <w:p>
      <w:pPr>
        <w:spacing w:after="200" w:before="0"/>
        <w:jc w:val="center"/>
      </w:pPr>
      <w:r>
        <w:rPr>
          <w:rFonts w:ascii="Inter" w:cs="Inter" w:eastAsia="Inter" w:hAnsi="Inter"/>
          <w:b w:val="false"/>
          <w:bCs w:val="false"/>
          <w:i w:val="false"/>
          <w:iCs w:val="false"/>
          <w:caps w:val="false"/>
          <w:color w:val="9B9B9B"/>
          <w:sz w:val="18"/>
          <w:szCs w:val="18"/>
        </w:rPr>
        <w:t xml:space="preserve">APEX Consulting Partners Pty Ltd (ACN 674 649 417)</w:t>
      </w:r>
    </w:p>
    <w:p>
      <w:pPr>
        <w:pBdr>
          <w:bottom w:val="single" w:color="C5A55A" w:sz="4" w:space="2"/>
        </w:pBdr>
        <w:spacing w:after="200" w:before="200"/>
      </w:pPr>
      <w:r>
        <w:t xml:space="preserve"/>
      </w:r>
    </w:p>
    <w:p>
      <w:pPr>
        <w:spacing w:after="240" w:before="480"/>
        <w:jc w:val="center"/>
      </w:pPr>
      <w:r>
        <w:rPr>
          <w:rFonts w:ascii="EB Garamond" w:cs="EB Garamond" w:eastAsia="EB Garamond" w:hAnsi="EB Garamond"/>
          <w:b/>
          <w:bCs/>
          <w:color w:val="000000"/>
          <w:sz w:val="56"/>
          <w:szCs w:val="56"/>
        </w:rPr>
        <w:t xml:space="preserve">Corporate Brochure</w:t>
      </w:r>
    </w:p>
    <w:p>
      <w:pPr>
        <w:spacing w:after="120" w:before="120"/>
        <w:jc w:val="center"/>
      </w:pPr>
      <w:r>
        <w:rPr>
          <w:rFonts w:ascii="Inter" w:cs="Inter" w:eastAsia="Inter" w:hAnsi="Inter"/>
          <w:b w:val="false"/>
          <w:bCs w:val="false"/>
          <w:i w:val="false"/>
          <w:iCs w:val="false"/>
          <w:caps w:val="false"/>
          <w:color w:val="333333"/>
          <w:sz w:val="26"/>
          <w:szCs w:val="26"/>
        </w:rPr>
        <w:t xml:space="preserve">Institutional Capabilities &amp; Credentials</w:t>
      </w:r>
    </w:p>
    <w:p>
      <w:pPr>
        <w:spacing w:after="120" w:before="12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Date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Classification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Confidential — For Professional / Wholesale Investors Only</w:t>
            </w:r>
          </w:p>
        </w:tc>
      </w:tr>
    </w:tbl>
    <w:p>
      <w:r>
        <w:r>
          <w:br w:type="page"/>
        </w:r>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1.  About Ascension Capital Partners</w:t>
      </w:r>
    </w:p>
    <w:p>
      <w:pPr>
        <w:spacing w:after="80" w:before="80"/>
        <w:jc w:val="both"/>
      </w:pPr>
      <w:r>
        <w:rPr>
          <w:rFonts w:ascii="Inter" w:cs="Inter" w:eastAsia="Inter" w:hAnsi="Inter"/>
          <w:b w:val="false"/>
          <w:bCs w:val="false"/>
          <w:i w:val="false"/>
          <w:iCs w:val="false"/>
          <w:caps w:val="false"/>
          <w:color w:val="333333"/>
          <w:sz w:val="22"/>
          <w:szCs w:val="22"/>
        </w:rPr>
        <w:t xml:space="preserve">Ascension Capital Partners is a global alternatives advisory and capital structuring platform specialising in private credit, project finance, real assets, and energy transition across developed and emerging markets. Operating through APEX Consulting Partners Pty Ltd (ACN 674 649 417), the firm delivers institutional-grade structuring, syndication, and execution services to sponsors, corporates, and sovereign-linked entities.</w:t>
      </w:r>
    </w:p>
    <w:p>
      <w:pPr>
        <w:spacing w:after="80" w:before="80"/>
        <w:jc w:val="both"/>
      </w:pPr>
      <w:r>
        <w:rPr>
          <w:rFonts w:ascii="Inter" w:cs="Inter" w:eastAsia="Inter" w:hAnsi="Inter"/>
          <w:b w:val="false"/>
          <w:bCs w:val="false"/>
          <w:i w:val="false"/>
          <w:iCs w:val="false"/>
          <w:caps w:val="false"/>
          <w:color w:val="333333"/>
          <w:sz w:val="22"/>
          <w:szCs w:val="22"/>
        </w:rPr>
        <w:t xml:space="preserve">The platform combines deep sector expertise with a flexible, multi-jurisdictional structuring capability, enabling clients to access bespoke financing solutions across the full capital stack — from senior secured facilities through to mezzanine, preferred equity, and hybrid instruments.</w:t>
      </w:r>
    </w:p>
    <w:p>
      <w:pPr>
        <w:spacing w:after="120" w:before="120"/>
      </w:pPr>
      <w:r>
        <w:t xml:space="preserve"/>
      </w:r>
    </w:p>
    <w:p>
      <w:pPr>
        <w:pStyle w:val="Heading2"/>
        <w:spacing w:after="100" w:before="280"/>
      </w:pPr>
      <w:r>
        <w:rPr>
          <w:rFonts w:ascii="EB Garamond" w:cs="EB Garamond" w:eastAsia="EB Garamond" w:hAnsi="EB Garamond"/>
          <w:b/>
          <w:bCs/>
          <w:color w:val="333333"/>
          <w:sz w:val="32"/>
          <w:szCs w:val="32"/>
        </w:rPr>
        <w:t xml:space="preserve">1.1  Key Facts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Founded</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Headquarters</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AUM / Pipeline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USD [●]M</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Managing Partner</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Joshua Ting — Global Head of Alternatives &amp; Private Markets</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Coverage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APAC, EMEA, North America</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Mandates Completed</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Jurisdictions Covered</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Regulatory Status</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2.  Our Platform</w:t>
      </w:r>
    </w:p>
    <w:p>
      <w:pPr>
        <w:spacing w:after="80" w:before="80"/>
        <w:jc w:val="both"/>
      </w:pPr>
      <w:r>
        <w:rPr>
          <w:rFonts w:ascii="Inter" w:cs="Inter" w:eastAsia="Inter" w:hAnsi="Inter"/>
          <w:b w:val="false"/>
          <w:bCs w:val="false"/>
          <w:i w:val="false"/>
          <w:iCs w:val="false"/>
          <w:caps w:val="false"/>
          <w:color w:val="333333"/>
          <w:sz w:val="22"/>
          <w:szCs w:val="22"/>
        </w:rPr>
        <w:t xml:space="preserve">Ascension Capital Partners operates an integrated platform across four core service lines, each underpinned by proprietary origination, institutional-grade execution, and a commitment to alignment of interest.</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988"/>
      </w:tblGrid>
      <w:tr>
        <w:tc>
          <w:tcPr>
            <w:tcW w:type="dxa" w:w="26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Service Line</w:t>
            </w:r>
          </w:p>
        </w:tc>
        <w:tc>
          <w:tcPr>
            <w:tcW w:type="dxa" w:w="32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Description</w:t>
            </w:r>
          </w:p>
        </w:tc>
        <w:tc>
          <w:tcPr>
            <w:tcW w:type="dxa" w:w="2988"/>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Key Deliverables</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Advisory</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Strategic advisory on M&amp;A, capital raising, restructuring, and project finance across all alternative asset classes. End-to-end mandate management from origination through financial close.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Information Memoranda, IC submissions, process letters, mandate letters</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Capital Structuring</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Bespoke capital stack design including senior debt, mezzanine, preferred equity, convertible instruments, and hybrid structures. Multi-tranche and programmatic facility architecture.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Term sheets, waterfall models, structuring memos</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Syndication</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Lead arranging and syndication of credit facilities across institutional investors, credit funds, insurance companies, pension funds, and sovereign wealth funds.</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Investor teasers, allocation models, investor process letters</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Execution</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Documentation management, lender coordination, conditions precedent tracking, financial close mechanics, and post-close monitoring framework.</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CP registers, closing checklists, comfort letters, monitoring reports</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3.  Sector Expertise</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988"/>
      </w:tblGrid>
      <w:tr>
        <w:tc>
          <w:tcPr>
            <w:tcW w:type="dxa" w:w="26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Sector</w:t>
            </w:r>
          </w:p>
        </w:tc>
        <w:tc>
          <w:tcPr>
            <w:tcW w:type="dxa" w:w="32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Focus Areas</w:t>
            </w:r>
          </w:p>
        </w:tc>
        <w:tc>
          <w:tcPr>
            <w:tcW w:type="dxa" w:w="2988"/>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Representative Mandates</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Energy Transition &amp; Renewables</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Solar PV, onshore/offshore wind, battery storage, green hydrogen, EV infrastructure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Digital Infrastructure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Data centres, GPU/AI compute, fibre networks, tower assets, satellite infrastructure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Critical Minerals &amp; Resources</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Lithium, cobalt, rare earths, copper, nickel — development and streaming/royalty structures</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Upstream O&amp;G</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Exploration, appraisal, development assets; reserve-based lending; production monetisation</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Infrastructure (Broader)</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Transportation, logistics, water, social infrastructure; PPP/PFI structures</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Structured Private Credit</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Specialty lending, asset-backed finance, trade finance, supply chain finance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4.  Capabilities &amp; Credentials</w:t>
      </w:r>
    </w:p>
    <w:p>
      <w:pPr>
        <w:pStyle w:val="Heading2"/>
        <w:spacing w:after="100" w:before="280"/>
      </w:pPr>
      <w:r>
        <w:rPr>
          <w:rFonts w:ascii="EB Garamond" w:cs="EB Garamond" w:eastAsia="EB Garamond" w:hAnsi="EB Garamond"/>
          <w:b/>
          <w:bCs/>
          <w:color w:val="333333"/>
          <w:sz w:val="32"/>
          <w:szCs w:val="32"/>
        </w:rPr>
        <w:t xml:space="preserve">4.1  Capital Markets</w:t>
      </w:r>
    </w:p>
    <w:p>
      <w:pPr>
        <w:spacing w:after="60" w:before="60"/>
        <w:ind w:left="600" w:hanging="260"/>
      </w:pPr>
      <w:r>
        <w:rPr>
          <w:rFonts w:ascii="Inter" w:cs="Inter" w:eastAsia="Inter" w:hAnsi="Inter"/>
          <w:b w:val="false"/>
          <w:bCs w:val="false"/>
          <w:i w:val="false"/>
          <w:iCs w:val="false"/>
          <w:caps w:val="false"/>
          <w:color w:val="333333"/>
          <w:sz w:val="22"/>
          <w:szCs w:val="22"/>
        </w:rPr>
        <w:t xml:space="preserve">▸  Origination and execution of senior secured debt, unitranche, mezzanine, and preferred equity facilities.</w:t>
      </w:r>
    </w:p>
    <w:p>
      <w:pPr>
        <w:spacing w:after="60" w:before="60"/>
        <w:ind w:left="600" w:hanging="260"/>
      </w:pPr>
      <w:r>
        <w:rPr>
          <w:rFonts w:ascii="Inter" w:cs="Inter" w:eastAsia="Inter" w:hAnsi="Inter"/>
          <w:b w:val="false"/>
          <w:bCs w:val="false"/>
          <w:i w:val="false"/>
          <w:iCs w:val="false"/>
          <w:caps w:val="false"/>
          <w:color w:val="333333"/>
          <w:sz w:val="22"/>
          <w:szCs w:val="22"/>
        </w:rPr>
        <w:t xml:space="preserve">▸  Bilateral and syndicated lending structures across institutional lender panels.</w:t>
      </w:r>
    </w:p>
    <w:p>
      <w:pPr>
        <w:spacing w:after="60" w:before="60"/>
        <w:ind w:left="600" w:hanging="260"/>
      </w:pPr>
      <w:r>
        <w:rPr>
          <w:rFonts w:ascii="Inter" w:cs="Inter" w:eastAsia="Inter" w:hAnsi="Inter"/>
          <w:b w:val="false"/>
          <w:bCs w:val="false"/>
          <w:i w:val="false"/>
          <w:iCs w:val="false"/>
          <w:caps w:val="false"/>
          <w:color w:val="333333"/>
          <w:sz w:val="22"/>
          <w:szCs w:val="22"/>
        </w:rPr>
        <w:t xml:space="preserve">▸  Programmatic facilities enabling repeat deployment across diversified asset pipelines.</w:t>
      </w:r>
    </w:p>
    <w:p>
      <w:pPr>
        <w:spacing w:after="60" w:before="60"/>
        <w:ind w:left="600" w:hanging="260"/>
      </w:pPr>
      <w:r>
        <w:rPr>
          <w:rFonts w:ascii="Inter" w:cs="Inter" w:eastAsia="Inter" w:hAnsi="Inter"/>
          <w:b w:val="false"/>
          <w:bCs w:val="false"/>
          <w:i w:val="false"/>
          <w:iCs w:val="false"/>
          <w:caps w:val="false"/>
          <w:color w:val="333333"/>
          <w:sz w:val="22"/>
          <w:szCs w:val="22"/>
        </w:rPr>
        <w:t xml:space="preserve">▸  Cross-border financing across APAC, EMEA, and North America with local legal and regulatory expertise.</w:t>
      </w:r>
    </w:p>
    <w:p>
      <w:pPr>
        <w:spacing w:after="120" w:before="120"/>
      </w:pPr>
      <w:r>
        <w:t xml:space="preserve"/>
      </w:r>
    </w:p>
    <w:p>
      <w:pPr>
        <w:pStyle w:val="Heading2"/>
        <w:spacing w:after="100" w:before="280"/>
      </w:pPr>
      <w:r>
        <w:rPr>
          <w:rFonts w:ascii="EB Garamond" w:cs="EB Garamond" w:eastAsia="EB Garamond" w:hAnsi="EB Garamond"/>
          <w:b/>
          <w:bCs/>
          <w:color w:val="333333"/>
          <w:sz w:val="32"/>
          <w:szCs w:val="32"/>
        </w:rPr>
        <w:t xml:space="preserve">4.2  M&amp;A &amp; Corporate Advisory</w:t>
      </w:r>
    </w:p>
    <w:p>
      <w:pPr>
        <w:spacing w:after="60" w:before="60"/>
        <w:ind w:left="600" w:hanging="260"/>
      </w:pPr>
      <w:r>
        <w:rPr>
          <w:rFonts w:ascii="Inter" w:cs="Inter" w:eastAsia="Inter" w:hAnsi="Inter"/>
          <w:b w:val="false"/>
          <w:bCs w:val="false"/>
          <w:i w:val="false"/>
          <w:iCs w:val="false"/>
          <w:caps w:val="false"/>
          <w:color w:val="333333"/>
          <w:sz w:val="22"/>
          <w:szCs w:val="22"/>
        </w:rPr>
        <w:t xml:space="preserve">▸  Buy-side and sell-side M&amp;A advisory across energy, infrastructure, and technology sectors.</w:t>
      </w:r>
    </w:p>
    <w:p>
      <w:pPr>
        <w:spacing w:after="60" w:before="60"/>
        <w:ind w:left="600" w:hanging="260"/>
      </w:pPr>
      <w:r>
        <w:rPr>
          <w:rFonts w:ascii="Inter" w:cs="Inter" w:eastAsia="Inter" w:hAnsi="Inter"/>
          <w:b w:val="false"/>
          <w:bCs w:val="false"/>
          <w:i w:val="false"/>
          <w:iCs w:val="false"/>
          <w:caps w:val="false"/>
          <w:color w:val="333333"/>
          <w:sz w:val="22"/>
          <w:szCs w:val="22"/>
        </w:rPr>
        <w:t xml:space="preserve">▸  Corporate restructuring, recapitalisation, and balance sheet optimisation.</w:t>
      </w:r>
    </w:p>
    <w:p>
      <w:pPr>
        <w:spacing w:after="60" w:before="60"/>
        <w:ind w:left="600" w:hanging="260"/>
      </w:pPr>
      <w:r>
        <w:rPr>
          <w:rFonts w:ascii="Inter" w:cs="Inter" w:eastAsia="Inter" w:hAnsi="Inter"/>
          <w:b w:val="false"/>
          <w:bCs w:val="false"/>
          <w:i w:val="false"/>
          <w:iCs w:val="false"/>
          <w:caps w:val="false"/>
          <w:color w:val="333333"/>
          <w:sz w:val="22"/>
          <w:szCs w:val="22"/>
        </w:rPr>
        <w:t xml:space="preserve">▸  Strategic review and equity raise advisory for growth-stage and mature businesses.</w:t>
      </w:r>
    </w:p>
    <w:p>
      <w:pPr>
        <w:spacing w:after="120" w:before="120"/>
      </w:pPr>
      <w:r>
        <w:t xml:space="preserve"/>
      </w:r>
    </w:p>
    <w:p>
      <w:pPr>
        <w:pStyle w:val="Heading2"/>
        <w:spacing w:after="100" w:before="280"/>
      </w:pPr>
      <w:r>
        <w:rPr>
          <w:rFonts w:ascii="EB Garamond" w:cs="EB Garamond" w:eastAsia="EB Garamond" w:hAnsi="EB Garamond"/>
          <w:b/>
          <w:bCs/>
          <w:color w:val="333333"/>
          <w:sz w:val="32"/>
          <w:szCs w:val="32"/>
        </w:rPr>
        <w:t xml:space="preserve">4.3  Technology &amp; Innovation</w:t>
      </w:r>
    </w:p>
    <w:p>
      <w:pPr>
        <w:spacing w:after="60" w:before="60"/>
        <w:ind w:left="600" w:hanging="260"/>
      </w:pPr>
      <w:r>
        <w:rPr>
          <w:rFonts w:ascii="Inter" w:cs="Inter" w:eastAsia="Inter" w:hAnsi="Inter"/>
          <w:b w:val="false"/>
          <w:bCs w:val="false"/>
          <w:i w:val="false"/>
          <w:iCs w:val="false"/>
          <w:caps w:val="false"/>
          <w:color w:val="333333"/>
          <w:sz w:val="22"/>
          <w:szCs w:val="22"/>
        </w:rPr>
        <w:t xml:space="preserve">▸  Proprietary deal management and investor reporting infrastructure.</w:t>
      </w:r>
    </w:p>
    <w:p>
      <w:pPr>
        <w:spacing w:after="60" w:before="60"/>
        <w:ind w:left="600" w:hanging="260"/>
      </w:pPr>
      <w:r>
        <w:rPr>
          <w:rFonts w:ascii="Inter" w:cs="Inter" w:eastAsia="Inter" w:hAnsi="Inter"/>
          <w:b w:val="false"/>
          <w:bCs w:val="false"/>
          <w:i w:val="false"/>
          <w:iCs w:val="false"/>
          <w:caps w:val="false"/>
          <w:color w:val="333333"/>
          <w:sz w:val="22"/>
          <w:szCs w:val="22"/>
        </w:rPr>
        <w:t xml:space="preserve">▸  AI-augmented due diligence, document automation, and compliance screening.</w:t>
      </w:r>
    </w:p>
    <w:p>
      <w:pPr>
        <w:spacing w:after="60" w:before="60"/>
        <w:ind w:left="600" w:hanging="260"/>
      </w:pPr>
      <w:r>
        <w:rPr>
          <w:rFonts w:ascii="Inter" w:cs="Inter" w:eastAsia="Inter" w:hAnsi="Inter"/>
          <w:b w:val="false"/>
          <w:bCs w:val="false"/>
          <w:i w:val="false"/>
          <w:iCs w:val="false"/>
          <w:caps w:val="false"/>
          <w:color w:val="333333"/>
          <w:sz w:val="22"/>
          <w:szCs w:val="22"/>
        </w:rPr>
        <w:t xml:space="preserve">▸  Secure digital deal rooms and institutional client portals.</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5.  Investment Process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988"/>
      </w:tblGrid>
      <w:tr>
        <w:tc>
          <w:tcPr>
            <w:tcW w:type="dxa" w:w="26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Stage</w:t>
            </w:r>
          </w:p>
        </w:tc>
        <w:tc>
          <w:tcPr>
            <w:tcW w:type="dxa" w:w="32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Activity</w:t>
            </w:r>
          </w:p>
        </w:tc>
        <w:tc>
          <w:tcPr>
            <w:tcW w:type="dxa" w:w="2988"/>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Output</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Origination</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Mandate intake, KYC/AML screening, deal assessment</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Deal Card, IC Note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Structuring</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Capital stack design, financial modelling, term negotiation</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Term Sheet, Model</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Marketing</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Investor/lender outreach, teaser distribution, roadshow coordination</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IM, Teaser, NDA</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Execution</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Documentation, CP management, lender coordination</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Facility Agreement, Closing Pack</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Monitoring</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Covenant tracking, reporting, relationship management</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Quarterly Reports</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6.  Contact</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Principal Contact</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Joshua Ting — Executive Managing Partner, Global Head of Alternatives &amp; Private Markets</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Mobile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+61 451 338 533</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Email</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joshuating53@outlook.com</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Entity</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Ascension Capital Partners t/a APEX Consulting Partners Pty Ltd  |  ACN 674 649 417</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Registered Address</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Bdr>
          <w:bottom w:val="single" w:color="C5A55A" w:sz="4" w:space="2"/>
        </w:pBdr>
        <w:spacing w:after="200" w:before="200"/>
      </w:pPr>
      <w:r>
        <w:t xml:space="preserve"/>
      </w:r>
    </w:p>
    <w:p>
      <w:pPr>
        <w:spacing w:after="120" w:before="120"/>
        <w:jc w:val="both"/>
      </w:pPr>
      <w:r>
        <w:rPr>
          <w:rFonts w:ascii="Inter" w:cs="Inter" w:eastAsia="Inter" w:hAnsi="Inter"/>
          <w:b w:val="false"/>
          <w:bCs w:val="false"/>
          <w:i/>
          <w:iCs/>
          <w:caps w:val="false"/>
          <w:color w:val="9B9B9B"/>
          <w:sz w:val="18"/>
          <w:szCs w:val="18"/>
        </w:rPr>
        <w:t xml:space="preserve">This document is provided for discussion purposes only and does not constitute a commitment, offer, or obligation to lend, invest, or enter into any transaction. Any proposed arrangement remains subject to satisfactory due diligence, receipt of all required internal approvals, execution of definitive documentation, and satisfaction of applicable conditions precedent. All terms described herein are indicative only and subject to change without notice.</w:t>
      </w:r>
    </w:p>
    <w:sectPr>
      <w:headerReference w:type="default" r:id="rId7"/>
      <w:footerReference w:type="default" r:id="rId8"/>
      <w:pgSz w:w="11906" w:h="16838" w:orient="portrait"/>
      <w:pgMar w:top="1417" w:right="1417" w:bottom="1417" w:left="1701" w:header="708" w:footer="708" w:gutter="0"/>
      <w:pgBorders>
        <w:left w:val="single" w:color="C5A55A" w:sz="36" w:space="20"/>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Inter" w:cs="Inter" w:eastAsia="Inter" w:hAnsi="Inter"/>
        <w:color w:val="9B9B9B"/>
        <w:sz w:val="16"/>
        <w:szCs w:val="16"/>
      </w:rPr>
      <w:t xml:space="preserve">Ascension Capital Partners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55A" w:sz="6" w:space="4"/>
      </w:pBdr>
      <w:tabs>
        <w:tab w:val="right" w:pos="8788"/>
      </w:tabs>
      <w:spacing w:after="60"/>
    </w:pPr>
    <w:r>
      <w:rPr>
        <w:rFonts w:ascii="Inter" w:cs="Inter" w:eastAsia="Inter" w:hAnsi="Inter"/>
        <w:color w:val="333333"/>
        <w:sz w:val="18"/>
        <w:szCs w:val="18"/>
      </w:rPr>
      <w:t xml:space="preserve">Ascension Capital Partners</w:t>
    </w:r>
    <w:r>
      <w:t xml:space="preserve">	</w:t>
    </w:r>
    <w:r>
      <w:rPr>
        <w:rFonts w:ascii="Inter" w:cs="Inter" w:eastAsia="Inter" w:hAnsi="Inter"/>
        <w:color w:val="333333"/>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EB Garamond" w:cs="EB Garamond" w:eastAsia="EB Garamond" w:hAnsi="EB Garamond"/>
      <w:b/>
      <w:bCs/>
      <w:color w:val="000000"/>
      <w:sz w:val="40"/>
      <w:szCs w:val="40"/>
    </w:rPr>
  </w:style>
  <w:style w:type="paragraph" w:styleId="Heading2">
    <w:name w:val="Heading 2"/>
    <w:basedOn w:val="Normal"/>
    <w:next w:val="Normal"/>
    <w:qFormat/>
    <w:pPr>
      <w:spacing w:after="100" w:before="280"/>
      <w:outlineLvl w:val="1"/>
    </w:pPr>
    <w:rPr>
      <w:rFonts w:ascii="EB Garamond" w:cs="EB Garamond" w:eastAsia="EB Garamond" w:hAnsi="EB Garamond"/>
      <w:b/>
      <w:bCs/>
      <w:color w:val="333333"/>
      <w:sz w:val="32"/>
      <w:szCs w:val="32"/>
    </w:rPr>
  </w:style>
  <w:style w:type="paragraph" w:styleId="Heading3">
    <w:name w:val="Heading 3"/>
    <w:basedOn w:val="Normal"/>
    <w:next w:val="Normal"/>
    <w:qFormat/>
    <w:pPr>
      <w:spacing w:after="80" w:before="200"/>
      <w:outlineLvl w:val="2"/>
    </w:pPr>
    <w:rPr>
      <w:rFonts w:ascii="Inter" w:cs="Inter" w:eastAsia="Inter" w:hAnsi="Inter"/>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2026-04-14T17:42:09.133Z</dcterms:created>
  <dcterms:modified xsi:type="dcterms:W3CDTF">2026-04-14T17:42:09.133Z</dcterms:modified>
</cp:coreProperties>
</file>

<file path=docProps/custom.xml><?xml version="1.0" encoding="utf-8"?>
<Properties xmlns="http://schemas.openxmlformats.org/officeDocument/2006/custom-properties" xmlns:vt="http://schemas.openxmlformats.org/officeDocument/2006/docPropsVTypes"/>
</file>