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Front Office Operating System</w:t>
      </w:r>
    </w:p>
    <w:p>
      <w:pPr>
        <w:spacing w:after="120" w:before="120"/>
        <w:jc w:val="center"/>
      </w:pPr>
      <w:r>
        <w:rPr>
          <w:rFonts w:ascii="Inter" w:cs="Inter" w:eastAsia="Inter" w:hAnsi="Inter"/>
          <w:b w:val="false"/>
          <w:bCs w:val="false"/>
          <w:i w:val="false"/>
          <w:iCs w:val="false"/>
          <w:caps w:val="false"/>
          <w:color w:val="333333"/>
          <w:sz w:val="26"/>
          <w:szCs w:val="26"/>
        </w:rPr>
        <w:t xml:space="preserve">&amp; Onboarding Framework</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Version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Classification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Confidential — Internal Use Only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Owner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 Ting — Executive Managing Partner</w:t>
            </w:r>
          </w:p>
        </w:tc>
      </w:tr>
    </w:tbl>
    <w:p>
      <w:pPr>
        <w:spacing w:after="120" w:before="120"/>
      </w:pPr>
      <w:r>
        <w:t xml:space="preserve"/>
      </w:r>
    </w:p>
    <w:p>
      <w:r>
        <w:r>
          <w:br w:type="page"/>
        </w:r>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Executive Summary</w:t>
      </w:r>
    </w:p>
    <w:p>
      <w:pPr>
        <w:pStyle w:val="Heading2"/>
        <w:spacing w:after="100" w:before="280"/>
      </w:pPr>
      <w:r>
        <w:rPr>
          <w:rFonts w:ascii="EB Garamond" w:cs="EB Garamond" w:eastAsia="EB Garamond" w:hAnsi="EB Garamond"/>
          <w:b/>
          <w:bCs/>
          <w:color w:val="333333"/>
          <w:sz w:val="32"/>
          <w:szCs w:val="32"/>
        </w:rPr>
        <w:t xml:space="preserve">1.1  Purpose</w:t>
      </w:r>
    </w:p>
    <w:p>
      <w:pPr>
        <w:spacing w:after="80" w:before="80"/>
        <w:jc w:val="both"/>
      </w:pPr>
      <w:r>
        <w:rPr>
          <w:rFonts w:ascii="Inter" w:cs="Inter" w:eastAsia="Inter" w:hAnsi="Inter"/>
          <w:b w:val="false"/>
          <w:bCs w:val="false"/>
          <w:i w:val="false"/>
          <w:iCs w:val="false"/>
          <w:caps w:val="false"/>
          <w:color w:val="333333"/>
          <w:sz w:val="22"/>
          <w:szCs w:val="22"/>
        </w:rPr>
        <w:t xml:space="preserve">This document defines the Front Office Operating System ("FOOS") for Ascension Capital Partners. It establishes the standard processes, workflows, technology stack, and quality protocols governing all front-office functions including deal origination, investor engagement, mandate execution, and pipeline management.</w:t>
      </w:r>
    </w:p>
    <w:p>
      <w:pPr>
        <w:pStyle w:val="Heading2"/>
        <w:spacing w:after="100" w:before="280"/>
      </w:pPr>
      <w:r>
        <w:rPr>
          <w:rFonts w:ascii="EB Garamond" w:cs="EB Garamond" w:eastAsia="EB Garamond" w:hAnsi="EB Garamond"/>
          <w:b/>
          <w:bCs/>
          <w:color w:val="333333"/>
          <w:sz w:val="32"/>
          <w:szCs w:val="32"/>
        </w:rPr>
        <w:t xml:space="preserve">1.2  Scope</w:t>
      </w:r>
    </w:p>
    <w:p>
      <w:pPr>
        <w:spacing w:after="80" w:before="80"/>
        <w:jc w:val="both"/>
      </w:pPr>
      <w:r>
        <w:rPr>
          <w:rFonts w:ascii="Inter" w:cs="Inter" w:eastAsia="Inter" w:hAnsi="Inter"/>
          <w:b w:val="false"/>
          <w:bCs w:val="false"/>
          <w:i w:val="false"/>
          <w:iCs w:val="false"/>
          <w:caps w:val="false"/>
          <w:color w:val="333333"/>
          <w:sz w:val="22"/>
          <w:szCs w:val="22"/>
        </w:rPr>
        <w:t xml:space="preserve">This Operating System covers all revenue-generating activities of the firm: deal origination and intake, mandate management, investor/lender relations, pitch and documentation production, financial close execution, and post-close transition to monitoring.</w:t>
      </w:r>
    </w:p>
    <w:p>
      <w:pPr>
        <w:pStyle w:val="Heading2"/>
        <w:spacing w:after="100" w:before="280"/>
      </w:pPr>
      <w:r>
        <w:rPr>
          <w:rFonts w:ascii="EB Garamond" w:cs="EB Garamond" w:eastAsia="EB Garamond" w:hAnsi="EB Garamond"/>
          <w:b/>
          <w:bCs/>
          <w:color w:val="333333"/>
          <w:sz w:val="32"/>
          <w:szCs w:val="32"/>
        </w:rPr>
        <w:t xml:space="preserve">1.3  Target Users</w:t>
      </w:r>
    </w:p>
    <w:p>
      <w:pPr>
        <w:spacing w:after="80" w:before="80"/>
        <w:jc w:val="both"/>
      </w:pPr>
      <w:r>
        <w:rPr>
          <w:rFonts w:ascii="Inter" w:cs="Inter" w:eastAsia="Inter" w:hAnsi="Inter"/>
          <w:b w:val="false"/>
          <w:bCs w:val="false"/>
          <w:i w:val="false"/>
          <w:iCs w:val="false"/>
          <w:caps w:val="false"/>
          <w:color w:val="333333"/>
          <w:sz w:val="22"/>
          <w:szCs w:val="22"/>
        </w:rPr>
        <w:t xml:space="preserve">This document is intended for all principals, associates, and external consultants operating within or in support of the Ascension Capital Partners front office. It is the authoritative operating reference and supersedes all informal process guidance.</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System Architecture Overview</w:t>
      </w:r>
    </w:p>
    <w:p>
      <w:pPr>
        <w:pStyle w:val="Heading2"/>
        <w:spacing w:after="100" w:before="280"/>
      </w:pPr>
      <w:r>
        <w:rPr>
          <w:rFonts w:ascii="EB Garamond" w:cs="EB Garamond" w:eastAsia="EB Garamond" w:hAnsi="EB Garamond"/>
          <w:b/>
          <w:bCs/>
          <w:color w:val="333333"/>
          <w:sz w:val="32"/>
          <w:szCs w:val="32"/>
        </w:rPr>
        <w:t xml:space="preserve">2.1  Five-Layer Technology Stack</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Layer</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System / Tool</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Function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1 — Data &amp; Intelligence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Notion (Pipeline DB), Google Drive (Document Store)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Deal tracking, document management, reporting</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2 — Communication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Gmail, Zoom, Fireflies.ai</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Email, video conferencing, meeting intelligence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3 — Outreach</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Apollo, Instantly, LinkedIn Sales Navigator</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Investor targeting, outreach automation, CRM</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4 — Document Production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Claude AI, Microsoft Word, HTML-to-PDF</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IC submissions, teasers, term sheets, letters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5 — Finance &amp; Compliance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Stripe, Xero, KYC/AML Platform</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Invoicing, fee collection, compliance screening</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2.2  Data Flow Architecture</w:t>
      </w:r>
    </w:p>
    <w:p>
      <w:pPr>
        <w:spacing w:after="80" w:before="80"/>
        <w:jc w:val="both"/>
      </w:pPr>
      <w:r>
        <w:rPr>
          <w:rFonts w:ascii="Inter" w:cs="Inter" w:eastAsia="Inter" w:hAnsi="Inter"/>
          <w:b w:val="false"/>
          <w:bCs w:val="false"/>
          <w:i w:val="false"/>
          <w:iCs w:val="false"/>
          <w:caps w:val="false"/>
          <w:color w:val="333333"/>
          <w:sz w:val="22"/>
          <w:szCs w:val="22"/>
        </w:rPr>
        <w:t xml:space="preserve">Deal intake → Notion deal card creation → KYC/AML screening → IC pre-screening → Mandate execution → Document production → Investor outreach → Term sheet issuance → Due diligence → Financial close → Portfolio monitoring handover.</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Pre-Implementation Assessment</w:t>
      </w:r>
    </w:p>
    <w:p>
      <w:pPr>
        <w:pStyle w:val="Heading2"/>
        <w:spacing w:after="100" w:before="280"/>
      </w:pPr>
      <w:r>
        <w:rPr>
          <w:rFonts w:ascii="EB Garamond" w:cs="EB Garamond" w:eastAsia="EB Garamond" w:hAnsi="EB Garamond"/>
          <w:b/>
          <w:bCs/>
          <w:color w:val="333333"/>
          <w:sz w:val="32"/>
          <w:szCs w:val="32"/>
        </w:rPr>
        <w:t xml:space="preserve">3.1  Technology Infrastructure Checklist</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Notion workspace configured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Google Drive structure established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Email domain and GSuite configured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Apollo / outreach platform active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Stripe / Xero invoicing live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KYC/AML platform configured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VDR / deal room platform ready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3.2  Process Documentation Checklist</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Deal Intake SOP</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KYC/AML Procedure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Mandate Execution SOP</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Investor Outreach Cadence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Fee Collection SOP</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Document Production Templates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Pipeline Review Protocol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Complete  [ ] Pending</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Phase-by-Phase Implementation Plan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Phase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Activity</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Target Completion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Phase 1 — Foundation (Weeks 1–2)</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Notion workspace, Google Drive, GSuite, domain configuration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Phase 2 — Workflow Configuration (Weeks 3–4)</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Deal intake flows, KYC/AML, pipeline database, template library</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Phase 3 — Integration (Weeks 5–6)</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Apollo, Stripe/Xero, VDR, outreach automation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Phase 4 — Training &amp; Go-Live (Weeks 7–8)</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Team onboarding, QA, first live mandate run-through</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Pipeline Management Framework</w:t>
      </w:r>
    </w:p>
    <w:p>
      <w:pPr>
        <w:pStyle w:val="Heading2"/>
        <w:spacing w:after="100" w:before="280"/>
      </w:pPr>
      <w:r>
        <w:rPr>
          <w:rFonts w:ascii="EB Garamond" w:cs="EB Garamond" w:eastAsia="EB Garamond" w:hAnsi="EB Garamond"/>
          <w:b/>
          <w:bCs/>
          <w:color w:val="333333"/>
          <w:sz w:val="32"/>
          <w:szCs w:val="32"/>
        </w:rPr>
        <w:t xml:space="preserve">5.1  Deal Stage Definitions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Stage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Definition</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Key Actions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1 — Origination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Initial deal identification; preliminary screening against investment criteria</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Deal card creation, sector check, source documentation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2 — KYC / Pre-Screening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AML/KYC on all principals; IC pre-screening memo preparation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KYC checklist, sanctions/adverse media, IC note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3 — Mandate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Signed mandate letter or LOE; exclusivity in force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Mandate execution, fee letter, CP checklist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4 — Structuring &amp; Marketing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Capital stack finalisation; IM/teaser production; investor outreach</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IM draft, investor list, NDA distribution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5 — Term Sheet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One or more investors have issued executed term sheets</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TS comparison, negotiation, IC approval</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6 — Due Diligence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VDR open; legal, technical, and financial DD in progress</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CP tracking, advisor coordination, gap analysis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7 — Documentation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Facility / investment agreement being negotiated and executed</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Red-line review, CP register, sign-off protocol</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8 — Closed</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Financial close achieved; proceeds received / equity subscribed</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Closing notice, fee invoicing, handover to monitoring</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Investor Engagement Workflows</w:t>
      </w:r>
    </w:p>
    <w:p>
      <w:pPr>
        <w:pStyle w:val="Heading2"/>
        <w:spacing w:after="100" w:before="280"/>
      </w:pPr>
      <w:r>
        <w:rPr>
          <w:rFonts w:ascii="EB Garamond" w:cs="EB Garamond" w:eastAsia="EB Garamond" w:hAnsi="EB Garamond"/>
          <w:b/>
          <w:bCs/>
          <w:color w:val="333333"/>
          <w:sz w:val="32"/>
          <w:szCs w:val="32"/>
        </w:rPr>
        <w:t xml:space="preserve">6.1  Cold Outreach Sequence (5-Touch, 21-Day)</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Touch</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Channel</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Content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Touch 1 (Day 1)</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Email</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Clean teaser — unbranded, one-pager; subject: [Asset Class] | [Geography] | [Size]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Touch 2 (Day 4)</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LinkedIn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Connection request with brief personal note referencing sector interest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Touch 3 (Day 7)</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Email</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Follow-up — brief value-add insight (sector stat, policy update); NDA offer</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Touch 4 (Day 14)</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Email</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Branded IM / platform teaser; request 20-min intro call</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Touch 5 (Day 21)</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Phone / LinkedIn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Direct outreach — confirm receipt, offer tailored discussion</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6.2  Warm Nurture Campaign (Monthly Cadence)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Monthly market intelligence briefing — sector-specific, curated, 200-word maximum.</w:t>
      </w:r>
    </w:p>
    <w:p>
      <w:pPr>
        <w:spacing w:after="60" w:before="60"/>
        <w:ind w:left="600" w:hanging="260"/>
      </w:pPr>
      <w:r>
        <w:rPr>
          <w:rFonts w:ascii="Inter" w:cs="Inter" w:eastAsia="Inter" w:hAnsi="Inter"/>
          <w:b w:val="false"/>
          <w:bCs w:val="false"/>
          <w:i w:val="false"/>
          <w:iCs w:val="false"/>
          <w:caps w:val="false"/>
          <w:color w:val="333333"/>
          <w:sz w:val="22"/>
          <w:szCs w:val="22"/>
        </w:rPr>
        <w:t xml:space="preserve">▸  Quarterly pipeline update — headline deal flow summary for active investors.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Deal-specific update for investors who have executed NDAs — milestone-triggered.</w:t>
      </w:r>
    </w:p>
    <w:p>
      <w:pPr>
        <w:spacing w:after="60" w:before="60"/>
        <w:ind w:left="600" w:hanging="260"/>
      </w:pPr>
      <w:r>
        <w:rPr>
          <w:rFonts w:ascii="Inter" w:cs="Inter" w:eastAsia="Inter" w:hAnsi="Inter"/>
          <w:b w:val="false"/>
          <w:bCs w:val="false"/>
          <w:i w:val="false"/>
          <w:iCs w:val="false"/>
          <w:caps w:val="false"/>
          <w:color w:val="333333"/>
          <w:sz w:val="22"/>
          <w:szCs w:val="22"/>
        </w:rPr>
        <w:t xml:space="preserve">▸  Relationship touchpoint call — minimum quarterly for tier-1 investors and capital providers.</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6.3  Meeting Preparation Checklist</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Investor background research (AUM, mandate, recent portfolio)</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Done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Relevant deal deck / teaser tailored to investor mandate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Done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Updated pipeline summary prepared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Done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NDA pre-populated and ready for execution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Done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Key Q&amp;A briefing prepared (3–5 likely questions)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Done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Fireflies.ai recording enabled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Done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Follow-up email drafted (pre-meeting)</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Done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Quality Assurance Protocols</w:t>
      </w:r>
    </w:p>
    <w:p>
      <w:pPr>
        <w:pStyle w:val="Heading2"/>
        <w:spacing w:after="100" w:before="280"/>
      </w:pPr>
      <w:r>
        <w:rPr>
          <w:rFonts w:ascii="EB Garamond" w:cs="EB Garamond" w:eastAsia="EB Garamond" w:hAnsi="EB Garamond"/>
          <w:b/>
          <w:bCs/>
          <w:color w:val="333333"/>
          <w:sz w:val="32"/>
          <w:szCs w:val="32"/>
        </w:rPr>
        <w:t xml:space="preserve">7.1  Document QA Gate</w:t>
      </w:r>
    </w:p>
    <w:p>
      <w:pPr>
        <w:spacing w:after="80" w:before="80"/>
        <w:jc w:val="both"/>
      </w:pPr>
      <w:r>
        <w:rPr>
          <w:rFonts w:ascii="Inter" w:cs="Inter" w:eastAsia="Inter" w:hAnsi="Inter"/>
          <w:b w:val="false"/>
          <w:bCs w:val="false"/>
          <w:i w:val="false"/>
          <w:iCs w:val="false"/>
          <w:caps w:val="false"/>
          <w:color w:val="333333"/>
          <w:sz w:val="22"/>
          <w:szCs w:val="22"/>
        </w:rPr>
        <w:t xml:space="preserve">All client-facing documents must pass the following checks before distribution:</w:t>
      </w:r>
    </w:p>
    <w:p>
      <w:pPr>
        <w:spacing w:after="60" w:before="60"/>
        <w:ind w:left="600" w:hanging="260"/>
      </w:pPr>
      <w:r>
        <w:rPr>
          <w:rFonts w:ascii="Inter" w:cs="Inter" w:eastAsia="Inter" w:hAnsi="Inter"/>
          <w:b w:val="false"/>
          <w:bCs w:val="false"/>
          <w:i w:val="false"/>
          <w:iCs w:val="false"/>
          <w:caps w:val="false"/>
          <w:color w:val="333333"/>
          <w:sz w:val="22"/>
          <w:szCs w:val="22"/>
        </w:rPr>
        <w:t xml:space="preserve">▸  Brand compliance — EB Garamond/Inter fonts, gold spine, ACP header/footer, correct entity name.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Content review — all [●] placeholders resolved; no internal references or draft language.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Legal review — all representations accurate; disclaimer present; classification marking correct.</w:t>
      </w:r>
    </w:p>
    <w:p>
      <w:pPr>
        <w:spacing w:after="60" w:before="60"/>
        <w:ind w:left="600" w:hanging="260"/>
      </w:pPr>
      <w:r>
        <w:rPr>
          <w:rFonts w:ascii="Inter" w:cs="Inter" w:eastAsia="Inter" w:hAnsi="Inter"/>
          <w:b w:val="false"/>
          <w:bCs w:val="false"/>
          <w:i w:val="false"/>
          <w:iCs w:val="false"/>
          <w:caps w:val="false"/>
          <w:color w:val="333333"/>
          <w:sz w:val="22"/>
          <w:szCs w:val="22"/>
        </w:rPr>
        <w:t xml:space="preserve">▸  KYC/AML clearance — all counterparties screened before document distribution.</w:t>
      </w:r>
    </w:p>
    <w:p>
      <w:pPr>
        <w:spacing w:after="60" w:before="60"/>
        <w:ind w:left="600" w:hanging="260"/>
      </w:pPr>
      <w:r>
        <w:rPr>
          <w:rFonts w:ascii="Inter" w:cs="Inter" w:eastAsia="Inter" w:hAnsi="Inter"/>
          <w:b w:val="false"/>
          <w:bCs w:val="false"/>
          <w:i w:val="false"/>
          <w:iCs w:val="false"/>
          <w:caps w:val="false"/>
          <w:color w:val="333333"/>
          <w:sz w:val="22"/>
          <w:szCs w:val="22"/>
        </w:rPr>
        <w:t xml:space="preserve">▸  Version control — file named per ACP-[TYPE]-[VERSION]-[DATE] convention; version logged in Notion.</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8.  Contacts &amp; Escalation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Primary Contact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 Ting — Executive Managing Partner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Mobile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+61 451 338 533</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Email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joshuating53@outlook.com</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Entity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Ascension Capital Partners t/a APEX Consulting Partners Pty Ltd  |  ACN 674 649 417</w:t>
            </w:r>
          </w:p>
        </w:tc>
      </w:tr>
    </w:tbl>
    <w:p>
      <w:pPr>
        <w:spacing w:after="120" w:before="120"/>
      </w:pPr>
      <w:r>
        <w:t xml:space="preserve"/>
      </w:r>
    </w:p>
    <w:p>
      <w:pPr>
        <w:pBdr>
          <w:bottom w:val="single" w:color="C5A55A" w:sz="4" w:space="2"/>
        </w:pBdr>
        <w:spacing w:after="200" w:before="200"/>
      </w:pPr>
      <w:r>
        <w:t xml:space="preserve"/>
      </w:r>
    </w:p>
    <w:p>
      <w:pPr>
        <w:spacing w:after="80" w:before="80"/>
        <w:jc w:val="both"/>
      </w:pPr>
      <w:r>
        <w:rPr>
          <w:rFonts w:ascii="Inter" w:cs="Inter" w:eastAsia="Inter" w:hAnsi="Inter"/>
          <w:b w:val="false"/>
          <w:bCs w:val="false"/>
          <w:i/>
          <w:iCs/>
          <w:caps w:val="false"/>
          <w:color w:val="333333"/>
          <w:sz w:val="22"/>
          <w:szCs w:val="22"/>
        </w:rPr>
        <w:t xml:space="preserve">Ascension Capital Partners  |  Confidential  |  Internal Use Only</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2026-04-14T17:42:09.195Z</dcterms:created>
  <dcterms:modified xsi:type="dcterms:W3CDTF">2026-04-14T17:42:09.195Z</dcterms:modified>
</cp:coreProperties>
</file>

<file path=docProps/custom.xml><?xml version="1.0" encoding="utf-8"?>
<Properties xmlns="http://schemas.openxmlformats.org/officeDocument/2006/custom-properties" xmlns:vt="http://schemas.openxmlformats.org/officeDocument/2006/docPropsVTypes"/>
</file>