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left w:val="single" w:sz="32" w:space="10" w:color="C5A55A"/>
        </w:pBdr>
        <w:spacing w:after="40"/>
      </w:pPr>
      <w:r>
        <w:rPr>
          <w:rFonts w:ascii="Inter" w:hAnsi="Inter" w:cs="Inter"/>
          <w:b/>
          <w:i w:val="0"/>
          <w:color w:val="333333"/>
          <w:sz w:val="18"/>
        </w:rPr>
        <w:t>CLASSIFICATION: STRICTLY CONFIDENTIAL  |  QUALIFIED INSTITUTIONAL COUNTERPARTIES ONLY</w:t>
      </w:r>
    </w:p>
    <w:p>
      <w:pPr>
        <w:pBdr>
          <w:left w:val="single" w:sz="32" w:space="10" w:color="C5A55A"/>
        </w:pBdr>
        <w:spacing w:after="600"/>
      </w:pPr>
      <w:r>
        <w:rPr>
          <w:rFonts w:ascii="Inter" w:hAnsi="Inter" w:cs="Inter"/>
          <w:b w:val="0"/>
          <w:i/>
          <w:color w:val="9B9B9B"/>
          <w:sz w:val="18"/>
        </w:rPr>
        <w:t>ACP ↔ DCG ↔ LENDSECURE LLP  |  JOINT BUY-BOX — ALLOCATION SECURED</w:t>
      </w:r>
    </w:p>
    <w:p>
      <w:pPr>
        <w:pBdr>
          <w:left w:val="single" w:sz="64" w:space="10" w:color="C5A55A"/>
        </w:pBdr>
        <w:spacing w:before="800" w:after="80"/>
      </w:pPr>
      <w:r>
        <w:rPr>
          <w:rFonts w:ascii="EB Garamond" w:hAnsi="EB Garamond" w:cs="EB Garamond"/>
          <w:b/>
          <w:i w:val="0"/>
          <w:color w:val="000000"/>
          <w:sz w:val="56"/>
        </w:rPr>
        <w:t>Strategic Joint GTM Model</w:t>
      </w:r>
    </w:p>
    <w:p>
      <w:pPr>
        <w:pBdr>
          <w:left w:val="single" w:sz="64" w:space="10" w:color="C5A55A"/>
        </w:pBdr>
        <w:spacing w:after="80"/>
      </w:pPr>
      <w:r>
        <w:rPr>
          <w:rFonts w:ascii="EB Garamond" w:hAnsi="EB Garamond" w:cs="EB Garamond"/>
          <w:b w:val="0"/>
          <w:i w:val="0"/>
          <w:color w:val="333333"/>
          <w:sz w:val="36"/>
        </w:rPr>
        <w:t>Ascension Capital Partners  ·  DCG  ·  Lendsecure LLP</w:t>
      </w:r>
    </w:p>
    <w:p>
      <w:pPr>
        <w:pBdr>
          <w:left w:val="single" w:sz="64" w:space="10" w:color="C5A55A"/>
        </w:pBdr>
        <w:spacing w:after="400"/>
      </w:pPr>
      <w:r>
        <w:rPr>
          <w:rFonts w:ascii="EB Garamond" w:hAnsi="EB Garamond" w:cs="EB Garamond"/>
          <w:b w:val="0"/>
          <w:i/>
          <w:color w:val="A68B3C"/>
          <w:sz w:val="28"/>
        </w:rPr>
        <w:t>Institutional Buy-Box Allocation  |  Multi-Vertical Capital Deployment Platform</w:t>
      </w:r>
    </w:p>
    <w:p>
      <w:pPr>
        <w:pBdr>
          <w:bottom w:val="single" w:sz="12" w:space="1" w:color="C5A55A"/>
        </w:pBd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118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Field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Detail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Document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ACP-SJGTM-DCG-LSL-v1.0-2026-04-19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Date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19 April 2026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Principal / Lead Arranger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Ascension Capital Partners (t/a APEX Consulting Partners Pty Ltd)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Strategic Counterparty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DCG — Principal Allocator / Distribution Partner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Private Credit Co-Arranger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Lendsecure LLP — Kirat (Managing Partner)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Programme Scope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Sustainable real assets, digital infra, private credit, critical minerals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Aggregate Pipeline Access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5.8bn+ (Q1 2026 run-rate) · USD 38.5m near-term deployment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Governing Law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England &amp; Wales  |  Arbitration: LCIA (London)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Owner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Joshua Ting — Executive Managing Partner, Global Head of Alternatives</w:t>
            </w:r>
          </w:p>
        </w:tc>
      </w:tr>
    </w:tbl>
    <w:p>
      <w:pPr>
        <w:spacing w:after="240" w:line="336" w:lineRule="auto"/>
        <w:jc w:val="left"/>
      </w:pPr>
      <w:r>
        <w:rPr>
          <w:rFonts w:ascii="Inter" w:hAnsi="Inter" w:cs="Inter"/>
          <w:b w:val="0"/>
          <w:i w:val="0"/>
          <w:color w:val="333333"/>
          <w:sz w:val="22"/>
        </w:rPr>
      </w:r>
    </w:p>
    <w:p>
      <w:pPr>
        <w:pBdr>
          <w:left w:val="single" w:sz="32" w:space="10" w:color="C5A55A"/>
        </w:pBdr>
        <w:spacing w:after="120" w:line="312" w:lineRule="auto"/>
        <w:jc w:val="left"/>
      </w:pPr>
      <w:r>
        <w:rPr>
          <w:rFonts w:ascii="Inter" w:hAnsi="Inter" w:cs="Inter"/>
          <w:b w:val="0"/>
          <w:i/>
          <w:color w:val="9B9B9B"/>
          <w:sz w:val="18"/>
        </w:rPr>
        <w:t>This document consolidates the joint buy-box (allocation) architecture secured between Ascension Capital Partners, DCG and Lendsecure LLP. It is provided on a strictly confidential basis to qualified institutional counterparties only. Nothing herein constitutes an offer, solicitation, or recommendation to transact. All economics are subject to binding engagement letters, IC approval and KYC/AML clearance per LMA/LSTA standards.</w:t>
      </w:r>
    </w:p>
    <w:p>
      <w:r>
        <w:br w:type="page"/>
      </w:r>
    </w:p>
    <w:p>
      <w:pPr>
        <w:pBdr>
          <w:left w:val="single" w:sz="48" w:space="10" w:color="C5A55A"/>
        </w:pBdr>
        <w:spacing w:before="280" w:after="160"/>
      </w:pPr>
      <w:r>
        <w:rPr>
          <w:rFonts w:ascii="EB Garamond" w:hAnsi="EB Garamond" w:cs="EB Garamond"/>
          <w:b/>
          <w:i w:val="0"/>
          <w:color w:val="000000"/>
          <w:sz w:val="36"/>
        </w:rPr>
        <w:t>1.  EXECUTIVE SUMMARY</w:t>
      </w:r>
    </w:p>
    <w:p>
      <w:pPr>
        <w:pBdr>
          <w:left w:val="single" w:sz="32" w:space="10" w:color="C5A55A"/>
        </w:pBdr>
        <w:spacing w:after="120" w:line="336" w:lineRule="auto"/>
        <w:jc w:val="left"/>
      </w:pPr>
      <w:r>
        <w:rPr>
          <w:rFonts w:ascii="Inter" w:hAnsi="Inter" w:cs="Inter"/>
          <w:b w:val="0"/>
          <w:i w:val="0"/>
          <w:color w:val="333333"/>
          <w:sz w:val="22"/>
        </w:rPr>
        <w:t>Ascension Capital Partners ("ACP") has secured a strategic joint buy-box with DCG (principal allocator and distribution counterparty) and Lendsecure LLP (private credit co-arranger, Kirat as managing partner). The alliance consolidates origination, underwriting and distribution across the ACP mandate book — USD 5.8bn+ of live institutional mandates across seven verticals — into a single, senior-ready deployment platform.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Joint Thesis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Origination &amp; Structuring — </w:t>
      </w:r>
      <w:r>
        <w:rPr>
          <w:rFonts w:ascii="Inter" w:hAnsi="Inter" w:cs="Inter"/>
          <w:b w:val="0"/>
          <w:i w:val="0"/>
          <w:color w:val="333333"/>
          <w:sz w:val="22"/>
        </w:rPr>
        <w:t>ACP provides proprietary origination, structuring and arranger capacity across digital infrastructure, clean energy, critical minerals, private credit and real assets.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Principal Allocation — </w:t>
      </w:r>
      <w:r>
        <w:rPr>
          <w:rFonts w:ascii="Inter" w:hAnsi="Inter" w:cs="Inter"/>
          <w:b w:val="0"/>
          <w:i w:val="0"/>
          <w:color w:val="333333"/>
          <w:sz w:val="22"/>
        </w:rPr>
        <w:t>DCG provides principal allocation capacity, LP/HNW distribution reach and programmatic balance-sheet alignment, enabling rapid commit/soft-circle on anchor tranches.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Private Credit Execution — </w:t>
      </w:r>
      <w:r>
        <w:rPr>
          <w:rFonts w:ascii="Inter" w:hAnsi="Inter" w:cs="Inter"/>
          <w:b w:val="0"/>
          <w:i w:val="0"/>
          <w:color w:val="333333"/>
          <w:sz w:val="22"/>
        </w:rPr>
        <w:t>Lendsecure LLP (Kirat) provides institutional-grade private credit underwriting, LMA/LSTA documentation capability and co-arranger optionality across senior, mezzanine and bridge instruments.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Why This Matters Now</w:t>
      </w:r>
    </w:p>
    <w:p>
      <w:pPr>
        <w:pBdr>
          <w:left w:val="single" w:sz="32" w:space="10" w:color="C5A55A"/>
        </w:pBdr>
        <w:spacing w:after="120" w:line="336" w:lineRule="auto"/>
        <w:jc w:val="left"/>
      </w:pPr>
      <w:r>
        <w:rPr>
          <w:rFonts w:ascii="Inter" w:hAnsi="Inter" w:cs="Inter"/>
          <w:b w:val="0"/>
          <w:i w:val="0"/>
          <w:color w:val="333333"/>
          <w:sz w:val="22"/>
        </w:rPr>
        <w:t>Ticket sizes in the ACP Q1 2026 book sit in the USD 2–5m (bridge/VD/CLN) to USD 100–250m (co-lead anchor) range, with aggregate deployment potential above USD 1.2bn in currently-live tranches. The joint buy-box (i) unlocks immediate co-lead positions on live mandates, (ii) provides DCG and Lendsecure with pre-vetted, institutionally-papered pipeline, and (iii) positions the alliance to warehouse and syndicate at scale under a single programme governance framework.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Headline Numbers — Joint Buy-Box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969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Metric</w:t>
            </w:r>
          </w:p>
        </w:tc>
        <w:tc>
          <w:tcPr>
            <w:tcW w:type="dxa" w:w="4535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Value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Aggregate pipeline access (programmatic)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5.8bn+ mandate book</w:t>
            </w:r>
          </w:p>
        </w:tc>
      </w:tr>
      <w:tr>
        <w:tc>
          <w:tcPr>
            <w:tcW w:type="dxa" w:w="39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Near-term deployment window (Q1–Q2 2026)</w:t>
            </w:r>
          </w:p>
        </w:tc>
        <w:tc>
          <w:tcPr>
            <w:tcW w:type="dxa" w:w="45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38.5–40.5m initial · USD 75m+ with upsize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Live mandate count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20+ named assets across 7 verticals</w:t>
            </w:r>
          </w:p>
        </w:tc>
      </w:tr>
      <w:tr>
        <w:tc>
          <w:tcPr>
            <w:tcW w:type="dxa" w:w="39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Regional coverage</w:t>
            </w:r>
          </w:p>
        </w:tc>
        <w:tc>
          <w:tcPr>
            <w:tcW w:type="dxa" w:w="45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APAC · EMEA · Middle East · Americas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Target gross yield (credit lanes)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11–16% USD, secured/structured</w:t>
            </w:r>
          </w:p>
        </w:tc>
      </w:tr>
      <w:tr>
        <w:tc>
          <w:tcPr>
            <w:tcW w:type="dxa" w:w="39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Target IRR (equity/hybrid lanes)</w:t>
            </w:r>
          </w:p>
        </w:tc>
        <w:tc>
          <w:tcPr>
            <w:tcW w:type="dxa" w:w="45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Mid- to high-teens net, asset-dependent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Joint fee pool (illustrative, per mandate)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Arranger 1.0–2.5% · Success 1.0–2.0% · Carry 5–15%</w:t>
            </w:r>
          </w:p>
        </w:tc>
      </w:tr>
      <w:tr>
        <w:tc>
          <w:tcPr>
            <w:tcW w:type="dxa" w:w="39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Documentation standard</w:t>
            </w:r>
          </w:p>
        </w:tc>
        <w:tc>
          <w:tcPr>
            <w:tcW w:type="dxa" w:w="45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LMA/LSTA; ELFA; ICMA where labelled</w:t>
            </w:r>
          </w:p>
        </w:tc>
      </w:tr>
    </w:tbl>
    <w:p>
      <w:r>
        <w:br w:type="page"/>
      </w:r>
    </w:p>
    <w:p>
      <w:pPr>
        <w:pBdr>
          <w:left w:val="single" w:sz="48" w:space="10" w:color="C5A55A"/>
        </w:pBdr>
        <w:spacing w:before="280" w:after="160"/>
      </w:pPr>
      <w:r>
        <w:rPr>
          <w:rFonts w:ascii="EB Garamond" w:hAnsi="EB Garamond" w:cs="EB Garamond"/>
          <w:b/>
          <w:i w:val="0"/>
          <w:color w:val="000000"/>
          <w:sz w:val="36"/>
        </w:rPr>
        <w:t>2.  JOINT BUY-BOX — ALLOCATION PARAMETERS</w:t>
      </w:r>
    </w:p>
    <w:p>
      <w:pPr>
        <w:pBdr>
          <w:left w:val="single" w:sz="32" w:space="10" w:color="C5A55A"/>
        </w:pBdr>
        <w:spacing w:after="120" w:line="336" w:lineRule="auto"/>
        <w:jc w:val="left"/>
      </w:pPr>
      <w:r>
        <w:rPr>
          <w:rFonts w:ascii="Inter" w:hAnsi="Inter" w:cs="Inter"/>
          <w:b w:val="0"/>
          <w:i w:val="0"/>
          <w:color w:val="333333"/>
          <w:sz w:val="22"/>
        </w:rPr>
        <w:t>The following parameters define the joint deployment appetite agreed in principle between ACP, DCG and Lendsecure LLP. They form the screening gate for all pipeline referred across the alliance; any opportunity falling within-box proceeds directly to co-ordinated IC; out-of-box opportunities require unanimous consent to advance.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By Asset Class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87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Asset Class</w:t>
            </w:r>
          </w:p>
        </w:tc>
        <w:tc>
          <w:tcPr>
            <w:tcW w:type="dxa" w:w="170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Instruments</w:t>
            </w:r>
          </w:p>
        </w:tc>
        <w:tc>
          <w:tcPr>
            <w:tcW w:type="dxa" w:w="1020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Ticket (USD)</w:t>
            </w:r>
          </w:p>
        </w:tc>
        <w:tc>
          <w:tcPr>
            <w:tcW w:type="dxa" w:w="680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Tenor</w:t>
            </w:r>
          </w:p>
        </w:tc>
        <w:tc>
          <w:tcPr>
            <w:tcW w:type="dxa" w:w="147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Target Return</w:t>
            </w:r>
          </w:p>
        </w:tc>
        <w:tc>
          <w:tcPr>
            <w:tcW w:type="dxa" w:w="147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Lead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Private Credit — Real Assets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Senior secured / unitranche / RCF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25–100m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3–7y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11–13% gross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Lendsecure + ACP</w:t>
            </w:r>
          </w:p>
        </w:tc>
      </w:tr>
      <w:tr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Private Credit — Bridge / VD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Bridge, venture debt, CLN</w:t>
            </w:r>
          </w:p>
        </w:tc>
        <w:tc>
          <w:tcPr>
            <w:tcW w:type="dxa" w:w="10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2–10m</w:t>
            </w:r>
          </w:p>
        </w:tc>
        <w:tc>
          <w:tcPr>
            <w:tcW w:type="dxa" w:w="6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12–24m</w:t>
            </w:r>
          </w:p>
        </w:tc>
        <w:tc>
          <w:tcPr>
            <w:tcW w:type="dxa" w:w="147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12–16% gross</w:t>
            </w:r>
          </w:p>
        </w:tc>
        <w:tc>
          <w:tcPr>
            <w:tcW w:type="dxa" w:w="147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+ Lendsecure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Digital Infrastructure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Equity + facility stack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30–250m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5–10y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Mid-teens IRR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lead · DCG co</w:t>
            </w:r>
          </w:p>
        </w:tc>
      </w:tr>
      <w:tr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Clean Energy &amp; CCU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Equity PP + PF + Green Bond</w:t>
            </w:r>
          </w:p>
        </w:tc>
        <w:tc>
          <w:tcPr>
            <w:tcW w:type="dxa" w:w="10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5–100m</w:t>
            </w:r>
          </w:p>
        </w:tc>
        <w:tc>
          <w:tcPr>
            <w:tcW w:type="dxa" w:w="6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7–15y</w:t>
            </w:r>
          </w:p>
        </w:tc>
        <w:tc>
          <w:tcPr>
            <w:tcW w:type="dxa" w:w="147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High-teen IRR</w:t>
            </w:r>
          </w:p>
        </w:tc>
        <w:tc>
          <w:tcPr>
            <w:tcW w:type="dxa" w:w="147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lead · DCG co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Critical Minerals / Offtake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Offtake-backed PF / ECA-eligible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5–25m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3–7y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High-single ≥ 10%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lead</w:t>
            </w:r>
          </w:p>
        </w:tc>
      </w:tr>
      <w:tr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Real Estate — Senior Living / RE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Senior / mezz / pref equity</w:t>
            </w:r>
          </w:p>
        </w:tc>
        <w:tc>
          <w:tcPr>
            <w:tcW w:type="dxa" w:w="10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10–127m</w:t>
            </w:r>
          </w:p>
        </w:tc>
        <w:tc>
          <w:tcPr>
            <w:tcW w:type="dxa" w:w="6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3–7y</w:t>
            </w:r>
          </w:p>
        </w:tc>
        <w:tc>
          <w:tcPr>
            <w:tcW w:type="dxa" w:w="147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8–12% yield</w:t>
            </w:r>
          </w:p>
        </w:tc>
        <w:tc>
          <w:tcPr>
            <w:tcW w:type="dxa" w:w="147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+ DCG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Structured Notes / Programme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Multi-tranche, series issuance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25–250m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1–5y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10–16% coupon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DCG distribution</w:t>
            </w:r>
          </w:p>
        </w:tc>
      </w:tr>
    </w:tbl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By Region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Region</w:t>
            </w:r>
          </w:p>
        </w:tc>
        <w:tc>
          <w:tcPr>
            <w:tcW w:type="dxa" w:w="3118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Live Mandates</w:t>
            </w:r>
          </w:p>
        </w:tc>
        <w:tc>
          <w:tcPr>
            <w:tcW w:type="dxa" w:w="170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Indicative Aggregate</w:t>
            </w:r>
          </w:p>
        </w:tc>
        <w:tc>
          <w:tcPr>
            <w:tcW w:type="dxa" w:w="170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Priority Lanes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APAC (AU / TH / ID / IN)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DT Cloud · GTHERM · SOM · Goldmine [AU] · TH IDC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USD 1.4–1.7bn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Digital infra · private credit · critical minerals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Europe &amp; UK</w:t>
            </w:r>
          </w:p>
        </w:tc>
        <w:tc>
          <w:tcPr>
            <w:tcW w:type="dxa" w:w="311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Aventurine · KWFT · CEMRE · FEMN · Spanish IDC Bonds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USD 650m–1.1bn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Clean energy · grid bonds · strategic capital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Middle East (GCC / DIFC)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PRP · Malika syndication · UAE senior living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USD 1.3bn+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Real estate · senior syndication · structured notes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Americas (US / LATAM)</w:t>
            </w:r>
          </w:p>
        </w:tc>
        <w:tc>
          <w:tcPr>
            <w:tcW w:type="dxa" w:w="311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EDGM · OMNIS / Quantum · INFRAKEY · KRS · NXE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USD 2.2bn+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Energy infra · AI-data infra · nuclear baseload</w:t>
            </w:r>
          </w:p>
        </w:tc>
      </w:tr>
    </w:tbl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Out-of-Box (Consent Required)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Tickets below USD 2m or above USD 250m (single-tranche).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Jurisdictions outside OECD / FATF compliant (sanctions overlay applies).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Unsecured venture equity below Series B, unless strategic fit with DT Cloud / INFRAKEY.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Any counterparty failing enhanced KYC (PEP, adverse media, beneficial-ownership opacity).</w:t>
      </w:r>
    </w:p>
    <w:p>
      <w:r>
        <w:br w:type="page"/>
      </w:r>
    </w:p>
    <w:p>
      <w:pPr>
        <w:pBdr>
          <w:left w:val="single" w:sz="48" w:space="10" w:color="C5A55A"/>
        </w:pBdr>
        <w:spacing w:before="280" w:after="160"/>
      </w:pPr>
      <w:r>
        <w:rPr>
          <w:rFonts w:ascii="EB Garamond" w:hAnsi="EB Garamond" w:cs="EB Garamond"/>
          <w:b/>
          <w:i w:val="0"/>
          <w:color w:val="000000"/>
          <w:sz w:val="36"/>
        </w:rPr>
        <w:t>3.  JOINT GTM ARCHITECTURE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Operating Model (Front-to-Back)</w:t>
      </w:r>
    </w:p>
    <w:p>
      <w:pPr>
        <w:pBdr>
          <w:left w:val="single" w:sz="32" w:space="10" w:color="C5A55A"/>
        </w:pBdr>
        <w:spacing w:after="120" w:line="336" w:lineRule="auto"/>
        <w:jc w:val="left"/>
      </w:pPr>
      <w:r>
        <w:rPr>
          <w:rFonts w:ascii="Inter" w:hAnsi="Inter" w:cs="Inter"/>
          <w:b w:val="0"/>
          <w:i w:val="0"/>
          <w:color w:val="333333"/>
          <w:sz w:val="22"/>
        </w:rPr>
        <w:t>The alliance operates a unified origination-to-close workflow with clear lane ownership. Every mandate is tagged to one of three execution lanes at intake; economics and governance follow the tag.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81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Stage</w:t>
            </w:r>
          </w:p>
        </w:tc>
        <w:tc>
          <w:tcPr>
            <w:tcW w:type="dxa" w:w="221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ACP</w:t>
            </w:r>
          </w:p>
        </w:tc>
        <w:tc>
          <w:tcPr>
            <w:tcW w:type="dxa" w:w="221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DCG</w:t>
            </w:r>
          </w:p>
        </w:tc>
        <w:tc>
          <w:tcPr>
            <w:tcW w:type="dxa" w:w="2268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Lendsecure LLP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Origination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Lead · proprietary mandate flow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Co · allocator-sourced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Co · credit-sourced</w:t>
            </w:r>
          </w:p>
        </w:tc>
      </w:tr>
      <w:tr>
        <w:tc>
          <w:tcPr>
            <w:tcW w:type="dxa" w:w="181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Screening / IC-A</w:t>
            </w:r>
          </w:p>
        </w:tc>
        <w:tc>
          <w:tcPr>
            <w:tcW w:type="dxa" w:w="221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Lead · buy-box gate</w:t>
            </w:r>
          </w:p>
        </w:tc>
        <w:tc>
          <w:tcPr>
            <w:tcW w:type="dxa" w:w="221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Consent (in-box) · vote (out)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Consent (in-box) · vote (out)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Structuring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Lead · term sheet + structure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Input · capital-side constraints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Lead (credit) · co (equity)</w:t>
            </w:r>
          </w:p>
        </w:tc>
      </w:tr>
      <w:tr>
        <w:tc>
          <w:tcPr>
            <w:tcW w:type="dxa" w:w="181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Underwriting</w:t>
            </w:r>
          </w:p>
        </w:tc>
        <w:tc>
          <w:tcPr>
            <w:tcW w:type="dxa" w:w="221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Co-ordinate · CP tracker</w:t>
            </w:r>
          </w:p>
        </w:tc>
        <w:tc>
          <w:tcPr>
            <w:tcW w:type="dxa" w:w="221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Allocate · soft-circle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Lead (credit) · docs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Documentation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LMA/LSTA papers · counsel instruction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Allocation letters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Credit docs · agency role</w:t>
            </w:r>
          </w:p>
        </w:tc>
      </w:tr>
      <w:tr>
        <w:tc>
          <w:tcPr>
            <w:tcW w:type="dxa" w:w="181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Syndication / Dist.</w:t>
            </w:r>
          </w:p>
        </w:tc>
        <w:tc>
          <w:tcPr>
            <w:tcW w:type="dxa" w:w="221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Co · anchor investor coverage</w:t>
            </w:r>
          </w:p>
        </w:tc>
        <w:tc>
          <w:tcPr>
            <w:tcW w:type="dxa" w:w="221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Lead · distribution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Co · credit-side placement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Post-close Monitoring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Lead · portfolio surveillance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Quarterly LP comms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Credit covenant compliance</w:t>
            </w:r>
          </w:p>
        </w:tc>
      </w:tr>
    </w:tbl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Lane Tagging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L1 — </w:t>
      </w:r>
      <w:r>
        <w:rPr>
          <w:rFonts w:ascii="Inter" w:hAnsi="Inter" w:cs="Inter"/>
          <w:b w:val="0"/>
          <w:i w:val="0"/>
          <w:color w:val="333333"/>
          <w:sz w:val="22"/>
        </w:rPr>
        <w:t>Credit Lane — senior secured, unitranche, bridge, RCF, CLN. Lendsecure leads docs; ACP co-arranges; DCG allocates.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L2 — </w:t>
      </w:r>
      <w:r>
        <w:rPr>
          <w:rFonts w:ascii="Inter" w:hAnsi="Inter" w:cs="Inter"/>
          <w:b w:val="0"/>
          <w:i w:val="0"/>
          <w:color w:val="333333"/>
          <w:sz w:val="22"/>
        </w:rPr>
        <w:t>Equity / Hybrid Lane — pref equity, convertibles, project equity. ACP leads; DCG provides principal ticket; Lendsecure optional mezz.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L3 — </w:t>
      </w:r>
      <w:r>
        <w:rPr>
          <w:rFonts w:ascii="Inter" w:hAnsi="Inter" w:cs="Inter"/>
          <w:b w:val="0"/>
          <w:i w:val="0"/>
          <w:color w:val="333333"/>
          <w:sz w:val="22"/>
        </w:rPr>
        <w:t>Programme / Capital-Markets Lane — green bonds, structured notes, syndicated facilities. ACP arranges; DCG distributes via existing LP channels.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Decisioning &amp; Escalation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IC-A (intake): ACP owner decision within 48h of teaser receipt.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IC-B (commit): unanimous across ACP / DCG / Lendsecure within 10 business days of full data pack.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IC-C (post-commit amendment): majority consent, ACP casting vote.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Escalation to principals (JT / DCG principal / Kirat) on any covenant amendment, material CP waiver or allocation re-slicing above 20%.</w:t>
      </w:r>
    </w:p>
    <w:p>
      <w:r>
        <w:br w:type="page"/>
      </w:r>
    </w:p>
    <w:p>
      <w:pPr>
        <w:pBdr>
          <w:left w:val="single" w:sz="48" w:space="10" w:color="C5A55A"/>
        </w:pBdr>
        <w:spacing w:before="280" w:after="160"/>
      </w:pPr>
      <w:r>
        <w:rPr>
          <w:rFonts w:ascii="EB Garamond" w:hAnsi="EB Garamond" w:cs="EB Garamond"/>
          <w:b/>
          <w:i w:val="0"/>
          <w:color w:val="000000"/>
          <w:sz w:val="36"/>
        </w:rPr>
        <w:t>4.  ECONOMICS &amp; FEE MODEL</w:t>
      </w:r>
    </w:p>
    <w:p>
      <w:pPr>
        <w:pBdr>
          <w:left w:val="single" w:sz="32" w:space="10" w:color="C5A55A"/>
        </w:pBdr>
        <w:spacing w:after="120" w:line="336" w:lineRule="auto"/>
        <w:jc w:val="left"/>
      </w:pPr>
      <w:r>
        <w:rPr>
          <w:rFonts w:ascii="Inter" w:hAnsi="Inter" w:cs="Inter"/>
          <w:b w:val="0"/>
          <w:i w:val="0"/>
          <w:color w:val="333333"/>
          <w:sz w:val="22"/>
        </w:rPr>
        <w:t>The joint economic architecture is designed to (i) protect ACP's arranger economics, (ii) reward DCG's principal allocation and distribution reach, and (iii) compensate Lendsecure for credit-side underwriting and documentation lift. All fees invoiced on ACP paper under the standard SKU taxonomy; internal settlement by monthly reconciliation.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Fee Stack (Per Mandate, Illustrative — Credit Lane)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17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SKU</w:t>
            </w:r>
          </w:p>
        </w:tc>
        <w:tc>
          <w:tcPr>
            <w:tcW w:type="dxa" w:w="1417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Fee</w:t>
            </w:r>
          </w:p>
        </w:tc>
        <w:tc>
          <w:tcPr>
            <w:tcW w:type="dxa" w:w="198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Basis</w:t>
            </w:r>
          </w:p>
        </w:tc>
        <w:tc>
          <w:tcPr>
            <w:tcW w:type="dxa" w:w="850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ACP</w:t>
            </w:r>
          </w:p>
        </w:tc>
        <w:tc>
          <w:tcPr>
            <w:tcW w:type="dxa" w:w="850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DCG</w:t>
            </w:r>
          </w:p>
        </w:tc>
        <w:tc>
          <w:tcPr>
            <w:tcW w:type="dxa" w:w="198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Lendsecure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ACP-FEE-MOB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Mobilisation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50k–350k flat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60%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20%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20%</w:t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ACP-FEE-ARR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Arrangement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1.0–2.5% of facility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50%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30%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20%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ACP-FEE-SUC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Success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1.0–2.0% of drawn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50%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25%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25%</w:t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ACP-FEE-PLC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Placement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1.0–1.5% of allocated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30%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60%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10%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ACP-FEE-RET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Retainer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25–75k / month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100%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ACP-FEE-TL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Tail (24m)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25–50% of arrangement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50%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30%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20%</w:t>
            </w:r>
          </w:p>
        </w:tc>
      </w:tr>
    </w:tbl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Equity / Hybrid Lane — Carry &amp; Promote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417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SKU</w:t>
            </w:r>
          </w:p>
        </w:tc>
        <w:tc>
          <w:tcPr>
            <w:tcW w:type="dxa" w:w="198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Economic</w:t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Basis</w:t>
            </w:r>
          </w:p>
        </w:tc>
        <w:tc>
          <w:tcPr>
            <w:tcW w:type="dxa" w:w="2268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Split (ACP / DCG / LSL)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ACP-FEE-EQY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Equity earnout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5–15% of sponsor equity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60 / 30 / 10</w:t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ACP-FEE-CSH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Cash strip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0.5–2.0% at refinance/exit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50 / 40 / 10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Promote (carried int.)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20% over 8% pref, 50/50 cat-up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50 / 40 / 10</w:t>
            </w:r>
          </w:p>
        </w:tc>
      </w:tr>
    </w:tbl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Economic Guardrails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No cross-subsidy: each mandate stands alone economically.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MFN across the alliance: no counterparty is offered better terms than ACP on the same mandate.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Tail protection: 24-month tail from counterparty termination; full success fee on any transaction with introduced parties.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Fee invoicing on ACP paper; upstream settlement to DCG / Lendsecure within 10 business days of receipt.</w:t>
      </w:r>
    </w:p>
    <w:p>
      <w:r>
        <w:br w:type="page"/>
      </w:r>
    </w:p>
    <w:p>
      <w:pPr>
        <w:pBdr>
          <w:left w:val="single" w:sz="48" w:space="10" w:color="C5A55A"/>
        </w:pBdr>
        <w:spacing w:before="280" w:after="160"/>
      </w:pPr>
      <w:r>
        <w:rPr>
          <w:rFonts w:ascii="EB Garamond" w:hAnsi="EB Garamond" w:cs="EB Garamond"/>
          <w:b/>
          <w:i w:val="0"/>
          <w:color w:val="000000"/>
          <w:sz w:val="36"/>
        </w:rPr>
        <w:t>5.  GOVERNANCE &amp; OPERATING PROTOCOLS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RACI — Decision Rights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3402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Workstream</w:t>
            </w:r>
          </w:p>
        </w:tc>
        <w:tc>
          <w:tcPr>
            <w:tcW w:type="dxa" w:w="170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ACP</w:t>
            </w:r>
          </w:p>
        </w:tc>
        <w:tc>
          <w:tcPr>
            <w:tcW w:type="dxa" w:w="170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DCG</w:t>
            </w:r>
          </w:p>
        </w:tc>
        <w:tc>
          <w:tcPr>
            <w:tcW w:type="dxa" w:w="170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Lendsecure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Origination &amp; buy-box gate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R/A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KYC / AML / sanctions screening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R/A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I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Structuring &amp; term sheet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R/A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 (credit)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Credit documentation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I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Equity / PP documentation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I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Principal allocation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R/A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LP distribution / placement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R/A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Portfolio monitoring / reporting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R/A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I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 (credit covenants)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Amendments / consents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R/A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Exit execution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R/A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C</w:t>
            </w:r>
          </w:p>
        </w:tc>
      </w:tr>
    </w:tbl>
    <w:p>
      <w:pPr>
        <w:pBdr>
          <w:left w:val="single" w:sz="32" w:space="10" w:color="C5A55A"/>
        </w:pBdr>
        <w:spacing w:after="120" w:line="336" w:lineRule="auto"/>
        <w:jc w:val="left"/>
      </w:pPr>
      <w:r>
        <w:rPr>
          <w:rFonts w:ascii="Inter" w:hAnsi="Inter" w:cs="Inter"/>
          <w:b w:val="0"/>
          <w:i/>
          <w:color w:val="9B9B9B"/>
          <w:sz w:val="18"/>
        </w:rPr>
        <w:t>R = Responsible · A = Accountable · C = Consulted · I = Informed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Cadence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Weekly alliance ops call (45 min): pipeline, CP tracker, allocation splits.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Monthly principals call (JT / DCG principal / Kirat): strategic review, fee reconciliation, mandate portfolio health.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Quarterly board-grade review: IC performance, realised vs. target economics, LP/partner feedback, forward plan.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Ad-hoc deal rooms per mandate — Notion-hosted, VDR-linked, CP + action tracker live-synced.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Data &amp; Systems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Source of truth — </w:t>
      </w:r>
      <w:r>
        <w:rPr>
          <w:rFonts w:ascii="Inter" w:hAnsi="Inter" w:cs="Inter"/>
          <w:b w:val="0"/>
          <w:i w:val="0"/>
          <w:color w:val="333333"/>
          <w:sz w:val="22"/>
        </w:rPr>
        <w:t>System of record: Notion Execution OS (ACP), with read-only mirror to DCG and Lendsecure counsels.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Data rooms — </w:t>
      </w:r>
      <w:r>
        <w:rPr>
          <w:rFonts w:ascii="Inter" w:hAnsi="Inter" w:cs="Inter"/>
          <w:b w:val="0"/>
          <w:i w:val="0"/>
          <w:color w:val="333333"/>
          <w:sz w:val="22"/>
        </w:rPr>
        <w:t>VDR: tiered by lane (Private Credit / Project Bonds — LMA/ELFA checklist; Infra — EPC/permits/DSCR; Equity — NVCA).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Reporting — </w:t>
      </w:r>
      <w:r>
        <w:rPr>
          <w:rFonts w:ascii="Inter" w:hAnsi="Inter" w:cs="Inter"/>
          <w:b w:val="0"/>
          <w:i w:val="0"/>
          <w:color w:val="333333"/>
          <w:sz w:val="22"/>
        </w:rPr>
        <w:t>Reporting: monthly portfolio pack (ACP) + quarterly investor letter (DCG co-signed) + covenant certification (Lendsecure).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Compliance &amp; Risk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Strict KYC/AML overlay on every counterparty (ACP standard + enhanced for PEPs / sanctions-adjacent jurisdictions).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Sanctions screening: OFAC / UK HMT / EU / UN — pre-engagement clearance, no exceptions.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Conflicts register maintained by ACP; refreshed monthly; material conflicts escalated to principals.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Governing law: England &amp; Wales on programme level; LCIA arbitration (London). Mandate-level variations permitted per local counsel.</w:t>
      </w:r>
    </w:p>
    <w:p>
      <w:r>
        <w:br w:type="page"/>
      </w:r>
    </w:p>
    <w:p>
      <w:pPr>
        <w:pBdr>
          <w:left w:val="single" w:sz="48" w:space="10" w:color="C5A55A"/>
        </w:pBdr>
        <w:spacing w:before="280" w:after="160"/>
      </w:pPr>
      <w:r>
        <w:rPr>
          <w:rFonts w:ascii="EB Garamond" w:hAnsi="EB Garamond" w:cs="EB Garamond"/>
          <w:b/>
          <w:i w:val="0"/>
          <w:color w:val="000000"/>
          <w:sz w:val="36"/>
        </w:rPr>
        <w:t>6.  PIPELINE ACTIVATION &amp; 90-DAY PLAN</w:t>
      </w:r>
    </w:p>
    <w:p>
      <w:pPr>
        <w:pBdr>
          <w:left w:val="single" w:sz="32" w:space="10" w:color="C5A55A"/>
        </w:pBdr>
        <w:spacing w:after="120" w:line="336" w:lineRule="auto"/>
        <w:jc w:val="left"/>
      </w:pPr>
      <w:r>
        <w:rPr>
          <w:rFonts w:ascii="Inter" w:hAnsi="Inter" w:cs="Inter"/>
          <w:b w:val="0"/>
          <w:i w:val="0"/>
          <w:color w:val="333333"/>
          <w:sz w:val="22"/>
        </w:rPr>
        <w:t>The following near-term mandates are prioritised for immediate joint activation. Allocation commitments are soft-circled where indicated; binding commitments require counterparty-level LOEs and IC-B sign-off per Section 3.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Priority Mandates — Q2 2026 Activation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45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#</w:t>
            </w:r>
          </w:p>
        </w:tc>
        <w:tc>
          <w:tcPr>
            <w:tcW w:type="dxa" w:w="272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Mandate</w:t>
            </w:r>
          </w:p>
        </w:tc>
        <w:tc>
          <w:tcPr>
            <w:tcW w:type="dxa" w:w="1587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Lane</w:t>
            </w:r>
          </w:p>
        </w:tc>
        <w:tc>
          <w:tcPr>
            <w:tcW w:type="dxa" w:w="1020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Size (USD)</w:t>
            </w:r>
          </w:p>
        </w:tc>
        <w:tc>
          <w:tcPr>
            <w:tcW w:type="dxa" w:w="198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Joint Role</w:t>
            </w:r>
          </w:p>
        </w:tc>
        <w:tc>
          <w:tcPr>
            <w:tcW w:type="dxa" w:w="1417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18"/>
              </w:rPr>
              <w:t>Status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EDGM — 540MW AI Power (US)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Credit / CLN + RCF + PPA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540m+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lead · DCG anchor · LSL credit co-arranger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LOE Executed · Active</w:t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272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OMNIS/Quantum — Pleasants Power (US)</w:t>
            </w:r>
          </w:p>
        </w:tc>
        <w:tc>
          <w:tcPr>
            <w:tcW w:type="dxa" w:w="158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Bridge + Green Bond</w:t>
            </w:r>
          </w:p>
        </w:tc>
        <w:tc>
          <w:tcPr>
            <w:tcW w:type="dxa" w:w="10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875–1,125m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arranger · LSL bridge · DCG bond distribution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IC Pack Delivered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DT Cloud — 750MW AI-DC (APAC/UK)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Senior + Equity + Carry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90m+350MW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lead · DCG equity ticket · LSL senior credit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In Progress</w:t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272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KWFT — Strategic Capital Raise (UK)</w:t>
            </w:r>
          </w:p>
        </w:tc>
        <w:tc>
          <w:tcPr>
            <w:tcW w:type="dxa" w:w="158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Equity/Warrant</w:t>
            </w:r>
          </w:p>
        </w:tc>
        <w:tc>
          <w:tcPr>
            <w:tcW w:type="dxa" w:w="10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50m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lead · DCG allocator · LSL optional mezz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LOE Drafted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Malika — Senior Syndication (ME/Global)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Senior Syndicated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350m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co-arranger · DCG distribution · LSL agency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Access Confirmed</w:t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272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Aventurine — CCU Programme (UK)</w:t>
            </w:r>
          </w:p>
        </w:tc>
        <w:tc>
          <w:tcPr>
            <w:tcW w:type="dxa" w:w="158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Equity PP + PF</w:t>
            </w:r>
          </w:p>
        </w:tc>
        <w:tc>
          <w:tcPr>
            <w:tcW w:type="dxa" w:w="10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GBP 8.5m+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lead · DCG private-placement distribution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Pipeline / Diligence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Spanish IDC Grid Bonds (EU)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Senior Notes (Private Placement)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22m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arranger · LSL insurer-friendly placement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Pipeline</w:t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272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Q1 Bridge Book (9 tickets, AU/EU)</w:t>
            </w:r>
          </w:p>
        </w:tc>
        <w:tc>
          <w:tcPr>
            <w:tcW w:type="dxa" w:w="158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Bridge / VD / CLN</w:t>
            </w:r>
          </w:p>
        </w:tc>
        <w:tc>
          <w:tcPr>
            <w:tcW w:type="dxa" w:w="10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38.5–40.5m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ACP origination · LSL credit · DCG retail-wholesale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18"/>
              </w:rPr>
              <w:t>Pipeline — Active</w:t>
            </w:r>
          </w:p>
        </w:tc>
      </w:tr>
    </w:tbl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90-Day Sequenced Plan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Weeks 1–2 — </w:t>
      </w:r>
      <w:r>
        <w:rPr>
          <w:rFonts w:ascii="Inter" w:hAnsi="Inter" w:cs="Inter"/>
          <w:b w:val="0"/>
          <w:i w:val="0"/>
          <w:color w:val="333333"/>
          <w:sz w:val="22"/>
        </w:rPr>
        <w:t>T+0 to T+15: Execute tri-party MOU / alliance term sheet; activate joint Notion workspace; refresh KYC cross-share.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Weeks 3–4 — </w:t>
      </w:r>
      <w:r>
        <w:rPr>
          <w:rFonts w:ascii="Inter" w:hAnsi="Inter" w:cs="Inter"/>
          <w:b w:val="0"/>
          <w:i w:val="0"/>
          <w:color w:val="333333"/>
          <w:sz w:val="22"/>
        </w:rPr>
        <w:t>Close EDGM CLN documentation; commit on OMNIS bridge; circulate joint teaser v1.0 to DCG LP base (tiered NDA gating).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Weeks 5–8 — </w:t>
      </w:r>
      <w:r>
        <w:rPr>
          <w:rFonts w:ascii="Inter" w:hAnsi="Inter" w:cs="Inter"/>
          <w:b w:val="0"/>
          <w:i w:val="0"/>
          <w:color w:val="333333"/>
          <w:sz w:val="22"/>
        </w:rPr>
        <w:t>Soft-circle USD 75–125m across top-3 mandates (EDGM · OMNIS · DT Cloud); IC-B on KWFT &amp; Aventurine.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Weeks 9–12 — </w:t>
      </w:r>
      <w:r>
        <w:rPr>
          <w:rFonts w:ascii="Inter" w:hAnsi="Inter" w:cs="Inter"/>
          <w:b w:val="0"/>
          <w:i w:val="0"/>
          <w:color w:val="333333"/>
          <w:sz w:val="22"/>
        </w:rPr>
        <w:t>Binding commits across priority 3; execute first tri-branded investor update; initiate warehouse-facility discussions (Section 7).</w:t>
      </w:r>
    </w:p>
    <w:p>
      <w:r>
        <w:br w:type="page"/>
      </w:r>
    </w:p>
    <w:p>
      <w:pPr>
        <w:pBdr>
          <w:left w:val="single" w:sz="48" w:space="10" w:color="C5A55A"/>
        </w:pBdr>
        <w:spacing w:before="280" w:after="160"/>
      </w:pPr>
      <w:r>
        <w:rPr>
          <w:rFonts w:ascii="EB Garamond" w:hAnsi="EB Garamond" w:cs="EB Garamond"/>
          <w:b/>
          <w:i w:val="0"/>
          <w:color w:val="000000"/>
          <w:sz w:val="36"/>
        </w:rPr>
        <w:t>7.  FUNDING-LINE ACTIVATION STRATEGY</w:t>
      </w:r>
    </w:p>
    <w:p>
      <w:pPr>
        <w:pBdr>
          <w:left w:val="single" w:sz="32" w:space="10" w:color="C5A55A"/>
        </w:pBdr>
        <w:spacing w:after="120" w:line="336" w:lineRule="auto"/>
        <w:jc w:val="left"/>
      </w:pPr>
      <w:r>
        <w:rPr>
          <w:rFonts w:ascii="Inter" w:hAnsi="Inter" w:cs="Inter"/>
          <w:b w:val="0"/>
          <w:i w:val="0"/>
          <w:color w:val="333333"/>
          <w:sz w:val="22"/>
        </w:rPr>
        <w:t>The immediate commercial rationale for this joint GTM is to convert the USD 5.8bn+ mandate book into committed, scalable capital channels. The following funding-line work-streams run in parallel with pipeline activation and are the principal upside driver for all three parties over the 12-month horizon.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Line 1 — Warehouse Facility (Credit)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Target USD 100–250m revolver, 3-year commitment, DSCR-tested borrowing base across eligible bridge / CLN / senior notes.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Lead: Lendsecure LLP (credit structuring) · ACP (origination feed) · DCG (first-loss / junior slice).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Strategic benefit: allows joint alliance to fund-and-sell rather than fund-and-hold, materially improving capital velocity.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Line 2 — Programmatic Green Bond Shelf (ICMA)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USD 150m programme, use-of-proceeds ring-fenced: DT Cloud + Aventurine CCU + GTHERM + H₂ offtake.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Lead: ACP (programme arranger) · DCG (retail/institutional distribution) · Lendsecure (bond trustee liaison).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External SPO (ICMA verification) — CICERO / Sustainalytics mandate to open in Q2 2026.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Line 3 — Structured Notes Programme (Institutional)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USD 3.0bn multi-tranche programme via Malika partnership; series issuance for institutional distribution.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Lead: DCG (distribution / allocation) · ACP (structuring) · Lendsecure (secondary documentation).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First series USD 250m — target launch Q3 2026; tenor 18–36 months; coupon 10–14% USD.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Line 4 — LP Co-Invest Pool (Pipeline-Specific)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USD 250m side-car vehicle for deal-by-deal co-investment; LP introduction led by DCG; GP carry 20/8/cat-up.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Structured as Cayman SPC with Series cells per mandate; management in ACP name; custody via institutional prime.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Documentation: ILPA-aligned LPA, side letters per anchor LP; target first close H2 2026.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Expected Funding-Line Outcomes (12-Month)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835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Line</w:t>
            </w:r>
          </w:p>
        </w:tc>
        <w:tc>
          <w:tcPr>
            <w:tcW w:type="dxa" w:w="170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Target Commit</w:t>
            </w:r>
          </w:p>
        </w:tc>
        <w:tc>
          <w:tcPr>
            <w:tcW w:type="dxa" w:w="1417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First Drawdown</w:t>
            </w:r>
          </w:p>
        </w:tc>
        <w:tc>
          <w:tcPr>
            <w:tcW w:type="dxa" w:w="2551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Primary KPI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Warehouse (credit)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100–250m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Q3 2026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Deployed / committed ratio &gt; 70%</w:t>
            </w:r>
          </w:p>
        </w:tc>
      </w:tr>
      <w:tr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Green Bond Shelf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150m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Q4 2026</w:t>
            </w:r>
          </w:p>
        </w:tc>
        <w:tc>
          <w:tcPr>
            <w:tcW w:type="dxa" w:w="25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Weighted coupon ≤ SOFR+350bps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Structured Notes Programme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250m (series 1)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Q3 2026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Oversubscription ≥ 1.5x</w:t>
            </w:r>
          </w:p>
        </w:tc>
      </w:tr>
      <w:tr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LP Co-Invest Pool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250m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H2 2026</w:t>
            </w:r>
          </w:p>
        </w:tc>
        <w:tc>
          <w:tcPr>
            <w:tcW w:type="dxa" w:w="25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≥ 8 LP anchors · avg ticket ≥ USD 25m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Aggregate 12-month capacity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USD 0.75–1.0bn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Programmatic, rolling, scalable</w:t>
            </w:r>
          </w:p>
        </w:tc>
      </w:tr>
    </w:tbl>
    <w:p>
      <w:r>
        <w:br w:type="page"/>
      </w:r>
    </w:p>
    <w:p>
      <w:pPr>
        <w:pBdr>
          <w:left w:val="single" w:sz="48" w:space="10" w:color="C5A55A"/>
        </w:pBdr>
        <w:spacing w:before="280" w:after="160"/>
      </w:pPr>
      <w:r>
        <w:rPr>
          <w:rFonts w:ascii="EB Garamond" w:hAnsi="EB Garamond" w:cs="EB Garamond"/>
          <w:b/>
          <w:i w:val="0"/>
          <w:color w:val="000000"/>
          <w:sz w:val="36"/>
        </w:rPr>
        <w:t>8.  CURRENT STATUS READ &amp; NEXT STEPS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Where We Stand — 19 April 2026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GREEN — </w:t>
      </w:r>
      <w:r>
        <w:rPr>
          <w:rFonts w:ascii="Inter" w:hAnsi="Inter" w:cs="Inter"/>
          <w:b w:val="0"/>
          <w:i w:val="0"/>
          <w:color w:val="333333"/>
          <w:sz w:val="22"/>
        </w:rPr>
        <w:t>LOE executed — EDGM (USD 540m+) programme active and in documentation phase; KWFT LOE executed 11 Nov 2025.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AMBER — </w:t>
      </w:r>
      <w:r>
        <w:rPr>
          <w:rFonts w:ascii="Inter" w:hAnsi="Inter" w:cs="Inter"/>
          <w:b w:val="0"/>
          <w:i w:val="0"/>
          <w:color w:val="333333"/>
          <w:sz w:val="22"/>
        </w:rPr>
        <w:t>LOE drafted — Aventurine/Gaiadon (3-facility pref equity); CLN / RCF docs mid-negotiation on EDGM.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RED — </w:t>
      </w:r>
      <w:r>
        <w:rPr>
          <w:rFonts w:ascii="Inter" w:hAnsi="Inter" w:cs="Inter"/>
          <w:b w:val="0"/>
          <w:i w:val="0"/>
          <w:color w:val="333333"/>
          <w:sz w:val="22"/>
        </w:rPr>
        <w:t>Pipeline gaps — Green Bond programme setup (red on tracker), H₂ offtake term sheet, critical minerals mandates (SOM/FEMN/ACE Cold), TerraFlow, PRP Dubai mandate scoping, INFRAKEY structure finalisation.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OPEN — </w:t>
      </w:r>
      <w:r>
        <w:rPr>
          <w:rFonts w:ascii="Inter" w:hAnsi="Inter" w:cs="Inter"/>
          <w:b w:val="0"/>
          <w:i w:val="0"/>
          <w:color w:val="333333"/>
          <w:sz w:val="22"/>
        </w:rPr>
        <w:t>DCG allocation consent — in-principle verbal; tri-party MOU not yet executed (priority T+14).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OPEN — </w:t>
      </w:r>
      <w:r>
        <w:rPr>
          <w:rFonts w:ascii="Inter" w:hAnsi="Inter" w:cs="Inter"/>
          <w:b w:val="0"/>
          <w:i w:val="0"/>
          <w:color w:val="333333"/>
          <w:sz w:val="22"/>
        </w:rPr>
        <w:t>Lendsecure LLP engagement — Kirat introduction complete; credit-lane LOE pending counsel review.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Critical Path — Next 14 Days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1 — </w:t>
      </w:r>
      <w:r>
        <w:rPr>
          <w:rFonts w:ascii="Inter" w:hAnsi="Inter" w:cs="Inter"/>
          <w:b w:val="0"/>
          <w:i w:val="0"/>
          <w:color w:val="333333"/>
          <w:sz w:val="22"/>
        </w:rPr>
        <w:t>Execute tri-party alliance MOU (ACP / DCG / Lendsecure LLP).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2 — </w:t>
      </w:r>
      <w:r>
        <w:rPr>
          <w:rFonts w:ascii="Inter" w:hAnsi="Inter" w:cs="Inter"/>
          <w:b w:val="0"/>
          <w:i w:val="0"/>
          <w:color w:val="333333"/>
          <w:sz w:val="22"/>
        </w:rPr>
        <w:t>Finalise KYC/AML cross-share pack; pre-clearance on top-3 priority mandates.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3 — </w:t>
      </w:r>
      <w:r>
        <w:rPr>
          <w:rFonts w:ascii="Inter" w:hAnsi="Inter" w:cs="Inter"/>
          <w:b w:val="0"/>
          <w:i w:val="0"/>
          <w:color w:val="333333"/>
          <w:sz w:val="22"/>
        </w:rPr>
        <w:t>Lendsecure credit-lane LOE: Kirat countersign on joint arranger mandate.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4 — </w:t>
      </w:r>
      <w:r>
        <w:rPr>
          <w:rFonts w:ascii="Inter" w:hAnsi="Inter" w:cs="Inter"/>
          <w:b w:val="0"/>
          <w:i w:val="0"/>
          <w:color w:val="333333"/>
          <w:sz w:val="22"/>
        </w:rPr>
        <w:t>Launch joint Notion workspace with VDR mirrors; activate weekly ops cadence.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/>
          <w:i w:val="0"/>
          <w:color w:val="333333"/>
          <w:sz w:val="22"/>
        </w:rPr>
        <w:t xml:space="preserve">5 — </w:t>
      </w:r>
      <w:r>
        <w:rPr>
          <w:rFonts w:ascii="Inter" w:hAnsi="Inter" w:cs="Inter"/>
          <w:b w:val="0"/>
          <w:i w:val="0"/>
          <w:color w:val="333333"/>
          <w:sz w:val="22"/>
        </w:rPr>
        <w:t>First tri-branded teaser (v1.0) — EDGM · DT Cloud · OMNIS / Quantum package to DCG LP base.</w:t>
      </w: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Residual Risks / To Confirm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DCG precise entity form, signatory and regulatory status (AFSL/FCA/equivalent) — confirm before MOU execution.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Lendsecure LLP jurisdiction, authorised capital and any regulated-activity constraints on arranger role.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Fee-split ratios in Section 4 are indicative market-standard; binding only on signed engagement letters.</w:t>
      </w:r>
    </w:p>
    <w:p>
      <w:pPr>
        <w:pStyle w:val="ListBullet"/>
        <w:pBdr>
          <w:left w:val="single" w:sz="32" w:space="10" w:color="C5A55A"/>
        </w:pBdr>
        <w:spacing w:line="312" w:lineRule="auto" w:after="60"/>
        <w:ind w:left="340"/>
      </w:pPr>
      <w:r>
        <w:rPr>
          <w:rFonts w:ascii="Inter" w:hAnsi="Inter" w:cs="Inter"/>
          <w:b w:val="0"/>
          <w:i w:val="0"/>
          <w:color w:val="333333"/>
          <w:sz w:val="22"/>
        </w:rPr>
        <w:t>Tail-fee protection must be mirrored in DCG and Lendsecure side-letters — counsel instruction pending.</w:t>
      </w:r>
    </w:p>
    <w:p>
      <w:pPr>
        <w:pBdr>
          <w:bottom w:val="single" w:sz="6" w:space="1" w:color="C5A55A"/>
        </w:pBdr>
        <w:spacing w:after="120"/>
      </w:pPr>
    </w:p>
    <w:p>
      <w:pPr>
        <w:pBdr>
          <w:left w:val="single" w:sz="32" w:space="10" w:color="C5A55A"/>
        </w:pBdr>
        <w:spacing w:before="120" w:after="40"/>
      </w:pPr>
      <w:r>
        <w:rPr>
          <w:rFonts w:ascii="Inter" w:hAnsi="Inter" w:cs="Inter"/>
          <w:b/>
          <w:i w:val="0"/>
          <w:color w:val="333333"/>
          <w:sz w:val="24"/>
        </w:rPr>
        <w:t>Signatures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268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Counterparty</w:t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Signatory</w:t>
            </w:r>
          </w:p>
        </w:tc>
        <w:tc>
          <w:tcPr>
            <w:tcW w:type="dxa" w:w="1984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Signature</w:t>
            </w:r>
          </w:p>
        </w:tc>
        <w:tc>
          <w:tcPr>
            <w:tcW w:type="dxa" w:w="1417"/>
            <w:shd w:val="clear" w:color="auto" w:fill="00000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after="0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C5A55A"/>
                <w:sz w:val="20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Ascension Capital Partners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Joshua Ting — Executive Managing Partner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____________________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Date: __________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DCG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[Principal — name TBC]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____________________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Date: __________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Lendsecure LLP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Kirat — Managing Partner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____________________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Inter" w:hAnsi="Inter" w:cs="Inter"/>
                <w:b w:val="0"/>
                <w:i w:val="0"/>
                <w:color w:val="333333"/>
                <w:sz w:val="20"/>
              </w:rPr>
              <w:t>Date: __________</w:t>
            </w:r>
          </w:p>
        </w:tc>
      </w:tr>
    </w:tbl>
    <w:p>
      <w:pPr>
        <w:spacing w:after="120" w:line="336" w:lineRule="auto"/>
        <w:jc w:val="left"/>
      </w:pPr>
      <w:r>
        <w:rPr>
          <w:rFonts w:ascii="Inter" w:hAnsi="Inter" w:cs="Inter"/>
          <w:b w:val="0"/>
          <w:i w:val="0"/>
          <w:color w:val="333333"/>
          <w:sz w:val="22"/>
        </w:rPr>
      </w:r>
    </w:p>
    <w:p>
      <w:pPr>
        <w:pBdr>
          <w:left w:val="single" w:sz="32" w:space="10" w:color="C5A55A"/>
        </w:pBdr>
        <w:spacing w:after="120" w:line="312" w:lineRule="auto"/>
        <w:jc w:val="left"/>
      </w:pPr>
      <w:r>
        <w:rPr>
          <w:rFonts w:ascii="Inter" w:hAnsi="Inter" w:cs="Inter"/>
          <w:b w:val="0"/>
          <w:i/>
          <w:color w:val="9B9B9B"/>
          <w:sz w:val="18"/>
        </w:rPr>
        <w:t>This Strategic Joint GTM Model is delivered under the Ascension Capital Partners standard confidentiality and tail-protection framework. Any binding commitments require mutual execution of the tri-party MOU, counterparty-level engagement letters, and completion of enhanced KYC/AML clearance across all parties.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cs="Inter"/>
        <w:b w:val="0"/>
        <w:i w:val="0"/>
        <w:color w:val="9B9B9B"/>
        <w:sz w:val="16"/>
      </w:rPr>
      <w:t>Ascension Capital Partners  |  Strictly Confidential  |  Internal &amp; Qualified Institutional Investors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787" w:val="left"/>
      </w:tabs>
      <w:pBdr>
        <w:bottom w:val="single" w:sz="8" w:space="1" w:color="C5A55A"/>
      </w:pBdr>
    </w:pPr>
    <w:r>
      <w:rPr>
        <w:rFonts w:ascii="Inter" w:hAnsi="Inter" w:cs="Inter"/>
        <w:b/>
        <w:i w:val="0"/>
        <w:color w:val="333333"/>
        <w:sz w:val="18"/>
      </w:rPr>
      <w:t>ASCENSION CAPITAL PARTNERS</w:t>
    </w:r>
    <w:r>
      <w:rPr>
        <w:rFonts w:ascii="Inter" w:hAnsi="Inter" w:cs="Inter"/>
        <w:b w:val="0"/>
        <w:i w:val="0"/>
        <w:color w:val="333333"/>
        <w:sz w:val="18"/>
      </w:rPr>
      <w:tab/>
    </w:r>
    <w:r>
      <w:rPr>
        <w:rFonts w:ascii="Inter" w:hAnsi="Inter" w:cs="Inter"/>
        <w:b w:val="0"/>
        <w:i w:val="0"/>
        <w:color w:val="333333"/>
        <w:sz w:val="18"/>
      </w:rPr>
      <w:t>STRATEGIC JOINT GTM | BUY-BOX ALLOCATION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Inter" w:hAnsi="Inter" w:cs="Inter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