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Bdr>
          <w:left w:val="single" w:sz="32" w:space="10" w:color="C5A55A"/>
        </w:pBdr>
        <w:spacing w:after="40"/>
      </w:pPr>
      <w:r>
        <w:rPr>
          <w:rFonts w:ascii="Inter" w:hAnsi="Inter" w:cs="Inter"/>
          <w:rFonts w:ascii="Inter" w:hAnsi="Inter"/>
          <w:b/>
          <w:i w:val="0"/>
          <w:color w:val="333333"/>
          <w:sz w:val="18"/>
        </w:rPr>
        <w:t>INTERNAL  ·  WEB PRODUCTION</w:t>
      </w:r>
    </w:p>
    <w:p>
      <w:pPr>
        <w:pBdr>
          <w:left w:val="single" w:sz="32" w:space="10" w:color="C5A55A"/>
        </w:pBdr>
        <w:spacing w:after="800"/>
      </w:pPr>
      <w:r>
        <w:rPr>
          <w:rFonts w:ascii="Inter" w:hAnsi="Inter" w:cs="Inter"/>
          <w:rFonts w:ascii="Inter" w:hAnsi="Inter"/>
          <w:b w:val="0"/>
          <w:i/>
          <w:color w:val="9B9B9B"/>
          <w:sz w:val="18"/>
        </w:rPr>
        <w:t>ACP-WEBCOPY-v1.0-2026-04-19</w:t>
      </w:r>
    </w:p>
    <w:p>
      <w:pPr>
        <w:pBdr>
          <w:left w:val="single" w:sz="64" w:space="10" w:color="C5A55A"/>
        </w:pBdr>
        <w:spacing w:before="1200" w:after="80"/>
      </w:pPr>
      <w:r>
        <w:rPr>
          <w:rFonts w:ascii="Inter" w:hAnsi="Inter" w:cs="Inter"/>
          <w:rFonts w:ascii="Inter" w:hAnsi="Inter"/>
          <w:b/>
          <w:i w:val="0"/>
          <w:color w:val="C5A55A"/>
          <w:sz w:val="22"/>
        </w:rPr>
        <w:t>WEBSITE COPY SYSTEM</w:t>
      </w:r>
    </w:p>
    <w:p>
      <w:pPr>
        <w:pBdr>
          <w:left w:val="single" w:sz="64" w:space="10" w:color="C5A55A"/>
        </w:pBdr>
        <w:spacing w:after="80"/>
      </w:pPr>
      <w:r>
        <w:rPr>
          <w:rFonts w:ascii="EB Garamond" w:hAnsi="EB Garamond" w:cs="EB Garamond"/>
          <w:rFonts w:ascii="EB Garamond" w:hAnsi="EB Garamond"/>
          <w:b/>
          <w:i w:val="0"/>
          <w:color w:val="000000"/>
          <w:sz w:val="60"/>
        </w:rPr>
        <w:t>Homepage · About · Verticals · Contact</w:t>
      </w:r>
    </w:p>
    <w:p>
      <w:pPr>
        <w:pBdr>
          <w:left w:val="single" w:sz="64" w:space="10" w:color="C5A55A"/>
        </w:pBdr>
        <w:spacing w:after="600"/>
      </w:pPr>
      <w:r>
        <w:rPr>
          <w:rFonts w:ascii="EB Garamond" w:hAnsi="EB Garamond" w:cs="EB Garamond"/>
          <w:rFonts w:ascii="EB Garamond" w:hAnsi="EB Garamond"/>
          <w:b w:val="0"/>
          <w:i/>
          <w:color w:val="333333"/>
          <w:sz w:val="32"/>
        </w:rPr>
        <w:t>With SEO Briefs and Page Specifications  ·  Ready for Web Build</w:t>
      </w:r>
    </w:p>
    <w:p>
      <w:pPr>
        <w:pBdr>
          <w:bottom w:val="single" w:sz="12" w:space="1" w:color="C5A55A"/>
        </w:pBdr>
        <w:spacing w:after="120"/>
      </w:pPr>
    </w:p>
    <w:p>
      <w:pPr>
        <w:pBdr>
          <w:left w:val="single" w:sz="32" w:space="10" w:color="C5A55A"/>
        </w:pBdr>
        <w:spacing w:after="120" w:line="336" w:lineRule="auto"/>
        <w:jc w:val="left"/>
      </w:pPr>
      <w:r>
        <w:rPr>
          <w:rFonts w:ascii="Inter" w:hAnsi="Inter" w:cs="Inter"/>
          <w:rFonts w:ascii="Inter" w:hAnsi="Inter"/>
          <w:b w:val="0"/>
          <w:i/>
          <w:color w:val="9B9B9B"/>
          <w:sz w:val="20"/>
        </w:rPr>
        <w:t>Ascension Capital Partners  ·  19 April 2026</w:t>
      </w:r>
    </w:p>
    <w:p>
      <w:r>
        <w:br w:type="page"/>
      </w:r>
    </w:p>
    <w:p>
      <w:pPr>
        <w:pBdr>
          <w:left w:val="single" w:sz="48" w:space="10" w:color="C5A55A"/>
        </w:pBdr>
        <w:spacing w:before="320" w:after="160"/>
      </w:pPr>
      <w:r>
        <w:rPr>
          <w:rFonts w:ascii="EB Garamond" w:hAnsi="EB Garamond" w:cs="EB Garamond"/>
          <w:rFonts w:ascii="EB Garamond" w:hAnsi="EB Garamond"/>
          <w:b/>
          <w:i w:val="0"/>
          <w:color w:val="000000"/>
          <w:sz w:val="36"/>
        </w:rPr>
        <w:t>USE NOTES</w:t>
      </w:r>
    </w:p>
    <w:p>
      <w:pPr>
        <w:pStyle w:val="ListBullet"/>
        <w:pBdr>
          <w:left w:val="single" w:sz="32" w:space="10" w:color="C5A55A"/>
        </w:pBdr>
        <w:spacing w:line="312" w:lineRule="auto" w:after="60"/>
        <w:ind w:left="340"/>
      </w:pPr>
      <w:r>
        <w:rPr>
          <w:rFonts w:ascii="Inter" w:hAnsi="Inter" w:cs="Inter"/>
          <w:rFonts w:ascii="Inter" w:hAnsi="Inter"/>
          <w:b w:val="0"/>
          <w:i w:val="0"/>
          <w:color w:val="333333"/>
          <w:sz w:val="22"/>
        </w:rPr>
        <w:t>Every page copy-block is production-ready. Insert verbatim or lightly edit only.</w:t>
      </w:r>
    </w:p>
    <w:p>
      <w:pPr>
        <w:pStyle w:val="ListBullet"/>
        <w:pBdr>
          <w:left w:val="single" w:sz="32" w:space="10" w:color="C5A55A"/>
        </w:pBdr>
        <w:spacing w:line="312" w:lineRule="auto" w:after="60"/>
        <w:ind w:left="340"/>
      </w:pPr>
      <w:r>
        <w:rPr>
          <w:rFonts w:ascii="Inter" w:hAnsi="Inter" w:cs="Inter"/>
          <w:rFonts w:ascii="Inter" w:hAnsi="Inter"/>
          <w:b w:val="0"/>
          <w:i w:val="0"/>
          <w:color w:val="333333"/>
          <w:sz w:val="22"/>
        </w:rPr>
        <w:t>SEO briefs at the top of each page. Meta descriptions capped at 155 chars.</w:t>
      </w:r>
    </w:p>
    <w:p>
      <w:pPr>
        <w:pStyle w:val="ListBullet"/>
        <w:pBdr>
          <w:left w:val="single" w:sz="32" w:space="10" w:color="C5A55A"/>
        </w:pBdr>
        <w:spacing w:line="312" w:lineRule="auto" w:after="60"/>
        <w:ind w:left="340"/>
      </w:pPr>
      <w:r>
        <w:rPr>
          <w:rFonts w:ascii="Inter" w:hAnsi="Inter" w:cs="Inter"/>
          <w:rFonts w:ascii="Inter" w:hAnsi="Inter"/>
          <w:b w:val="0"/>
          <w:i w:val="0"/>
          <w:color w:val="333333"/>
          <w:sz w:val="22"/>
        </w:rPr>
        <w:t>Microcopy (buttons, forms, error states) at the end of the document.</w:t>
      </w:r>
    </w:p>
    <w:p>
      <w:pPr>
        <w:pStyle w:val="ListBullet"/>
        <w:pBdr>
          <w:left w:val="single" w:sz="32" w:space="10" w:color="C5A55A"/>
        </w:pBdr>
        <w:spacing w:line="312" w:lineRule="auto" w:after="60"/>
        <w:ind w:left="340"/>
      </w:pPr>
      <w:r>
        <w:rPr>
          <w:rFonts w:ascii="Inter" w:hAnsi="Inter" w:cs="Inter"/>
          <w:rFonts w:ascii="Inter" w:hAnsi="Inter"/>
          <w:b w:val="0"/>
          <w:i w:val="0"/>
          <w:color w:val="333333"/>
          <w:sz w:val="22"/>
        </w:rPr>
        <w:t>British English. No emojis. Partner-to-partner tone throughout.</w:t>
      </w:r>
    </w:p>
    <w:p>
      <w:pPr>
        <w:pStyle w:val="ListBullet"/>
        <w:pBdr>
          <w:left w:val="single" w:sz="32" w:space="10" w:color="C5A55A"/>
        </w:pBdr>
        <w:spacing w:line="312" w:lineRule="auto" w:after="60"/>
        <w:ind w:left="340"/>
      </w:pPr>
      <w:r>
        <w:rPr>
          <w:rFonts w:ascii="Inter" w:hAnsi="Inter" w:cs="Inter"/>
          <w:rFonts w:ascii="Inter" w:hAnsi="Inter"/>
          <w:b w:val="0"/>
          <w:i w:val="0"/>
          <w:color w:val="333333"/>
          <w:sz w:val="22"/>
        </w:rPr>
        <w:t>Recommended domain: ascensioncapital.partners OR ascensioncapital.com.au (confirm availability).</w:t>
      </w:r>
    </w:p>
    <w:p>
      <w:r>
        <w:br w:type="page"/>
      </w:r>
    </w:p>
    <w:p>
      <w:pPr>
        <w:pBdr>
          <w:left w:val="single" w:sz="48" w:space="10" w:color="C5A55A"/>
        </w:pBdr>
        <w:spacing w:before="320" w:after="160"/>
      </w:pPr>
      <w:r>
        <w:rPr>
          <w:rFonts w:ascii="EB Garamond" w:hAnsi="EB Garamond" w:cs="EB Garamond"/>
          <w:rFonts w:ascii="EB Garamond" w:hAnsi="EB Garamond"/>
          <w:b/>
          <w:i w:val="0"/>
          <w:color w:val="000000"/>
          <w:sz w:val="36"/>
        </w:rPr>
        <w:t>PAGE 01  ·  HOMEPAGE</w:t>
      </w:r>
    </w:p>
    <w:p>
      <w:pPr>
        <w:pBdr>
          <w:left w:val="single" w:sz="40" w:space="10" w:color="C5A55A"/>
        </w:pBdr>
        <w:spacing w:before="200" w:after="80"/>
      </w:pPr>
      <w:r>
        <w:rPr>
          <w:rFonts w:ascii="EB Garamond" w:hAnsi="EB Garamond" w:cs="EB Garamond"/>
          <w:rFonts w:ascii="EB Garamond" w:hAnsi="EB Garamond"/>
          <w:b/>
          <w:i w:val="0"/>
          <w:color w:val="000000"/>
          <w:sz w:val="28"/>
        </w:rPr>
        <w:t>SEO Brief</w:t>
      </w:r>
    </w:p>
    <w:p>
      <w:pPr>
        <w:pStyle w:val="ListBullet"/>
        <w:pBdr>
          <w:left w:val="single" w:sz="32" w:space="10" w:color="C5A55A"/>
        </w:pBdr>
        <w:spacing w:line="312" w:lineRule="auto" w:after="60"/>
        <w:ind w:left="340"/>
      </w:pPr>
      <w:r>
        <w:rPr>
          <w:rFonts w:ascii="Inter" w:hAnsi="Inter" w:cs="Inter"/>
          <w:rFonts w:ascii="Inter" w:hAnsi="Inter"/>
          <w:b w:val="0"/>
          <w:i w:val="0"/>
          <w:color w:val="333333"/>
          <w:sz w:val="22"/>
        </w:rPr>
        <w:t>Title tag: Ascension Capital Partners — Institutional Alternatives, Principal-Led, Global</w:t>
      </w:r>
    </w:p>
    <w:p>
      <w:pPr>
        <w:pStyle w:val="ListBullet"/>
        <w:pBdr>
          <w:left w:val="single" w:sz="32" w:space="10" w:color="C5A55A"/>
        </w:pBdr>
        <w:spacing w:line="312" w:lineRule="auto" w:after="60"/>
        <w:ind w:left="340"/>
      </w:pPr>
      <w:r>
        <w:rPr>
          <w:rFonts w:ascii="Inter" w:hAnsi="Inter" w:cs="Inter"/>
          <w:rFonts w:ascii="Inter" w:hAnsi="Inter"/>
          <w:b w:val="0"/>
          <w:i w:val="0"/>
          <w:color w:val="333333"/>
          <w:sz w:val="22"/>
        </w:rPr>
        <w:t>Meta description: Institutional principal-led global alternatives advisor across energy transition, digital infrastructure, private credit and critical minerals.</w:t>
      </w:r>
    </w:p>
    <w:p>
      <w:pPr>
        <w:pStyle w:val="ListBullet"/>
        <w:pBdr>
          <w:left w:val="single" w:sz="32" w:space="10" w:color="C5A55A"/>
        </w:pBdr>
        <w:spacing w:line="312" w:lineRule="auto" w:after="60"/>
        <w:ind w:left="340"/>
      </w:pPr>
      <w:r>
        <w:rPr>
          <w:rFonts w:ascii="Inter" w:hAnsi="Inter" w:cs="Inter"/>
          <w:rFonts w:ascii="Inter" w:hAnsi="Inter"/>
          <w:b w:val="0"/>
          <w:i w:val="0"/>
          <w:color w:val="333333"/>
          <w:sz w:val="22"/>
        </w:rPr>
        <w:t>Primary keywords: institutional alternatives, principal-led M&amp;A advisory, energy transition financing, digital infrastructure capital, critical minerals project finance</w:t>
      </w:r>
    </w:p>
    <w:p>
      <w:pPr>
        <w:pStyle w:val="ListBullet"/>
        <w:pBdr>
          <w:left w:val="single" w:sz="32" w:space="10" w:color="C5A55A"/>
        </w:pBdr>
        <w:spacing w:line="312" w:lineRule="auto" w:after="60"/>
        <w:ind w:left="340"/>
      </w:pPr>
      <w:r>
        <w:rPr>
          <w:rFonts w:ascii="Inter" w:hAnsi="Inter" w:cs="Inter"/>
          <w:rFonts w:ascii="Inter" w:hAnsi="Inter"/>
          <w:b w:val="0"/>
          <w:i w:val="0"/>
          <w:color w:val="333333"/>
          <w:sz w:val="22"/>
        </w:rPr>
        <w:t>H1 count: 1. Schema: Organization, ProfessionalService.</w:t>
      </w:r>
    </w:p>
    <w:p>
      <w:pPr>
        <w:pBdr>
          <w:left w:val="single" w:sz="40" w:space="10" w:color="C5A55A"/>
        </w:pBdr>
        <w:spacing w:before="200" w:after="80"/>
      </w:pPr>
      <w:r>
        <w:rPr>
          <w:rFonts w:ascii="EB Garamond" w:hAnsi="EB Garamond" w:cs="EB Garamond"/>
          <w:rFonts w:ascii="EB Garamond" w:hAnsi="EB Garamond"/>
          <w:b/>
          <w:i w:val="0"/>
          <w:color w:val="000000"/>
          <w:sz w:val="28"/>
        </w:rPr>
        <w:t>Hero Section</w:t>
      </w:r>
    </w:p>
    <w:p>
      <w:pPr>
        <w:pBdr>
          <w:left w:val="single" w:sz="32" w:space="10" w:color="C5A55A"/>
        </w:pBdr>
        <w:spacing w:before="160" w:after="40"/>
      </w:pPr>
      <w:r>
        <w:rPr>
          <w:rFonts w:ascii="Inter" w:hAnsi="Inter" w:cs="Inter"/>
          <w:rFonts w:ascii="Inter" w:hAnsi="Inter"/>
          <w:b/>
          <w:i w:val="0"/>
          <w:color w:val="333333"/>
          <w:sz w:val="24"/>
        </w:rPr>
        <w:t>Eyebrow</w:t>
      </w:r>
    </w:p>
    <w:p>
      <w:pPr>
        <w:pBdr>
          <w:left w:val="single" w:sz="32" w:space="10" w:color="C5A55A"/>
        </w:pBdr>
        <w:spacing w:after="120" w:line="336" w:lineRule="auto"/>
        <w:jc w:val="left"/>
      </w:pPr>
      <w:r>
        <w:rPr>
          <w:rFonts w:ascii="Inter" w:hAnsi="Inter" w:cs="Inter"/>
          <w:rFonts w:ascii="Inter" w:hAnsi="Inter"/>
          <w:b/>
          <w:i w:val="0"/>
          <w:color w:val="C5A55A"/>
          <w:sz w:val="21"/>
        </w:rPr>
        <w:t>INSTITUTIONAL  ·  PRINCIPAL-LED  ·  GLOBAL</w:t>
      </w:r>
    </w:p>
    <w:p>
      <w:pPr>
        <w:pBdr>
          <w:left w:val="single" w:sz="32" w:space="10" w:color="C5A55A"/>
        </w:pBdr>
        <w:spacing w:before="160" w:after="40"/>
      </w:pPr>
      <w:r>
        <w:rPr>
          <w:rFonts w:ascii="Inter" w:hAnsi="Inter" w:cs="Inter"/>
          <w:rFonts w:ascii="Inter" w:hAnsi="Inter"/>
          <w:b/>
          <w:i w:val="0"/>
          <w:color w:val="333333"/>
          <w:sz w:val="24"/>
        </w:rPr>
        <w:t>H1</w:t>
      </w:r>
    </w:p>
    <w:p>
      <w:pPr>
        <w:pBdr>
          <w:left w:val="single" w:sz="32" w:space="10" w:color="C5A55A"/>
        </w:pBdr>
        <w:spacing w:after="120" w:line="336" w:lineRule="auto"/>
        <w:jc w:val="left"/>
      </w:pPr>
      <w:r>
        <w:rPr>
          <w:rFonts w:ascii="EB Garamond" w:hAnsi="EB Garamond" w:cs="EB Garamond"/>
          <w:rFonts w:ascii="EB Garamond" w:hAnsi="EB Garamond"/>
          <w:b/>
          <w:i w:val="0"/>
          <w:color w:val="000000"/>
          <w:sz w:val="32"/>
        </w:rPr>
        <w:t>Capital arranged for the transition economy.</w:t>
      </w:r>
    </w:p>
    <w:p>
      <w:pPr>
        <w:pBdr>
          <w:left w:val="single" w:sz="32" w:space="10" w:color="C5A55A"/>
        </w:pBdr>
        <w:spacing w:before="160" w:after="40"/>
      </w:pPr>
      <w:r>
        <w:rPr>
          <w:rFonts w:ascii="Inter" w:hAnsi="Inter" w:cs="Inter"/>
          <w:rFonts w:ascii="Inter" w:hAnsi="Inter"/>
          <w:b/>
          <w:i w:val="0"/>
          <w:color w:val="333333"/>
          <w:sz w:val="24"/>
        </w:rPr>
        <w:t>Sub-hero</w:t>
      </w:r>
    </w:p>
    <w:p>
      <w:pPr>
        <w:pBdr>
          <w:left w:val="single" w:sz="32" w:space="10" w:color="C5A55A"/>
        </w:pBdr>
        <w:spacing w:after="120" w:line="360" w:lineRule="auto"/>
        <w:jc w:val="left"/>
      </w:pPr>
      <w:r>
        <w:rPr>
          <w:rFonts w:ascii="Inter" w:hAnsi="Inter" w:cs="Inter"/>
          <w:rFonts w:ascii="Inter" w:hAnsi="Inter"/>
          <w:b w:val="0"/>
          <w:i/>
          <w:color w:val="333333"/>
          <w:sz w:val="22"/>
        </w:rPr>
        <w:t>Ascension Capital Partners is an institutional principal-led global alternatives M&amp;A advisory and capital arranging platform. We originate, structure and syndicate institutional capital for sustainable real assets and transition infrastructure — partner-grade, fee-only, LMA / LSTA / ICMA standards on every mandate.</w:t>
      </w:r>
    </w:p>
    <w:p>
      <w:pPr>
        <w:pBdr>
          <w:left w:val="single" w:sz="32" w:space="10" w:color="C5A55A"/>
        </w:pBdr>
        <w:spacing w:before="160" w:after="40"/>
      </w:pPr>
      <w:r>
        <w:rPr>
          <w:rFonts w:ascii="Inter" w:hAnsi="Inter" w:cs="Inter"/>
          <w:rFonts w:ascii="Inter" w:hAnsi="Inter"/>
          <w:b/>
          <w:i w:val="0"/>
          <w:color w:val="333333"/>
          <w:sz w:val="24"/>
        </w:rPr>
        <w:t>Primary CTA</w:t>
      </w:r>
    </w:p>
    <w:p>
      <w:pPr>
        <w:pBdr>
          <w:left w:val="single" w:sz="32" w:space="10" w:color="C5A55A"/>
        </w:pBdr>
        <w:spacing w:after="120" w:line="336" w:lineRule="auto"/>
        <w:jc w:val="left"/>
      </w:pPr>
      <w:r>
        <w:rPr>
          <w:rFonts w:ascii="Inter" w:hAnsi="Inter" w:cs="Inter"/>
          <w:rFonts w:ascii="Inter" w:hAnsi="Inter"/>
          <w:b w:val="0"/>
          <w:i w:val="0"/>
          <w:color w:val="333333"/>
          <w:sz w:val="22"/>
        </w:rPr>
        <w:t>Button: Request Institutional Access  →</w:t>
      </w:r>
    </w:p>
    <w:p>
      <w:pPr>
        <w:pBdr>
          <w:left w:val="single" w:sz="32" w:space="10" w:color="C5A55A"/>
        </w:pBdr>
        <w:spacing w:before="160" w:after="40"/>
      </w:pPr>
      <w:r>
        <w:rPr>
          <w:rFonts w:ascii="Inter" w:hAnsi="Inter" w:cs="Inter"/>
          <w:rFonts w:ascii="Inter" w:hAnsi="Inter"/>
          <w:b/>
          <w:i w:val="0"/>
          <w:color w:val="333333"/>
          <w:sz w:val="24"/>
        </w:rPr>
        <w:t>Secondary CTA</w:t>
      </w:r>
    </w:p>
    <w:p>
      <w:pPr>
        <w:pBdr>
          <w:left w:val="single" w:sz="32" w:space="10" w:color="C5A55A"/>
        </w:pBdr>
        <w:spacing w:after="120" w:line="336" w:lineRule="auto"/>
        <w:jc w:val="left"/>
      </w:pPr>
      <w:r>
        <w:rPr>
          <w:rFonts w:ascii="Inter" w:hAnsi="Inter" w:cs="Inter"/>
          <w:rFonts w:ascii="Inter" w:hAnsi="Inter"/>
          <w:b w:val="0"/>
          <w:i w:val="0"/>
          <w:color w:val="333333"/>
          <w:sz w:val="22"/>
        </w:rPr>
        <w:t>Link: Read the Q1 2026 Market Letter</w:t>
      </w:r>
    </w:p>
    <w:p>
      <w:pPr>
        <w:pBdr>
          <w:left w:val="single" w:sz="40" w:space="10" w:color="C5A55A"/>
        </w:pBdr>
        <w:spacing w:before="200" w:after="80"/>
      </w:pPr>
      <w:r>
        <w:rPr>
          <w:rFonts w:ascii="EB Garamond" w:hAnsi="EB Garamond" w:cs="EB Garamond"/>
          <w:rFonts w:ascii="EB Garamond" w:hAnsi="EB Garamond"/>
          <w:b/>
          <w:i w:val="0"/>
          <w:color w:val="000000"/>
          <w:sz w:val="28"/>
        </w:rPr>
        <w:t>Section 2 — Numbers</w:t>
      </w:r>
    </w:p>
    <w:p>
      <w:pPr>
        <w:pBdr>
          <w:left w:val="single" w:sz="32" w:space="10" w:color="C5A55A"/>
        </w:pBdr>
        <w:spacing w:after="120" w:line="336" w:lineRule="auto"/>
        <w:jc w:val="left"/>
      </w:pPr>
      <w:r>
        <w:rPr>
          <w:rFonts w:ascii="Inter" w:hAnsi="Inter" w:cs="Inter"/>
          <w:rFonts w:ascii="Inter" w:hAnsi="Inter"/>
          <w:b w:val="0"/>
          <w:i w:val="0"/>
          <w:color w:val="333333"/>
          <w:sz w:val="22"/>
        </w:rPr>
        <w:t>Panel of 5 metrics (reuses firm-deck 'By the Numbers' copy):</w:t>
      </w:r>
    </w:p>
    <w:p>
      <w:pPr>
        <w:pStyle w:val="ListBullet"/>
        <w:pBdr>
          <w:left w:val="single" w:sz="32" w:space="10" w:color="C5A55A"/>
        </w:pBdr>
        <w:spacing w:line="312" w:lineRule="auto" w:after="60"/>
        <w:ind w:left="340"/>
      </w:pPr>
      <w:r>
        <w:rPr>
          <w:rFonts w:ascii="Inter" w:hAnsi="Inter" w:cs="Inter"/>
          <w:rFonts w:ascii="Inter" w:hAnsi="Inter"/>
          <w:b w:val="0"/>
          <w:i w:val="0"/>
          <w:color w:val="333333"/>
          <w:sz w:val="22"/>
        </w:rPr>
        <w:t>USD 10bn+ — cumulative transactions led across UK, US, Australia, Middle East and Europe</w:t>
      </w:r>
    </w:p>
    <w:p>
      <w:pPr>
        <w:pStyle w:val="ListBullet"/>
        <w:pBdr>
          <w:left w:val="single" w:sz="32" w:space="10" w:color="C5A55A"/>
        </w:pBdr>
        <w:spacing w:line="312" w:lineRule="auto" w:after="60"/>
        <w:ind w:left="340"/>
      </w:pPr>
      <w:r>
        <w:rPr>
          <w:rFonts w:ascii="Inter" w:hAnsi="Inter" w:cs="Inter"/>
          <w:rFonts w:ascii="Inter" w:hAnsi="Inter"/>
          <w:b w:val="0"/>
          <w:i w:val="0"/>
          <w:color w:val="333333"/>
          <w:sz w:val="22"/>
        </w:rPr>
        <w:t>USD 5.8bn+ — live institutional mandate programme across 20+ named assets</w:t>
      </w:r>
    </w:p>
    <w:p>
      <w:pPr>
        <w:pStyle w:val="ListBullet"/>
        <w:pBdr>
          <w:left w:val="single" w:sz="32" w:space="10" w:color="C5A55A"/>
        </w:pBdr>
        <w:spacing w:line="312" w:lineRule="auto" w:after="60"/>
        <w:ind w:left="340"/>
      </w:pPr>
      <w:r>
        <w:rPr>
          <w:rFonts w:ascii="Inter" w:hAnsi="Inter" w:cs="Inter"/>
          <w:rFonts w:ascii="Inter" w:hAnsi="Inter"/>
          <w:b w:val="0"/>
          <w:i w:val="0"/>
          <w:color w:val="333333"/>
          <w:sz w:val="22"/>
        </w:rPr>
        <w:t>7 verticals with proprietary origination</w:t>
      </w:r>
    </w:p>
    <w:p>
      <w:pPr>
        <w:pStyle w:val="ListBullet"/>
        <w:pBdr>
          <w:left w:val="single" w:sz="32" w:space="10" w:color="C5A55A"/>
        </w:pBdr>
        <w:spacing w:line="312" w:lineRule="auto" w:after="60"/>
        <w:ind w:left="340"/>
      </w:pPr>
      <w:r>
        <w:rPr>
          <w:rFonts w:ascii="Inter" w:hAnsi="Inter" w:cs="Inter"/>
          <w:rFonts w:ascii="Inter" w:hAnsi="Inter"/>
          <w:b w:val="0"/>
          <w:i w:val="0"/>
          <w:color w:val="333333"/>
          <w:sz w:val="22"/>
        </w:rPr>
        <w:t>4 regions, institutional counterparties only</w:t>
      </w:r>
    </w:p>
    <w:p>
      <w:pPr>
        <w:pStyle w:val="ListBullet"/>
        <w:pBdr>
          <w:left w:val="single" w:sz="32" w:space="10" w:color="C5A55A"/>
        </w:pBdr>
        <w:spacing w:line="312" w:lineRule="auto" w:after="60"/>
        <w:ind w:left="340"/>
      </w:pPr>
      <w:r>
        <w:rPr>
          <w:rFonts w:ascii="Inter" w:hAnsi="Inter" w:cs="Inter"/>
          <w:rFonts w:ascii="Inter" w:hAnsi="Inter"/>
          <w:b w:val="0"/>
          <w:i w:val="0"/>
          <w:color w:val="333333"/>
          <w:sz w:val="22"/>
        </w:rPr>
        <w:t>12+ years institutional track record in private credit, project finance and infrastructure</w:t>
      </w:r>
    </w:p>
    <w:p>
      <w:pPr>
        <w:pBdr>
          <w:left w:val="single" w:sz="40" w:space="10" w:color="C5A55A"/>
        </w:pBdr>
        <w:spacing w:before="200" w:after="80"/>
      </w:pPr>
      <w:r>
        <w:rPr>
          <w:rFonts w:ascii="EB Garamond" w:hAnsi="EB Garamond" w:cs="EB Garamond"/>
          <w:rFonts w:ascii="EB Garamond" w:hAnsi="EB Garamond"/>
          <w:b/>
          <w:i w:val="0"/>
          <w:color w:val="000000"/>
          <w:sz w:val="28"/>
        </w:rPr>
        <w:t>Section 3 — Verticals (Card Grid)</w:t>
      </w:r>
    </w:p>
    <w:p>
      <w:pPr>
        <w:pBdr>
          <w:left w:val="single" w:sz="32" w:space="10" w:color="C5A55A"/>
        </w:pBdr>
        <w:spacing w:after="120" w:line="336" w:lineRule="auto"/>
        <w:jc w:val="left"/>
      </w:pPr>
      <w:r>
        <w:rPr>
          <w:rFonts w:ascii="Inter" w:hAnsi="Inter" w:cs="Inter"/>
          <w:rFonts w:ascii="Inter" w:hAnsi="Inter"/>
          <w:b w:val="0"/>
          <w:i w:val="0"/>
          <w:color w:val="333333"/>
          <w:sz w:val="22"/>
        </w:rPr>
        <w:t>Seven cards, each linking to sector page:</w:t>
      </w:r>
    </w:p>
    <w:p>
      <w:pPr>
        <w:pStyle w:val="ListBullet"/>
        <w:pBdr>
          <w:left w:val="single" w:sz="32" w:space="10" w:color="C5A55A"/>
        </w:pBdr>
        <w:spacing w:line="312" w:lineRule="auto" w:after="60"/>
        <w:ind w:left="340"/>
      </w:pPr>
      <w:r>
        <w:rPr>
          <w:rFonts w:ascii="Inter" w:hAnsi="Inter" w:cs="Inter"/>
          <w:rFonts w:ascii="Inter" w:hAnsi="Inter"/>
          <w:b w:val="0"/>
          <w:i w:val="0"/>
          <w:color w:val="333333"/>
          <w:sz w:val="22"/>
        </w:rPr>
        <w:t>Energy Transition</w:t>
      </w:r>
    </w:p>
    <w:p>
      <w:pPr>
        <w:pStyle w:val="ListBullet"/>
        <w:pBdr>
          <w:left w:val="single" w:sz="32" w:space="10" w:color="C5A55A"/>
        </w:pBdr>
        <w:spacing w:line="312" w:lineRule="auto" w:after="60"/>
        <w:ind w:left="340"/>
      </w:pPr>
      <w:r>
        <w:rPr>
          <w:rFonts w:ascii="Inter" w:hAnsi="Inter" w:cs="Inter"/>
          <w:rFonts w:ascii="Inter" w:hAnsi="Inter"/>
          <w:b w:val="0"/>
          <w:i w:val="0"/>
          <w:color w:val="333333"/>
          <w:sz w:val="22"/>
        </w:rPr>
        <w:t>Digital Infrastructure</w:t>
      </w:r>
    </w:p>
    <w:p>
      <w:pPr>
        <w:pStyle w:val="ListBullet"/>
        <w:pBdr>
          <w:left w:val="single" w:sz="32" w:space="10" w:color="C5A55A"/>
        </w:pBdr>
        <w:spacing w:line="312" w:lineRule="auto" w:after="60"/>
        <w:ind w:left="340"/>
      </w:pPr>
      <w:r>
        <w:rPr>
          <w:rFonts w:ascii="Inter" w:hAnsi="Inter" w:cs="Inter"/>
          <w:rFonts w:ascii="Inter" w:hAnsi="Inter"/>
          <w:b w:val="0"/>
          <w:i w:val="0"/>
          <w:color w:val="333333"/>
          <w:sz w:val="22"/>
        </w:rPr>
        <w:t>Private Credit</w:t>
      </w:r>
    </w:p>
    <w:p>
      <w:pPr>
        <w:pStyle w:val="ListBullet"/>
        <w:pBdr>
          <w:left w:val="single" w:sz="32" w:space="10" w:color="C5A55A"/>
        </w:pBdr>
        <w:spacing w:line="312" w:lineRule="auto" w:after="60"/>
        <w:ind w:left="340"/>
      </w:pPr>
      <w:r>
        <w:rPr>
          <w:rFonts w:ascii="Inter" w:hAnsi="Inter" w:cs="Inter"/>
          <w:rFonts w:ascii="Inter" w:hAnsi="Inter"/>
          <w:b w:val="0"/>
          <w:i w:val="0"/>
          <w:color w:val="333333"/>
          <w:sz w:val="22"/>
        </w:rPr>
        <w:t>Critical Minerals</w:t>
      </w:r>
    </w:p>
    <w:p>
      <w:pPr>
        <w:pStyle w:val="ListBullet"/>
        <w:pBdr>
          <w:left w:val="single" w:sz="32" w:space="10" w:color="C5A55A"/>
        </w:pBdr>
        <w:spacing w:line="312" w:lineRule="auto" w:after="60"/>
        <w:ind w:left="340"/>
      </w:pPr>
      <w:r>
        <w:rPr>
          <w:rFonts w:ascii="Inter" w:hAnsi="Inter" w:cs="Inter"/>
          <w:rFonts w:ascii="Inter" w:hAnsi="Inter"/>
          <w:b w:val="0"/>
          <w:i w:val="0"/>
          <w:color w:val="333333"/>
          <w:sz w:val="22"/>
        </w:rPr>
        <w:t>Impact Real Assets</w:t>
      </w:r>
    </w:p>
    <w:p>
      <w:pPr>
        <w:pStyle w:val="ListBullet"/>
        <w:pBdr>
          <w:left w:val="single" w:sz="32" w:space="10" w:color="C5A55A"/>
        </w:pBdr>
        <w:spacing w:line="312" w:lineRule="auto" w:after="60"/>
        <w:ind w:left="340"/>
      </w:pPr>
      <w:r>
        <w:rPr>
          <w:rFonts w:ascii="Inter" w:hAnsi="Inter" w:cs="Inter"/>
          <w:rFonts w:ascii="Inter" w:hAnsi="Inter"/>
          <w:b w:val="0"/>
          <w:i w:val="0"/>
          <w:color w:val="333333"/>
          <w:sz w:val="22"/>
        </w:rPr>
        <w:t>Capital Markets (Green Bonds · Structured Notes)</w:t>
      </w:r>
    </w:p>
    <w:p>
      <w:pPr>
        <w:pStyle w:val="ListBullet"/>
        <w:pBdr>
          <w:left w:val="single" w:sz="32" w:space="10" w:color="C5A55A"/>
        </w:pBdr>
        <w:spacing w:line="312" w:lineRule="auto" w:after="60"/>
        <w:ind w:left="340"/>
      </w:pPr>
      <w:r>
        <w:rPr>
          <w:rFonts w:ascii="Inter" w:hAnsi="Inter" w:cs="Inter"/>
          <w:rFonts w:ascii="Inter" w:hAnsi="Inter"/>
          <w:b w:val="0"/>
          <w:i w:val="0"/>
          <w:color w:val="333333"/>
          <w:sz w:val="22"/>
        </w:rPr>
        <w:t>Strategic Capital / Diversified</w:t>
      </w:r>
    </w:p>
    <w:p>
      <w:pPr>
        <w:pBdr>
          <w:left w:val="single" w:sz="40" w:space="10" w:color="C5A55A"/>
        </w:pBdr>
        <w:spacing w:before="200" w:after="80"/>
      </w:pPr>
      <w:r>
        <w:rPr>
          <w:rFonts w:ascii="EB Garamond" w:hAnsi="EB Garamond" w:cs="EB Garamond"/>
          <w:rFonts w:ascii="EB Garamond" w:hAnsi="EB Garamond"/>
          <w:b/>
          <w:i w:val="0"/>
          <w:color w:val="000000"/>
          <w:sz w:val="28"/>
        </w:rPr>
        <w:t>Section 4 — What We Do in Three Lines</w:t>
      </w:r>
    </w:p>
    <w:p>
      <w:pPr>
        <w:pBdr>
          <w:left w:val="single" w:sz="32" w:space="10" w:color="C5A55A"/>
        </w:pBdr>
        <w:spacing w:after="120" w:line="336" w:lineRule="auto"/>
        <w:jc w:val="left"/>
      </w:pPr>
      <w:r>
        <w:rPr>
          <w:rFonts w:ascii="Inter" w:hAnsi="Inter" w:cs="Inter"/>
          <w:rFonts w:ascii="Inter" w:hAnsi="Inter"/>
          <w:b w:val="0"/>
          <w:i w:val="0"/>
          <w:color w:val="333333"/>
          <w:sz w:val="22"/>
        </w:rPr>
        <w:t>Three-column block, each with a vertical gold accent.</w:t>
      </w:r>
    </w:p>
    <w:p>
      <w:pPr>
        <w:pStyle w:val="ListBullet"/>
        <w:pBdr>
          <w:left w:val="single" w:sz="32" w:space="10" w:color="C5A55A"/>
        </w:pBdr>
        <w:spacing w:line="312" w:lineRule="auto" w:after="60"/>
        <w:ind w:left="340"/>
      </w:pPr>
      <w:r>
        <w:rPr>
          <w:rFonts w:ascii="Inter" w:hAnsi="Inter" w:cs="Inter"/>
          <w:rFonts w:ascii="Inter" w:hAnsi="Inter"/>
          <w:b/>
          <w:i w:val="0"/>
          <w:color w:val="333333"/>
          <w:sz w:val="22"/>
        </w:rPr>
        <w:t xml:space="preserve">Origination </w:t>
      </w:r>
      <w:r>
        <w:rPr>
          <w:rFonts w:ascii="Inter" w:hAnsi="Inter" w:cs="Inter"/>
          <w:rFonts w:ascii="Inter" w:hAnsi="Inter"/>
          <w:b w:val="0"/>
          <w:i w:val="0"/>
          <w:color w:val="333333"/>
          <w:sz w:val="22"/>
        </w:rPr>
        <w:t>Originate — Proprietary mandates with mid-teens IRR potential or 11–16% gross credit yield.</w:t>
      </w:r>
    </w:p>
    <w:p>
      <w:pPr>
        <w:pStyle w:val="ListBullet"/>
        <w:pBdr>
          <w:left w:val="single" w:sz="32" w:space="10" w:color="C5A55A"/>
        </w:pBdr>
        <w:spacing w:line="312" w:lineRule="auto" w:after="60"/>
        <w:ind w:left="340"/>
      </w:pPr>
      <w:r>
        <w:rPr>
          <w:rFonts w:ascii="Inter" w:hAnsi="Inter" w:cs="Inter"/>
          <w:rFonts w:ascii="Inter" w:hAnsi="Inter"/>
          <w:b/>
          <w:i w:val="0"/>
          <w:color w:val="333333"/>
          <w:sz w:val="22"/>
        </w:rPr>
        <w:t xml:space="preserve">Structuring </w:t>
      </w:r>
      <w:r>
        <w:rPr>
          <w:rFonts w:ascii="Inter" w:hAnsi="Inter" w:cs="Inter"/>
          <w:rFonts w:ascii="Inter" w:hAnsi="Inter"/>
          <w:b w:val="0"/>
          <w:i w:val="0"/>
          <w:color w:val="333333"/>
          <w:sz w:val="22"/>
        </w:rPr>
        <w:t>Structure — LMA/LSTA/ICMA/ILPA market-standard documentation. No off-market asymmetric risk transfer.</w:t>
      </w:r>
    </w:p>
    <w:p>
      <w:pPr>
        <w:pStyle w:val="ListBullet"/>
        <w:pBdr>
          <w:left w:val="single" w:sz="32" w:space="10" w:color="C5A55A"/>
        </w:pBdr>
        <w:spacing w:line="312" w:lineRule="auto" w:after="60"/>
        <w:ind w:left="340"/>
      </w:pPr>
      <w:r>
        <w:rPr>
          <w:rFonts w:ascii="Inter" w:hAnsi="Inter" w:cs="Inter"/>
          <w:rFonts w:ascii="Inter" w:hAnsi="Inter"/>
          <w:b/>
          <w:i w:val="0"/>
          <w:color w:val="333333"/>
          <w:sz w:val="22"/>
        </w:rPr>
        <w:t xml:space="preserve">Distribution </w:t>
      </w:r>
      <w:r>
        <w:rPr>
          <w:rFonts w:ascii="Inter" w:hAnsi="Inter" w:cs="Inter"/>
          <w:rFonts w:ascii="Inter" w:hAnsi="Inter"/>
          <w:b w:val="0"/>
          <w:i w:val="0"/>
          <w:color w:val="333333"/>
          <w:sz w:val="22"/>
        </w:rPr>
        <w:t>Distribute — Qualified institutional capital: family offices, credit funds, DFIs, sovereign-adjacent, ECA-backed lenders.</w:t>
      </w:r>
    </w:p>
    <w:p>
      <w:pPr>
        <w:pBdr>
          <w:left w:val="single" w:sz="40" w:space="10" w:color="C5A55A"/>
        </w:pBdr>
        <w:spacing w:before="200" w:after="80"/>
      </w:pPr>
      <w:r>
        <w:rPr>
          <w:rFonts w:ascii="EB Garamond" w:hAnsi="EB Garamond" w:cs="EB Garamond"/>
          <w:rFonts w:ascii="EB Garamond" w:hAnsi="EB Garamond"/>
          <w:b/>
          <w:i w:val="0"/>
          <w:color w:val="000000"/>
          <w:sz w:val="28"/>
        </w:rPr>
        <w:t>Section 5 — Thought Leadership (Latest)</w:t>
      </w:r>
    </w:p>
    <w:p>
      <w:pPr>
        <w:pBdr>
          <w:left w:val="single" w:sz="32" w:space="10" w:color="C5A55A"/>
        </w:pBdr>
        <w:spacing w:after="120" w:line="336" w:lineRule="auto"/>
        <w:jc w:val="left"/>
      </w:pPr>
      <w:r>
        <w:rPr>
          <w:rFonts w:ascii="Inter" w:hAnsi="Inter" w:cs="Inter"/>
          <w:rFonts w:ascii="Inter" w:hAnsi="Inter"/>
          <w:b w:val="0"/>
          <w:i w:val="0"/>
          <w:color w:val="333333"/>
          <w:sz w:val="22"/>
        </w:rPr>
        <w:t>Three-card grid linking to: latest Market Letter, latest sector perspective, latest deal anatomy.</w:t>
      </w:r>
    </w:p>
    <w:p>
      <w:pPr>
        <w:pBdr>
          <w:left w:val="single" w:sz="40" w:space="10" w:color="C5A55A"/>
        </w:pBdr>
        <w:spacing w:before="200" w:after="80"/>
      </w:pPr>
      <w:r>
        <w:rPr>
          <w:rFonts w:ascii="EB Garamond" w:hAnsi="EB Garamond" w:cs="EB Garamond"/>
          <w:rFonts w:ascii="EB Garamond" w:hAnsi="EB Garamond"/>
          <w:b/>
          <w:i w:val="0"/>
          <w:color w:val="000000"/>
          <w:sz w:val="28"/>
        </w:rPr>
        <w:t>Section 6 — Contact CTA</w:t>
      </w:r>
    </w:p>
    <w:p>
      <w:pPr>
        <w:pBdr>
          <w:left w:val="single" w:sz="32" w:space="10" w:color="C5A55A"/>
        </w:pBdr>
        <w:spacing w:before="160" w:after="40"/>
      </w:pPr>
      <w:r>
        <w:rPr>
          <w:rFonts w:ascii="Inter" w:hAnsi="Inter" w:cs="Inter"/>
          <w:rFonts w:ascii="Inter" w:hAnsi="Inter"/>
          <w:b/>
          <w:i w:val="0"/>
          <w:color w:val="333333"/>
          <w:sz w:val="24"/>
        </w:rPr>
        <w:t>H2</w:t>
      </w:r>
    </w:p>
    <w:p>
      <w:pPr>
        <w:pBdr>
          <w:left w:val="single" w:sz="32" w:space="10" w:color="C5A55A"/>
        </w:pBdr>
        <w:spacing w:after="120" w:line="336" w:lineRule="auto"/>
        <w:jc w:val="left"/>
      </w:pPr>
      <w:r>
        <w:rPr>
          <w:rFonts w:ascii="EB Garamond" w:hAnsi="EB Garamond" w:cs="EB Garamond"/>
          <w:rFonts w:ascii="EB Garamond" w:hAnsi="EB Garamond"/>
          <w:b/>
          <w:i w:val="0"/>
          <w:color w:val="333333"/>
          <w:sz w:val="32"/>
        </w:rPr>
        <w:t>Partner-to-partner conversations.</w:t>
      </w:r>
    </w:p>
    <w:p>
      <w:pPr>
        <w:pBdr>
          <w:left w:val="single" w:sz="32" w:space="10" w:color="C5A55A"/>
        </w:pBdr>
        <w:spacing w:before="160" w:after="40"/>
      </w:pPr>
      <w:r>
        <w:rPr>
          <w:rFonts w:ascii="Inter" w:hAnsi="Inter" w:cs="Inter"/>
          <w:rFonts w:ascii="Inter" w:hAnsi="Inter"/>
          <w:b/>
          <w:i w:val="0"/>
          <w:color w:val="333333"/>
          <w:sz w:val="24"/>
        </w:rPr>
        <w:t>Body</w:t>
      </w:r>
    </w:p>
    <w:p>
      <w:pPr>
        <w:pBdr>
          <w:left w:val="single" w:sz="32" w:space="10" w:color="C5A55A"/>
        </w:pBdr>
        <w:spacing w:after="120" w:line="336" w:lineRule="auto"/>
        <w:jc w:val="left"/>
      </w:pPr>
      <w:r>
        <w:rPr>
          <w:rFonts w:ascii="Inter" w:hAnsi="Inter" w:cs="Inter"/>
          <w:rFonts w:ascii="Inter" w:hAnsi="Inter"/>
          <w:b w:val="0"/>
          <w:i w:val="0"/>
          <w:color w:val="333333"/>
          <w:sz w:val="22"/>
        </w:rPr>
        <w:t>All engagement begins with a direct call. We do not publish fees or allocation terms. We do not respond to inbound capital-raise requests without a personal introduction or executed NDA. If that fits your process, we'd like to talk.</w:t>
      </w:r>
    </w:p>
    <w:p>
      <w:pPr>
        <w:pBdr>
          <w:left w:val="single" w:sz="32" w:space="10" w:color="C5A55A"/>
        </w:pBdr>
        <w:spacing w:after="120" w:line="336" w:lineRule="auto"/>
        <w:jc w:val="left"/>
      </w:pPr>
      <w:r>
        <w:rPr>
          <w:rFonts w:ascii="Inter" w:hAnsi="Inter" w:cs="Inter"/>
          <w:rFonts w:ascii="Inter" w:hAnsi="Inter"/>
          <w:b w:val="0"/>
          <w:i w:val="0"/>
          <w:color w:val="333333"/>
          <w:sz w:val="22"/>
        </w:rPr>
        <w:t>Button: Initiate Contact  →</w:t>
      </w:r>
    </w:p>
    <w:p>
      <w:r>
        <w:br w:type="page"/>
      </w:r>
    </w:p>
    <w:p>
      <w:pPr>
        <w:pBdr>
          <w:left w:val="single" w:sz="48" w:space="10" w:color="C5A55A"/>
        </w:pBdr>
        <w:spacing w:before="320" w:after="160"/>
      </w:pPr>
      <w:r>
        <w:rPr>
          <w:rFonts w:ascii="EB Garamond" w:hAnsi="EB Garamond" w:cs="EB Garamond"/>
          <w:rFonts w:ascii="EB Garamond" w:hAnsi="EB Garamond"/>
          <w:b/>
          <w:i w:val="0"/>
          <w:color w:val="000000"/>
          <w:sz w:val="36"/>
        </w:rPr>
        <w:t>PAGE 02  ·  ABOUT</w:t>
      </w:r>
    </w:p>
    <w:p>
      <w:pPr>
        <w:pBdr>
          <w:left w:val="single" w:sz="40" w:space="10" w:color="C5A55A"/>
        </w:pBdr>
        <w:spacing w:before="200" w:after="80"/>
      </w:pPr>
      <w:r>
        <w:rPr>
          <w:rFonts w:ascii="EB Garamond" w:hAnsi="EB Garamond" w:cs="EB Garamond"/>
          <w:rFonts w:ascii="EB Garamond" w:hAnsi="EB Garamond"/>
          <w:b/>
          <w:i w:val="0"/>
          <w:color w:val="000000"/>
          <w:sz w:val="28"/>
        </w:rPr>
        <w:t>SEO Brief</w:t>
      </w:r>
    </w:p>
    <w:p>
      <w:pPr>
        <w:pStyle w:val="ListBullet"/>
        <w:pBdr>
          <w:left w:val="single" w:sz="32" w:space="10" w:color="C5A55A"/>
        </w:pBdr>
        <w:spacing w:line="312" w:lineRule="auto" w:after="60"/>
        <w:ind w:left="340"/>
      </w:pPr>
      <w:r>
        <w:rPr>
          <w:rFonts w:ascii="Inter" w:hAnsi="Inter" w:cs="Inter"/>
          <w:rFonts w:ascii="Inter" w:hAnsi="Inter"/>
          <w:b w:val="0"/>
          <w:i w:val="0"/>
          <w:color w:val="333333"/>
          <w:sz w:val="22"/>
        </w:rPr>
        <w:t>Title: About — Ascension Capital Partners · Institutional Alternatives Advisory</w:t>
      </w:r>
    </w:p>
    <w:p>
      <w:pPr>
        <w:pStyle w:val="ListBullet"/>
        <w:pBdr>
          <w:left w:val="single" w:sz="32" w:space="10" w:color="C5A55A"/>
        </w:pBdr>
        <w:spacing w:line="312" w:lineRule="auto" w:after="60"/>
        <w:ind w:left="340"/>
      </w:pPr>
      <w:r>
        <w:rPr>
          <w:rFonts w:ascii="Inter" w:hAnsi="Inter" w:cs="Inter"/>
          <w:rFonts w:ascii="Inter" w:hAnsi="Inter"/>
          <w:b w:val="0"/>
          <w:i w:val="0"/>
          <w:color w:val="333333"/>
          <w:sz w:val="22"/>
        </w:rPr>
        <w:t>Meta: Principal-led institutional alternatives platform. Twelve-plus years of institutional experience, USD 10bn+ cumulative transactions, global coverage.</w:t>
      </w:r>
    </w:p>
    <w:p>
      <w:pPr>
        <w:pBdr>
          <w:left w:val="single" w:sz="40" w:space="10" w:color="C5A55A"/>
        </w:pBdr>
        <w:spacing w:before="200" w:after="80"/>
      </w:pPr>
      <w:r>
        <w:rPr>
          <w:rFonts w:ascii="EB Garamond" w:hAnsi="EB Garamond" w:cs="EB Garamond"/>
          <w:rFonts w:ascii="EB Garamond" w:hAnsi="EB Garamond"/>
          <w:b/>
          <w:i w:val="0"/>
          <w:color w:val="000000"/>
          <w:sz w:val="28"/>
        </w:rPr>
        <w:t>H1</w:t>
      </w:r>
    </w:p>
    <w:p>
      <w:pPr>
        <w:pBdr>
          <w:left w:val="single" w:sz="32" w:space="10" w:color="C5A55A"/>
        </w:pBdr>
        <w:spacing w:after="120" w:line="336" w:lineRule="auto"/>
        <w:jc w:val="left"/>
      </w:pPr>
      <w:r>
        <w:rPr>
          <w:rFonts w:ascii="EB Garamond" w:hAnsi="EB Garamond" w:cs="EB Garamond"/>
          <w:rFonts w:ascii="EB Garamond" w:hAnsi="EB Garamond"/>
          <w:b/>
          <w:i w:val="0"/>
          <w:color w:val="333333"/>
          <w:sz w:val="32"/>
        </w:rPr>
        <w:t>An institutional platform built for the transition economy.</w:t>
      </w:r>
    </w:p>
    <w:p>
      <w:pPr>
        <w:pBdr>
          <w:left w:val="single" w:sz="40" w:space="10" w:color="C5A55A"/>
        </w:pBdr>
        <w:spacing w:before="200" w:after="80"/>
      </w:pPr>
      <w:r>
        <w:rPr>
          <w:rFonts w:ascii="EB Garamond" w:hAnsi="EB Garamond" w:cs="EB Garamond"/>
          <w:rFonts w:ascii="EB Garamond" w:hAnsi="EB Garamond"/>
          <w:b/>
          <w:i w:val="0"/>
          <w:color w:val="000000"/>
          <w:sz w:val="28"/>
        </w:rPr>
        <w:t>Body</w:t>
      </w:r>
    </w:p>
    <w:p>
      <w:pPr>
        <w:pBdr>
          <w:left w:val="single" w:sz="32" w:space="10" w:color="C5A55A"/>
        </w:pBdr>
        <w:spacing w:after="120" w:line="336" w:lineRule="auto"/>
        <w:jc w:val="left"/>
      </w:pPr>
      <w:r>
        <w:rPr>
          <w:rFonts w:ascii="Inter" w:hAnsi="Inter" w:cs="Inter"/>
          <w:rFonts w:ascii="Inter" w:hAnsi="Inter"/>
          <w:b w:val="0"/>
          <w:i w:val="0"/>
          <w:color w:val="333333"/>
          <w:sz w:val="22"/>
        </w:rPr>
        <w:t>Ascension Capital Partners operates as a principal-led, fee-only, zero-capital institutional alternatives advisor. Our mandate is narrow and deliberate: originate, structure and syndicate institutional capital for sustainable real assets and transition infrastructure across APAC, EMEA, the Middle East and the Americas.</w:t>
      </w:r>
    </w:p>
    <w:p>
      <w:pPr>
        <w:pBdr>
          <w:left w:val="single" w:sz="32" w:space="10" w:color="C5A55A"/>
        </w:pBdr>
        <w:spacing w:after="120" w:line="336" w:lineRule="auto"/>
        <w:jc w:val="left"/>
      </w:pPr>
      <w:r>
        <w:rPr>
          <w:rFonts w:ascii="Inter" w:hAnsi="Inter" w:cs="Inter"/>
          <w:rFonts w:ascii="Inter" w:hAnsi="Inter"/>
          <w:b w:val="0"/>
          <w:i w:val="0"/>
          <w:color w:val="333333"/>
          <w:sz w:val="22"/>
        </w:rPr>
        <w:t>We operate with the discipline of an institutional investor, the documentation standards of a tier-1 investment bank, and the agility of a partnership. Every mandate is structured to LMA / LSTA credit standards, ICMA bond principles where labelled, and IFC Performance Standards where sovereign-adjacent. Every counterparty is qualified institutional. Every engagement is principal-led.</w:t>
      </w:r>
    </w:p>
    <w:p>
      <w:pPr>
        <w:pBdr>
          <w:left w:val="single" w:sz="32" w:space="10" w:color="C5A55A"/>
        </w:pBdr>
        <w:spacing w:after="120" w:line="336" w:lineRule="auto"/>
        <w:jc w:val="left"/>
      </w:pPr>
      <w:r>
        <w:rPr>
          <w:rFonts w:ascii="Inter" w:hAnsi="Inter" w:cs="Inter"/>
          <w:rFonts w:ascii="Inter" w:hAnsi="Inter"/>
          <w:b w:val="0"/>
          <w:i w:val="0"/>
          <w:color w:val="333333"/>
          <w:sz w:val="22"/>
        </w:rPr>
        <w:t>The firm was founded on the view that the binding constraint in institutional alternatives has moved from origination to execution velocity, and that a focused, principal-led platform operating at market-standard documentation grade can compete with — and often outpace — capital-first advisors operating across a broader footprint.</w:t>
      </w:r>
    </w:p>
    <w:p>
      <w:pPr>
        <w:pBdr>
          <w:left w:val="single" w:sz="40" w:space="10" w:color="C5A55A"/>
        </w:pBdr>
        <w:spacing w:before="200" w:after="80"/>
      </w:pPr>
      <w:r>
        <w:rPr>
          <w:rFonts w:ascii="EB Garamond" w:hAnsi="EB Garamond" w:cs="EB Garamond"/>
          <w:rFonts w:ascii="EB Garamond" w:hAnsi="EB Garamond"/>
          <w:b/>
          <w:i w:val="0"/>
          <w:color w:val="000000"/>
          <w:sz w:val="28"/>
        </w:rPr>
        <w:t>What We Are Not</w:t>
      </w:r>
    </w:p>
    <w:p>
      <w:pPr>
        <w:pStyle w:val="ListBullet"/>
        <w:pBdr>
          <w:left w:val="single" w:sz="32" w:space="10" w:color="C5A55A"/>
        </w:pBdr>
        <w:spacing w:line="312" w:lineRule="auto" w:after="60"/>
        <w:ind w:left="340"/>
      </w:pPr>
      <w:r>
        <w:rPr>
          <w:rFonts w:ascii="Inter" w:hAnsi="Inter" w:cs="Inter"/>
          <w:rFonts w:ascii="Inter" w:hAnsi="Inter"/>
          <w:b w:val="0"/>
          <w:i w:val="0"/>
          <w:color w:val="333333"/>
          <w:sz w:val="22"/>
        </w:rPr>
        <w:t>Not a fund manager. We do not manage pooled capital.</w:t>
      </w:r>
    </w:p>
    <w:p>
      <w:pPr>
        <w:pStyle w:val="ListBullet"/>
        <w:pBdr>
          <w:left w:val="single" w:sz="32" w:space="10" w:color="C5A55A"/>
        </w:pBdr>
        <w:spacing w:line="312" w:lineRule="auto" w:after="60"/>
        <w:ind w:left="340"/>
      </w:pPr>
      <w:r>
        <w:rPr>
          <w:rFonts w:ascii="Inter" w:hAnsi="Inter" w:cs="Inter"/>
          <w:rFonts w:ascii="Inter" w:hAnsi="Inter"/>
          <w:b w:val="0"/>
          <w:i w:val="0"/>
          <w:color w:val="333333"/>
          <w:sz w:val="22"/>
        </w:rPr>
        <w:t>Not a retail platform. We transact exclusively with qualified institutional counterparties.</w:t>
      </w:r>
    </w:p>
    <w:p>
      <w:pPr>
        <w:pStyle w:val="ListBullet"/>
        <w:pBdr>
          <w:left w:val="single" w:sz="32" w:space="10" w:color="C5A55A"/>
        </w:pBdr>
        <w:spacing w:line="312" w:lineRule="auto" w:after="60"/>
        <w:ind w:left="340"/>
      </w:pPr>
      <w:r>
        <w:rPr>
          <w:rFonts w:ascii="Inter" w:hAnsi="Inter" w:cs="Inter"/>
          <w:rFonts w:ascii="Inter" w:hAnsi="Inter"/>
          <w:b w:val="0"/>
          <w:i w:val="0"/>
          <w:color w:val="333333"/>
          <w:sz w:val="22"/>
        </w:rPr>
        <w:t>Not a generalist. We lead with impact, transition and real assets.</w:t>
      </w:r>
    </w:p>
    <w:p>
      <w:pPr>
        <w:pBdr>
          <w:left w:val="single" w:sz="40" w:space="10" w:color="C5A55A"/>
        </w:pBdr>
        <w:spacing w:before="200" w:after="80"/>
      </w:pPr>
      <w:r>
        <w:rPr>
          <w:rFonts w:ascii="EB Garamond" w:hAnsi="EB Garamond" w:cs="EB Garamond"/>
          <w:rFonts w:ascii="EB Garamond" w:hAnsi="EB Garamond"/>
          <w:b/>
          <w:i w:val="0"/>
          <w:color w:val="000000"/>
          <w:sz w:val="28"/>
        </w:rPr>
        <w:t>Leadership</w:t>
      </w:r>
    </w:p>
    <w:p>
      <w:pPr>
        <w:pBdr>
          <w:left w:val="single" w:sz="32" w:space="10" w:color="C5A55A"/>
        </w:pBdr>
        <w:spacing w:after="120" w:line="336" w:lineRule="auto"/>
        <w:jc w:val="left"/>
      </w:pPr>
      <w:r>
        <w:rPr>
          <w:rFonts w:ascii="Inter" w:hAnsi="Inter" w:cs="Inter"/>
          <w:rFonts w:ascii="Inter" w:hAnsi="Inter"/>
          <w:b w:val="0"/>
          <w:i w:val="0"/>
          <w:color w:val="333333"/>
          <w:sz w:val="22"/>
        </w:rPr>
        <w:t>Joshua Ting, Executive Managing Partner and Global Head of Alternatives &amp; Private Markets, leads origination, structuring and distribution across the platform. Twelve-plus years of institutional experience and USD 10bn+ cumulative transactions led across UK, US, Australia, Middle East and Europe.</w:t>
      </w:r>
    </w:p>
    <w:p>
      <w:pPr>
        <w:pBdr>
          <w:left w:val="single" w:sz="40" w:space="10" w:color="C5A55A"/>
        </w:pBdr>
        <w:spacing w:before="200" w:after="80"/>
      </w:pPr>
      <w:r>
        <w:rPr>
          <w:rFonts w:ascii="EB Garamond" w:hAnsi="EB Garamond" w:cs="EB Garamond"/>
          <w:rFonts w:ascii="EB Garamond" w:hAnsi="EB Garamond"/>
          <w:b/>
          <w:i w:val="0"/>
          <w:color w:val="000000"/>
          <w:sz w:val="28"/>
        </w:rPr>
        <w:t>Entity &amp; Regulatory</w:t>
      </w:r>
    </w:p>
    <w:p>
      <w:pPr>
        <w:pBdr>
          <w:left w:val="single" w:sz="32" w:space="10" w:color="C5A55A"/>
        </w:pBdr>
        <w:spacing w:after="120" w:line="336" w:lineRule="auto"/>
        <w:jc w:val="left"/>
      </w:pPr>
      <w:r>
        <w:rPr>
          <w:rFonts w:ascii="Inter" w:hAnsi="Inter" w:cs="Inter"/>
          <w:rFonts w:ascii="Inter" w:hAnsi="Inter"/>
          <w:b w:val="0"/>
          <w:i w:val="0"/>
          <w:color w:val="333333"/>
          <w:sz w:val="22"/>
        </w:rPr>
        <w:t>Ascension Capital Partners trades as APEX Consulting Partners Pty Ltd (ACN 674 649 417). Registered in New South Wales, Australia. Governing law applied to mandate documentation is principally England &amp; Wales with arbitration under the rules of the London Court of International Arbitration.</w:t>
      </w:r>
    </w:p>
    <w:p>
      <w:r>
        <w:br w:type="page"/>
      </w:r>
    </w:p>
    <w:p>
      <w:pPr>
        <w:pBdr>
          <w:left w:val="single" w:sz="48" w:space="10" w:color="C5A55A"/>
        </w:pBdr>
        <w:spacing w:before="320" w:after="160"/>
      </w:pPr>
      <w:r>
        <w:rPr>
          <w:rFonts w:ascii="EB Garamond" w:hAnsi="EB Garamond" w:cs="EB Garamond"/>
          <w:rFonts w:ascii="EB Garamond" w:hAnsi="EB Garamond"/>
          <w:b/>
          <w:i w:val="0"/>
          <w:color w:val="000000"/>
          <w:sz w:val="36"/>
        </w:rPr>
        <w:t>PAGE  ·  ENERGY TRANSITION</w:t>
      </w:r>
    </w:p>
    <w:p>
      <w:pPr>
        <w:pBdr>
          <w:left w:val="single" w:sz="40" w:space="10" w:color="C5A55A"/>
        </w:pBdr>
        <w:spacing w:before="200" w:after="80"/>
      </w:pPr>
      <w:r>
        <w:rPr>
          <w:rFonts w:ascii="EB Garamond" w:hAnsi="EB Garamond" w:cs="EB Garamond"/>
          <w:rFonts w:ascii="EB Garamond" w:hAnsi="EB Garamond"/>
          <w:b/>
          <w:i w:val="0"/>
          <w:color w:val="000000"/>
          <w:sz w:val="28"/>
        </w:rPr>
        <w:t>SEO Brief</w:t>
      </w:r>
    </w:p>
    <w:p>
      <w:pPr>
        <w:pStyle w:val="ListBullet"/>
        <w:pBdr>
          <w:left w:val="single" w:sz="32" w:space="10" w:color="C5A55A"/>
        </w:pBdr>
        <w:spacing w:line="312" w:lineRule="auto" w:after="60"/>
        <w:ind w:left="340"/>
      </w:pPr>
      <w:r>
        <w:rPr>
          <w:rFonts w:ascii="Inter" w:hAnsi="Inter" w:cs="Inter"/>
          <w:rFonts w:ascii="Inter" w:hAnsi="Inter"/>
          <w:b w:val="0"/>
          <w:i w:val="0"/>
          <w:color w:val="333333"/>
          <w:sz w:val="22"/>
        </w:rPr>
        <w:t>Title: Energy Transition — Ascension Capital Partners</w:t>
      </w:r>
    </w:p>
    <w:p>
      <w:pPr>
        <w:pStyle w:val="ListBullet"/>
        <w:pBdr>
          <w:left w:val="single" w:sz="32" w:space="10" w:color="C5A55A"/>
        </w:pBdr>
        <w:spacing w:line="312" w:lineRule="auto" w:after="60"/>
        <w:ind w:left="340"/>
      </w:pPr>
      <w:r>
        <w:rPr>
          <w:rFonts w:ascii="Inter" w:hAnsi="Inter" w:cs="Inter"/>
          <w:rFonts w:ascii="Inter" w:hAnsi="Inter"/>
          <w:b w:val="0"/>
          <w:i w:val="0"/>
          <w:color w:val="333333"/>
          <w:sz w:val="22"/>
        </w:rPr>
        <w:t xml:space="preserve">Meta: Institutional capital deployed across grid-connected clean energy, storage and decarbonisation infrastructure with long-dated contracted cashflows. Senior </w:t>
      </w:r>
    </w:p>
    <w:p>
      <w:pPr>
        <w:pBdr>
          <w:left w:val="single" w:sz="40" w:space="10" w:color="C5A55A"/>
        </w:pBdr>
        <w:spacing w:before="200" w:after="80"/>
      </w:pPr>
      <w:r>
        <w:rPr>
          <w:rFonts w:ascii="EB Garamond" w:hAnsi="EB Garamond" w:cs="EB Garamond"/>
          <w:rFonts w:ascii="EB Garamond" w:hAnsi="EB Garamond"/>
          <w:b/>
          <w:i w:val="0"/>
          <w:color w:val="000000"/>
          <w:sz w:val="28"/>
        </w:rPr>
        <w:t>H1</w:t>
      </w:r>
    </w:p>
    <w:p>
      <w:pPr>
        <w:pBdr>
          <w:left w:val="single" w:sz="32" w:space="10" w:color="C5A55A"/>
        </w:pBdr>
        <w:spacing w:after="120" w:line="336" w:lineRule="auto"/>
        <w:jc w:val="left"/>
      </w:pPr>
      <w:r>
        <w:rPr>
          <w:rFonts w:ascii="EB Garamond" w:hAnsi="EB Garamond" w:cs="EB Garamond"/>
          <w:rFonts w:ascii="EB Garamond" w:hAnsi="EB Garamond"/>
          <w:b/>
          <w:i w:val="0"/>
          <w:color w:val="333333"/>
          <w:sz w:val="28"/>
        </w:rPr>
        <w:t>Energy Transition · institutional capital, institutionally papered.</w:t>
      </w:r>
    </w:p>
    <w:p>
      <w:pPr>
        <w:pBdr>
          <w:left w:val="single" w:sz="40" w:space="10" w:color="C5A55A"/>
        </w:pBdr>
        <w:spacing w:before="200" w:after="80"/>
      </w:pPr>
      <w:r>
        <w:rPr>
          <w:rFonts w:ascii="EB Garamond" w:hAnsi="EB Garamond" w:cs="EB Garamond"/>
          <w:rFonts w:ascii="EB Garamond" w:hAnsi="EB Garamond"/>
          <w:b/>
          <w:i w:val="0"/>
          <w:color w:val="000000"/>
          <w:sz w:val="28"/>
        </w:rPr>
        <w:t>Body</w:t>
      </w:r>
    </w:p>
    <w:p>
      <w:pPr>
        <w:pBdr>
          <w:left w:val="single" w:sz="32" w:space="10" w:color="C5A55A"/>
        </w:pBdr>
        <w:spacing w:after="120" w:line="360" w:lineRule="auto"/>
        <w:jc w:val="left"/>
      </w:pPr>
      <w:r>
        <w:rPr>
          <w:rFonts w:ascii="Inter" w:hAnsi="Inter" w:cs="Inter"/>
          <w:rFonts w:ascii="Inter" w:hAnsi="Inter"/>
          <w:b w:val="0"/>
          <w:i/>
          <w:color w:val="333333"/>
          <w:sz w:val="22"/>
        </w:rPr>
        <w:t>Institutional capital deployed across grid-connected clean energy, storage and decarbonisation infrastructure with long-dated contracted cashflows. Senior secured, mezzanine and equity across solar, wind, BESS, geothermal, CHP and CCU. Ticket size USD 5m – USD 200m.</w:t>
      </w:r>
    </w:p>
    <w:p>
      <w:pPr>
        <w:pBdr>
          <w:left w:val="single" w:sz="40" w:space="10" w:color="C5A55A"/>
        </w:pBdr>
        <w:spacing w:before="200" w:after="80"/>
      </w:pPr>
      <w:r>
        <w:rPr>
          <w:rFonts w:ascii="EB Garamond" w:hAnsi="EB Garamond" w:cs="EB Garamond"/>
          <w:rFonts w:ascii="EB Garamond" w:hAnsi="EB Garamond"/>
          <w:b/>
          <w:i w:val="0"/>
          <w:color w:val="000000"/>
          <w:sz w:val="28"/>
        </w:rPr>
        <w:t>What We Screen For</w:t>
      </w:r>
    </w:p>
    <w:p>
      <w:pPr>
        <w:pStyle w:val="ListBullet"/>
        <w:pBdr>
          <w:left w:val="single" w:sz="32" w:space="10" w:color="C5A55A"/>
        </w:pBdr>
        <w:spacing w:line="312" w:lineRule="auto" w:after="60"/>
        <w:ind w:left="340"/>
      </w:pPr>
      <w:r>
        <w:rPr>
          <w:rFonts w:ascii="Inter" w:hAnsi="Inter" w:cs="Inter"/>
          <w:rFonts w:ascii="Inter" w:hAnsi="Inter"/>
          <w:b w:val="0"/>
          <w:i w:val="0"/>
          <w:color w:val="333333"/>
          <w:sz w:val="22"/>
        </w:rPr>
        <w:t>[Criterion 1 specific to this vertical]</w:t>
      </w:r>
    </w:p>
    <w:p>
      <w:pPr>
        <w:pStyle w:val="ListBullet"/>
        <w:pBdr>
          <w:left w:val="single" w:sz="32" w:space="10" w:color="C5A55A"/>
        </w:pBdr>
        <w:spacing w:line="312" w:lineRule="auto" w:after="60"/>
        <w:ind w:left="340"/>
      </w:pPr>
      <w:r>
        <w:rPr>
          <w:rFonts w:ascii="Inter" w:hAnsi="Inter" w:cs="Inter"/>
          <w:rFonts w:ascii="Inter" w:hAnsi="Inter"/>
          <w:b w:val="0"/>
          <w:i w:val="0"/>
          <w:color w:val="333333"/>
          <w:sz w:val="22"/>
        </w:rPr>
        <w:t>[Criterion 2]</w:t>
      </w:r>
    </w:p>
    <w:p>
      <w:pPr>
        <w:pStyle w:val="ListBullet"/>
        <w:pBdr>
          <w:left w:val="single" w:sz="32" w:space="10" w:color="C5A55A"/>
        </w:pBdr>
        <w:spacing w:line="312" w:lineRule="auto" w:after="60"/>
        <w:ind w:left="340"/>
      </w:pPr>
      <w:r>
        <w:rPr>
          <w:rFonts w:ascii="Inter" w:hAnsi="Inter" w:cs="Inter"/>
          <w:rFonts w:ascii="Inter" w:hAnsi="Inter"/>
          <w:b w:val="0"/>
          <w:i w:val="0"/>
          <w:color w:val="333333"/>
          <w:sz w:val="22"/>
        </w:rPr>
        <w:t>[Criterion 3]</w:t>
      </w:r>
    </w:p>
    <w:p>
      <w:pPr>
        <w:pBdr>
          <w:left w:val="single" w:sz="40" w:space="10" w:color="C5A55A"/>
        </w:pBdr>
        <w:spacing w:before="200" w:after="80"/>
      </w:pPr>
      <w:r>
        <w:rPr>
          <w:rFonts w:ascii="EB Garamond" w:hAnsi="EB Garamond" w:cs="EB Garamond"/>
          <w:rFonts w:ascii="EB Garamond" w:hAnsi="EB Garamond"/>
          <w:b/>
          <w:i w:val="0"/>
          <w:color w:val="000000"/>
          <w:sz w:val="28"/>
        </w:rPr>
        <w:t>How to Engage</w:t>
      </w:r>
    </w:p>
    <w:p>
      <w:pPr>
        <w:pBdr>
          <w:left w:val="single" w:sz="32" w:space="10" w:color="C5A55A"/>
        </w:pBdr>
        <w:spacing w:after="120" w:line="336" w:lineRule="auto"/>
        <w:jc w:val="left"/>
      </w:pPr>
      <w:r>
        <w:rPr>
          <w:rFonts w:ascii="Inter" w:hAnsi="Inter" w:cs="Inter"/>
          <w:rFonts w:ascii="Inter" w:hAnsi="Inter"/>
          <w:b w:val="0"/>
          <w:i w:val="0"/>
          <w:color w:val="333333"/>
          <w:sz w:val="22"/>
        </w:rPr>
        <w:t>Initiate contact directly. We respond within 48 hours on qualified enquiries.</w:t>
      </w:r>
    </w:p>
    <w:p>
      <w:r>
        <w:br w:type="page"/>
      </w:r>
    </w:p>
    <w:p>
      <w:pPr>
        <w:pBdr>
          <w:left w:val="single" w:sz="48" w:space="10" w:color="C5A55A"/>
        </w:pBdr>
        <w:spacing w:before="320" w:after="160"/>
      </w:pPr>
      <w:r>
        <w:rPr>
          <w:rFonts w:ascii="EB Garamond" w:hAnsi="EB Garamond" w:cs="EB Garamond"/>
          <w:rFonts w:ascii="EB Garamond" w:hAnsi="EB Garamond"/>
          <w:b/>
          <w:i w:val="0"/>
          <w:color w:val="000000"/>
          <w:sz w:val="36"/>
        </w:rPr>
        <w:t>PAGE  ·  DIGITAL INFRASTRUCTURE</w:t>
      </w:r>
    </w:p>
    <w:p>
      <w:pPr>
        <w:pBdr>
          <w:left w:val="single" w:sz="40" w:space="10" w:color="C5A55A"/>
        </w:pBdr>
        <w:spacing w:before="200" w:after="80"/>
      </w:pPr>
      <w:r>
        <w:rPr>
          <w:rFonts w:ascii="EB Garamond" w:hAnsi="EB Garamond" w:cs="EB Garamond"/>
          <w:rFonts w:ascii="EB Garamond" w:hAnsi="EB Garamond"/>
          <w:b/>
          <w:i w:val="0"/>
          <w:color w:val="000000"/>
          <w:sz w:val="28"/>
        </w:rPr>
        <w:t>SEO Brief</w:t>
      </w:r>
    </w:p>
    <w:p>
      <w:pPr>
        <w:pStyle w:val="ListBullet"/>
        <w:pBdr>
          <w:left w:val="single" w:sz="32" w:space="10" w:color="C5A55A"/>
        </w:pBdr>
        <w:spacing w:line="312" w:lineRule="auto" w:after="60"/>
        <w:ind w:left="340"/>
      </w:pPr>
      <w:r>
        <w:rPr>
          <w:rFonts w:ascii="Inter" w:hAnsi="Inter" w:cs="Inter"/>
          <w:rFonts w:ascii="Inter" w:hAnsi="Inter"/>
          <w:b w:val="0"/>
          <w:i w:val="0"/>
          <w:color w:val="333333"/>
          <w:sz w:val="22"/>
        </w:rPr>
        <w:t>Title: Digital Infrastructure — Ascension Capital Partners</w:t>
      </w:r>
    </w:p>
    <w:p>
      <w:pPr>
        <w:pStyle w:val="ListBullet"/>
        <w:pBdr>
          <w:left w:val="single" w:sz="32" w:space="10" w:color="C5A55A"/>
        </w:pBdr>
        <w:spacing w:line="312" w:lineRule="auto" w:after="60"/>
        <w:ind w:left="340"/>
      </w:pPr>
      <w:r>
        <w:rPr>
          <w:rFonts w:ascii="Inter" w:hAnsi="Inter" w:cs="Inter"/>
          <w:rFonts w:ascii="Inter" w:hAnsi="Inter"/>
          <w:b w:val="0"/>
          <w:i w:val="0"/>
          <w:color w:val="333333"/>
          <w:sz w:val="22"/>
        </w:rPr>
        <w:t>Meta: Capital formation for AI-ready data centre and cloud infrastructure. Equity, senior debt and ABL facilities for greenfield, brownfield-conversion and modul</w:t>
      </w:r>
    </w:p>
    <w:p>
      <w:pPr>
        <w:pBdr>
          <w:left w:val="single" w:sz="40" w:space="10" w:color="C5A55A"/>
        </w:pBdr>
        <w:spacing w:before="200" w:after="80"/>
      </w:pPr>
      <w:r>
        <w:rPr>
          <w:rFonts w:ascii="EB Garamond" w:hAnsi="EB Garamond" w:cs="EB Garamond"/>
          <w:rFonts w:ascii="EB Garamond" w:hAnsi="EB Garamond"/>
          <w:b/>
          <w:i w:val="0"/>
          <w:color w:val="000000"/>
          <w:sz w:val="28"/>
        </w:rPr>
        <w:t>H1</w:t>
      </w:r>
    </w:p>
    <w:p>
      <w:pPr>
        <w:pBdr>
          <w:left w:val="single" w:sz="32" w:space="10" w:color="C5A55A"/>
        </w:pBdr>
        <w:spacing w:after="120" w:line="336" w:lineRule="auto"/>
        <w:jc w:val="left"/>
      </w:pPr>
      <w:r>
        <w:rPr>
          <w:rFonts w:ascii="EB Garamond" w:hAnsi="EB Garamond" w:cs="EB Garamond"/>
          <w:rFonts w:ascii="EB Garamond" w:hAnsi="EB Garamond"/>
          <w:b/>
          <w:i w:val="0"/>
          <w:color w:val="333333"/>
          <w:sz w:val="28"/>
        </w:rPr>
        <w:t>Digital Infrastructure · institutional capital, institutionally papered.</w:t>
      </w:r>
    </w:p>
    <w:p>
      <w:pPr>
        <w:pBdr>
          <w:left w:val="single" w:sz="40" w:space="10" w:color="C5A55A"/>
        </w:pBdr>
        <w:spacing w:before="200" w:after="80"/>
      </w:pPr>
      <w:r>
        <w:rPr>
          <w:rFonts w:ascii="EB Garamond" w:hAnsi="EB Garamond" w:cs="EB Garamond"/>
          <w:rFonts w:ascii="EB Garamond" w:hAnsi="EB Garamond"/>
          <w:b/>
          <w:i w:val="0"/>
          <w:color w:val="000000"/>
          <w:sz w:val="28"/>
        </w:rPr>
        <w:t>Body</w:t>
      </w:r>
    </w:p>
    <w:p>
      <w:pPr>
        <w:pBdr>
          <w:left w:val="single" w:sz="32" w:space="10" w:color="C5A55A"/>
        </w:pBdr>
        <w:spacing w:after="120" w:line="360" w:lineRule="auto"/>
        <w:jc w:val="left"/>
      </w:pPr>
      <w:r>
        <w:rPr>
          <w:rFonts w:ascii="Inter" w:hAnsi="Inter" w:cs="Inter"/>
          <w:rFonts w:ascii="Inter" w:hAnsi="Inter"/>
          <w:b w:val="0"/>
          <w:i/>
          <w:color w:val="333333"/>
          <w:sz w:val="22"/>
        </w:rPr>
        <w:t>Capital formation for AI-ready data centre and cloud infrastructure. Equity, senior debt and ABL facilities for greenfield, brownfield-conversion and modular DC platforms. Ticket size USD 20m – USD 1bn+. Power-first underwriting, interconnect certainty, tenant-agnostic optionality, real-asset security.</w:t>
      </w:r>
    </w:p>
    <w:p>
      <w:pPr>
        <w:pBdr>
          <w:left w:val="single" w:sz="40" w:space="10" w:color="C5A55A"/>
        </w:pBdr>
        <w:spacing w:before="200" w:after="80"/>
      </w:pPr>
      <w:r>
        <w:rPr>
          <w:rFonts w:ascii="EB Garamond" w:hAnsi="EB Garamond" w:cs="EB Garamond"/>
          <w:rFonts w:ascii="EB Garamond" w:hAnsi="EB Garamond"/>
          <w:b/>
          <w:i w:val="0"/>
          <w:color w:val="000000"/>
          <w:sz w:val="28"/>
        </w:rPr>
        <w:t>What We Screen For</w:t>
      </w:r>
    </w:p>
    <w:p>
      <w:pPr>
        <w:pStyle w:val="ListBullet"/>
        <w:pBdr>
          <w:left w:val="single" w:sz="32" w:space="10" w:color="C5A55A"/>
        </w:pBdr>
        <w:spacing w:line="312" w:lineRule="auto" w:after="60"/>
        <w:ind w:left="340"/>
      </w:pPr>
      <w:r>
        <w:rPr>
          <w:rFonts w:ascii="Inter" w:hAnsi="Inter" w:cs="Inter"/>
          <w:rFonts w:ascii="Inter" w:hAnsi="Inter"/>
          <w:b w:val="0"/>
          <w:i w:val="0"/>
          <w:color w:val="333333"/>
          <w:sz w:val="22"/>
        </w:rPr>
        <w:t>[Criterion 1 specific to this vertical]</w:t>
      </w:r>
    </w:p>
    <w:p>
      <w:pPr>
        <w:pStyle w:val="ListBullet"/>
        <w:pBdr>
          <w:left w:val="single" w:sz="32" w:space="10" w:color="C5A55A"/>
        </w:pBdr>
        <w:spacing w:line="312" w:lineRule="auto" w:after="60"/>
        <w:ind w:left="340"/>
      </w:pPr>
      <w:r>
        <w:rPr>
          <w:rFonts w:ascii="Inter" w:hAnsi="Inter" w:cs="Inter"/>
          <w:rFonts w:ascii="Inter" w:hAnsi="Inter"/>
          <w:b w:val="0"/>
          <w:i w:val="0"/>
          <w:color w:val="333333"/>
          <w:sz w:val="22"/>
        </w:rPr>
        <w:t>[Criterion 2]</w:t>
      </w:r>
    </w:p>
    <w:p>
      <w:pPr>
        <w:pStyle w:val="ListBullet"/>
        <w:pBdr>
          <w:left w:val="single" w:sz="32" w:space="10" w:color="C5A55A"/>
        </w:pBdr>
        <w:spacing w:line="312" w:lineRule="auto" w:after="60"/>
        <w:ind w:left="340"/>
      </w:pPr>
      <w:r>
        <w:rPr>
          <w:rFonts w:ascii="Inter" w:hAnsi="Inter" w:cs="Inter"/>
          <w:rFonts w:ascii="Inter" w:hAnsi="Inter"/>
          <w:b w:val="0"/>
          <w:i w:val="0"/>
          <w:color w:val="333333"/>
          <w:sz w:val="22"/>
        </w:rPr>
        <w:t>[Criterion 3]</w:t>
      </w:r>
    </w:p>
    <w:p>
      <w:pPr>
        <w:pBdr>
          <w:left w:val="single" w:sz="40" w:space="10" w:color="C5A55A"/>
        </w:pBdr>
        <w:spacing w:before="200" w:after="80"/>
      </w:pPr>
      <w:r>
        <w:rPr>
          <w:rFonts w:ascii="EB Garamond" w:hAnsi="EB Garamond" w:cs="EB Garamond"/>
          <w:rFonts w:ascii="EB Garamond" w:hAnsi="EB Garamond"/>
          <w:b/>
          <w:i w:val="0"/>
          <w:color w:val="000000"/>
          <w:sz w:val="28"/>
        </w:rPr>
        <w:t>How to Engage</w:t>
      </w:r>
    </w:p>
    <w:p>
      <w:pPr>
        <w:pBdr>
          <w:left w:val="single" w:sz="32" w:space="10" w:color="C5A55A"/>
        </w:pBdr>
        <w:spacing w:after="120" w:line="336" w:lineRule="auto"/>
        <w:jc w:val="left"/>
      </w:pPr>
      <w:r>
        <w:rPr>
          <w:rFonts w:ascii="Inter" w:hAnsi="Inter" w:cs="Inter"/>
          <w:rFonts w:ascii="Inter" w:hAnsi="Inter"/>
          <w:b w:val="0"/>
          <w:i w:val="0"/>
          <w:color w:val="333333"/>
          <w:sz w:val="22"/>
        </w:rPr>
        <w:t>Initiate contact directly. We respond within 48 hours on qualified enquiries.</w:t>
      </w:r>
    </w:p>
    <w:p>
      <w:r>
        <w:br w:type="page"/>
      </w:r>
    </w:p>
    <w:p>
      <w:pPr>
        <w:pBdr>
          <w:left w:val="single" w:sz="48" w:space="10" w:color="C5A55A"/>
        </w:pBdr>
        <w:spacing w:before="320" w:after="160"/>
      </w:pPr>
      <w:r>
        <w:rPr>
          <w:rFonts w:ascii="EB Garamond" w:hAnsi="EB Garamond" w:cs="EB Garamond"/>
          <w:rFonts w:ascii="EB Garamond" w:hAnsi="EB Garamond"/>
          <w:b/>
          <w:i w:val="0"/>
          <w:color w:val="000000"/>
          <w:sz w:val="36"/>
        </w:rPr>
        <w:t>PAGE  ·  PRIVATE CREDIT</w:t>
      </w:r>
    </w:p>
    <w:p>
      <w:pPr>
        <w:pBdr>
          <w:left w:val="single" w:sz="40" w:space="10" w:color="C5A55A"/>
        </w:pBdr>
        <w:spacing w:before="200" w:after="80"/>
      </w:pPr>
      <w:r>
        <w:rPr>
          <w:rFonts w:ascii="EB Garamond" w:hAnsi="EB Garamond" w:cs="EB Garamond"/>
          <w:rFonts w:ascii="EB Garamond" w:hAnsi="EB Garamond"/>
          <w:b/>
          <w:i w:val="0"/>
          <w:color w:val="000000"/>
          <w:sz w:val="28"/>
        </w:rPr>
        <w:t>SEO Brief</w:t>
      </w:r>
    </w:p>
    <w:p>
      <w:pPr>
        <w:pStyle w:val="ListBullet"/>
        <w:pBdr>
          <w:left w:val="single" w:sz="32" w:space="10" w:color="C5A55A"/>
        </w:pBdr>
        <w:spacing w:line="312" w:lineRule="auto" w:after="60"/>
        <w:ind w:left="340"/>
      </w:pPr>
      <w:r>
        <w:rPr>
          <w:rFonts w:ascii="Inter" w:hAnsi="Inter" w:cs="Inter"/>
          <w:rFonts w:ascii="Inter" w:hAnsi="Inter"/>
          <w:b w:val="0"/>
          <w:i w:val="0"/>
          <w:color w:val="333333"/>
          <w:sz w:val="22"/>
        </w:rPr>
        <w:t>Title: Private Credit — Ascension Capital Partners</w:t>
      </w:r>
    </w:p>
    <w:p>
      <w:pPr>
        <w:pStyle w:val="ListBullet"/>
        <w:pBdr>
          <w:left w:val="single" w:sz="32" w:space="10" w:color="C5A55A"/>
        </w:pBdr>
        <w:spacing w:line="312" w:lineRule="auto" w:after="60"/>
        <w:ind w:left="340"/>
      </w:pPr>
      <w:r>
        <w:rPr>
          <w:rFonts w:ascii="Inter" w:hAnsi="Inter" w:cs="Inter"/>
          <w:rFonts w:ascii="Inter" w:hAnsi="Inter"/>
          <w:b w:val="0"/>
          <w:i w:val="0"/>
          <w:color w:val="333333"/>
          <w:sz w:val="22"/>
        </w:rPr>
        <w:t>Meta: Institutional private credit with first-lien security across renewables, energy, digital infrastructure and real assets. LMA/LSTA-standard documentation. B</w:t>
      </w:r>
    </w:p>
    <w:p>
      <w:pPr>
        <w:pBdr>
          <w:left w:val="single" w:sz="40" w:space="10" w:color="C5A55A"/>
        </w:pBdr>
        <w:spacing w:before="200" w:after="80"/>
      </w:pPr>
      <w:r>
        <w:rPr>
          <w:rFonts w:ascii="EB Garamond" w:hAnsi="EB Garamond" w:cs="EB Garamond"/>
          <w:rFonts w:ascii="EB Garamond" w:hAnsi="EB Garamond"/>
          <w:b/>
          <w:i w:val="0"/>
          <w:color w:val="000000"/>
          <w:sz w:val="28"/>
        </w:rPr>
        <w:t>H1</w:t>
      </w:r>
    </w:p>
    <w:p>
      <w:pPr>
        <w:pBdr>
          <w:left w:val="single" w:sz="32" w:space="10" w:color="C5A55A"/>
        </w:pBdr>
        <w:spacing w:after="120" w:line="336" w:lineRule="auto"/>
        <w:jc w:val="left"/>
      </w:pPr>
      <w:r>
        <w:rPr>
          <w:rFonts w:ascii="EB Garamond" w:hAnsi="EB Garamond" w:cs="EB Garamond"/>
          <w:rFonts w:ascii="EB Garamond" w:hAnsi="EB Garamond"/>
          <w:b/>
          <w:i w:val="0"/>
          <w:color w:val="333333"/>
          <w:sz w:val="28"/>
        </w:rPr>
        <w:t>Private Credit · institutional capital, institutionally papered.</w:t>
      </w:r>
    </w:p>
    <w:p>
      <w:pPr>
        <w:pBdr>
          <w:left w:val="single" w:sz="40" w:space="10" w:color="C5A55A"/>
        </w:pBdr>
        <w:spacing w:before="200" w:after="80"/>
      </w:pPr>
      <w:r>
        <w:rPr>
          <w:rFonts w:ascii="EB Garamond" w:hAnsi="EB Garamond" w:cs="EB Garamond"/>
          <w:rFonts w:ascii="EB Garamond" w:hAnsi="EB Garamond"/>
          <w:b/>
          <w:i w:val="0"/>
          <w:color w:val="000000"/>
          <w:sz w:val="28"/>
        </w:rPr>
        <w:t>Body</w:t>
      </w:r>
    </w:p>
    <w:p>
      <w:pPr>
        <w:pBdr>
          <w:left w:val="single" w:sz="32" w:space="10" w:color="C5A55A"/>
        </w:pBdr>
        <w:spacing w:after="120" w:line="360" w:lineRule="auto"/>
        <w:jc w:val="left"/>
      </w:pPr>
      <w:r>
        <w:rPr>
          <w:rFonts w:ascii="Inter" w:hAnsi="Inter" w:cs="Inter"/>
          <w:rFonts w:ascii="Inter" w:hAnsi="Inter"/>
          <w:b w:val="0"/>
          <w:i/>
          <w:color w:val="333333"/>
          <w:sz w:val="22"/>
        </w:rPr>
        <w:t>Institutional private credit with first-lien security across renewables, energy, digital infrastructure and real assets. LMA/LSTA-standard documentation. Bridge, unitranche and senior facility expertise. Ticket size USD 2m (bridge) – USD 250m (senior co-lead anchor). Target gross yield 11–16%.</w:t>
      </w:r>
    </w:p>
    <w:p>
      <w:pPr>
        <w:pBdr>
          <w:left w:val="single" w:sz="40" w:space="10" w:color="C5A55A"/>
        </w:pBdr>
        <w:spacing w:before="200" w:after="80"/>
      </w:pPr>
      <w:r>
        <w:rPr>
          <w:rFonts w:ascii="EB Garamond" w:hAnsi="EB Garamond" w:cs="EB Garamond"/>
          <w:rFonts w:ascii="EB Garamond" w:hAnsi="EB Garamond"/>
          <w:b/>
          <w:i w:val="0"/>
          <w:color w:val="000000"/>
          <w:sz w:val="28"/>
        </w:rPr>
        <w:t>What We Screen For</w:t>
      </w:r>
    </w:p>
    <w:p>
      <w:pPr>
        <w:pStyle w:val="ListBullet"/>
        <w:pBdr>
          <w:left w:val="single" w:sz="32" w:space="10" w:color="C5A55A"/>
        </w:pBdr>
        <w:spacing w:line="312" w:lineRule="auto" w:after="60"/>
        <w:ind w:left="340"/>
      </w:pPr>
      <w:r>
        <w:rPr>
          <w:rFonts w:ascii="Inter" w:hAnsi="Inter" w:cs="Inter"/>
          <w:rFonts w:ascii="Inter" w:hAnsi="Inter"/>
          <w:b w:val="0"/>
          <w:i w:val="0"/>
          <w:color w:val="333333"/>
          <w:sz w:val="22"/>
        </w:rPr>
        <w:t>[Criterion 1 specific to this vertical]</w:t>
      </w:r>
    </w:p>
    <w:p>
      <w:pPr>
        <w:pStyle w:val="ListBullet"/>
        <w:pBdr>
          <w:left w:val="single" w:sz="32" w:space="10" w:color="C5A55A"/>
        </w:pBdr>
        <w:spacing w:line="312" w:lineRule="auto" w:after="60"/>
        <w:ind w:left="340"/>
      </w:pPr>
      <w:r>
        <w:rPr>
          <w:rFonts w:ascii="Inter" w:hAnsi="Inter" w:cs="Inter"/>
          <w:rFonts w:ascii="Inter" w:hAnsi="Inter"/>
          <w:b w:val="0"/>
          <w:i w:val="0"/>
          <w:color w:val="333333"/>
          <w:sz w:val="22"/>
        </w:rPr>
        <w:t>[Criterion 2]</w:t>
      </w:r>
    </w:p>
    <w:p>
      <w:pPr>
        <w:pStyle w:val="ListBullet"/>
        <w:pBdr>
          <w:left w:val="single" w:sz="32" w:space="10" w:color="C5A55A"/>
        </w:pBdr>
        <w:spacing w:line="312" w:lineRule="auto" w:after="60"/>
        <w:ind w:left="340"/>
      </w:pPr>
      <w:r>
        <w:rPr>
          <w:rFonts w:ascii="Inter" w:hAnsi="Inter" w:cs="Inter"/>
          <w:rFonts w:ascii="Inter" w:hAnsi="Inter"/>
          <w:b w:val="0"/>
          <w:i w:val="0"/>
          <w:color w:val="333333"/>
          <w:sz w:val="22"/>
        </w:rPr>
        <w:t>[Criterion 3]</w:t>
      </w:r>
    </w:p>
    <w:p>
      <w:pPr>
        <w:pBdr>
          <w:left w:val="single" w:sz="40" w:space="10" w:color="C5A55A"/>
        </w:pBdr>
        <w:spacing w:before="200" w:after="80"/>
      </w:pPr>
      <w:r>
        <w:rPr>
          <w:rFonts w:ascii="EB Garamond" w:hAnsi="EB Garamond" w:cs="EB Garamond"/>
          <w:rFonts w:ascii="EB Garamond" w:hAnsi="EB Garamond"/>
          <w:b/>
          <w:i w:val="0"/>
          <w:color w:val="000000"/>
          <w:sz w:val="28"/>
        </w:rPr>
        <w:t>How to Engage</w:t>
      </w:r>
    </w:p>
    <w:p>
      <w:pPr>
        <w:pBdr>
          <w:left w:val="single" w:sz="32" w:space="10" w:color="C5A55A"/>
        </w:pBdr>
        <w:spacing w:after="120" w:line="336" w:lineRule="auto"/>
        <w:jc w:val="left"/>
      </w:pPr>
      <w:r>
        <w:rPr>
          <w:rFonts w:ascii="Inter" w:hAnsi="Inter" w:cs="Inter"/>
          <w:rFonts w:ascii="Inter" w:hAnsi="Inter"/>
          <w:b w:val="0"/>
          <w:i w:val="0"/>
          <w:color w:val="333333"/>
          <w:sz w:val="22"/>
        </w:rPr>
        <w:t>Initiate contact directly. We respond within 48 hours on qualified enquiries.</w:t>
      </w:r>
    </w:p>
    <w:p>
      <w:r>
        <w:br w:type="page"/>
      </w:r>
    </w:p>
    <w:p>
      <w:pPr>
        <w:pBdr>
          <w:left w:val="single" w:sz="48" w:space="10" w:color="C5A55A"/>
        </w:pBdr>
        <w:spacing w:before="320" w:after="160"/>
      </w:pPr>
      <w:r>
        <w:rPr>
          <w:rFonts w:ascii="EB Garamond" w:hAnsi="EB Garamond" w:cs="EB Garamond"/>
          <w:rFonts w:ascii="EB Garamond" w:hAnsi="EB Garamond"/>
          <w:b/>
          <w:i w:val="0"/>
          <w:color w:val="000000"/>
          <w:sz w:val="36"/>
        </w:rPr>
        <w:t>PAGE  ·  CRITICAL MINERALS</w:t>
      </w:r>
    </w:p>
    <w:p>
      <w:pPr>
        <w:pBdr>
          <w:left w:val="single" w:sz="40" w:space="10" w:color="C5A55A"/>
        </w:pBdr>
        <w:spacing w:before="200" w:after="80"/>
      </w:pPr>
      <w:r>
        <w:rPr>
          <w:rFonts w:ascii="EB Garamond" w:hAnsi="EB Garamond" w:cs="EB Garamond"/>
          <w:rFonts w:ascii="EB Garamond" w:hAnsi="EB Garamond"/>
          <w:b/>
          <w:i w:val="0"/>
          <w:color w:val="000000"/>
          <w:sz w:val="28"/>
        </w:rPr>
        <w:t>SEO Brief</w:t>
      </w:r>
    </w:p>
    <w:p>
      <w:pPr>
        <w:pStyle w:val="ListBullet"/>
        <w:pBdr>
          <w:left w:val="single" w:sz="32" w:space="10" w:color="C5A55A"/>
        </w:pBdr>
        <w:spacing w:line="312" w:lineRule="auto" w:after="60"/>
        <w:ind w:left="340"/>
      </w:pPr>
      <w:r>
        <w:rPr>
          <w:rFonts w:ascii="Inter" w:hAnsi="Inter" w:cs="Inter"/>
          <w:rFonts w:ascii="Inter" w:hAnsi="Inter"/>
          <w:b w:val="0"/>
          <w:i w:val="0"/>
          <w:color w:val="333333"/>
          <w:sz w:val="22"/>
        </w:rPr>
        <w:t>Title: Critical Minerals — Ascension Capital Partners</w:t>
      </w:r>
    </w:p>
    <w:p>
      <w:pPr>
        <w:pStyle w:val="ListBullet"/>
        <w:pBdr>
          <w:left w:val="single" w:sz="32" w:space="10" w:color="C5A55A"/>
        </w:pBdr>
        <w:spacing w:line="312" w:lineRule="auto" w:after="60"/>
        <w:ind w:left="340"/>
      </w:pPr>
      <w:r>
        <w:rPr>
          <w:rFonts w:ascii="Inter" w:hAnsi="Inter" w:cs="Inter"/>
          <w:rFonts w:ascii="Inter" w:hAnsi="Inter"/>
          <w:b w:val="0"/>
          <w:i w:val="0"/>
          <w:color w:val="333333"/>
          <w:sz w:val="22"/>
        </w:rPr>
        <w:t>Meta: Offtake-backed project finance for transition minerals — nickel, cobalt, copper, lithium, rare earths. ECA-eligible, DFI-alignable, IFC Performance Standar</w:t>
      </w:r>
    </w:p>
    <w:p>
      <w:pPr>
        <w:pBdr>
          <w:left w:val="single" w:sz="40" w:space="10" w:color="C5A55A"/>
        </w:pBdr>
        <w:spacing w:before="200" w:after="80"/>
      </w:pPr>
      <w:r>
        <w:rPr>
          <w:rFonts w:ascii="EB Garamond" w:hAnsi="EB Garamond" w:cs="EB Garamond"/>
          <w:rFonts w:ascii="EB Garamond" w:hAnsi="EB Garamond"/>
          <w:b/>
          <w:i w:val="0"/>
          <w:color w:val="000000"/>
          <w:sz w:val="28"/>
        </w:rPr>
        <w:t>H1</w:t>
      </w:r>
    </w:p>
    <w:p>
      <w:pPr>
        <w:pBdr>
          <w:left w:val="single" w:sz="32" w:space="10" w:color="C5A55A"/>
        </w:pBdr>
        <w:spacing w:after="120" w:line="336" w:lineRule="auto"/>
        <w:jc w:val="left"/>
      </w:pPr>
      <w:r>
        <w:rPr>
          <w:rFonts w:ascii="EB Garamond" w:hAnsi="EB Garamond" w:cs="EB Garamond"/>
          <w:rFonts w:ascii="EB Garamond" w:hAnsi="EB Garamond"/>
          <w:b/>
          <w:i w:val="0"/>
          <w:color w:val="333333"/>
          <w:sz w:val="28"/>
        </w:rPr>
        <w:t>Critical Minerals · institutional capital, institutionally papered.</w:t>
      </w:r>
    </w:p>
    <w:p>
      <w:pPr>
        <w:pBdr>
          <w:left w:val="single" w:sz="40" w:space="10" w:color="C5A55A"/>
        </w:pBdr>
        <w:spacing w:before="200" w:after="80"/>
      </w:pPr>
      <w:r>
        <w:rPr>
          <w:rFonts w:ascii="EB Garamond" w:hAnsi="EB Garamond" w:cs="EB Garamond"/>
          <w:rFonts w:ascii="EB Garamond" w:hAnsi="EB Garamond"/>
          <w:b/>
          <w:i w:val="0"/>
          <w:color w:val="000000"/>
          <w:sz w:val="28"/>
        </w:rPr>
        <w:t>Body</w:t>
      </w:r>
    </w:p>
    <w:p>
      <w:pPr>
        <w:pBdr>
          <w:left w:val="single" w:sz="32" w:space="10" w:color="C5A55A"/>
        </w:pBdr>
        <w:spacing w:after="120" w:line="360" w:lineRule="auto"/>
        <w:jc w:val="left"/>
      </w:pPr>
      <w:r>
        <w:rPr>
          <w:rFonts w:ascii="Inter" w:hAnsi="Inter" w:cs="Inter"/>
          <w:rFonts w:ascii="Inter" w:hAnsi="Inter"/>
          <w:b w:val="0"/>
          <w:i/>
          <w:color w:val="333333"/>
          <w:sz w:val="22"/>
        </w:rPr>
        <w:t>Offtake-backed project finance for transition minerals — nickel, cobalt, copper, lithium, rare earths. ECA-eligible, DFI-alignable, IFC Performance Standards governance from day one. Ticket size USD 5–25m. Contracted offtake, enhanced ESG overlay, multi-party governance.</w:t>
      </w:r>
    </w:p>
    <w:p>
      <w:pPr>
        <w:pBdr>
          <w:left w:val="single" w:sz="40" w:space="10" w:color="C5A55A"/>
        </w:pBdr>
        <w:spacing w:before="200" w:after="80"/>
      </w:pPr>
      <w:r>
        <w:rPr>
          <w:rFonts w:ascii="EB Garamond" w:hAnsi="EB Garamond" w:cs="EB Garamond"/>
          <w:rFonts w:ascii="EB Garamond" w:hAnsi="EB Garamond"/>
          <w:b/>
          <w:i w:val="0"/>
          <w:color w:val="000000"/>
          <w:sz w:val="28"/>
        </w:rPr>
        <w:t>What We Screen For</w:t>
      </w:r>
    </w:p>
    <w:p>
      <w:pPr>
        <w:pStyle w:val="ListBullet"/>
        <w:pBdr>
          <w:left w:val="single" w:sz="32" w:space="10" w:color="C5A55A"/>
        </w:pBdr>
        <w:spacing w:line="312" w:lineRule="auto" w:after="60"/>
        <w:ind w:left="340"/>
      </w:pPr>
      <w:r>
        <w:rPr>
          <w:rFonts w:ascii="Inter" w:hAnsi="Inter" w:cs="Inter"/>
          <w:rFonts w:ascii="Inter" w:hAnsi="Inter"/>
          <w:b w:val="0"/>
          <w:i w:val="0"/>
          <w:color w:val="333333"/>
          <w:sz w:val="22"/>
        </w:rPr>
        <w:t>[Criterion 1 specific to this vertical]</w:t>
      </w:r>
    </w:p>
    <w:p>
      <w:pPr>
        <w:pStyle w:val="ListBullet"/>
        <w:pBdr>
          <w:left w:val="single" w:sz="32" w:space="10" w:color="C5A55A"/>
        </w:pBdr>
        <w:spacing w:line="312" w:lineRule="auto" w:after="60"/>
        <w:ind w:left="340"/>
      </w:pPr>
      <w:r>
        <w:rPr>
          <w:rFonts w:ascii="Inter" w:hAnsi="Inter" w:cs="Inter"/>
          <w:rFonts w:ascii="Inter" w:hAnsi="Inter"/>
          <w:b w:val="0"/>
          <w:i w:val="0"/>
          <w:color w:val="333333"/>
          <w:sz w:val="22"/>
        </w:rPr>
        <w:t>[Criterion 2]</w:t>
      </w:r>
    </w:p>
    <w:p>
      <w:pPr>
        <w:pStyle w:val="ListBullet"/>
        <w:pBdr>
          <w:left w:val="single" w:sz="32" w:space="10" w:color="C5A55A"/>
        </w:pBdr>
        <w:spacing w:line="312" w:lineRule="auto" w:after="60"/>
        <w:ind w:left="340"/>
      </w:pPr>
      <w:r>
        <w:rPr>
          <w:rFonts w:ascii="Inter" w:hAnsi="Inter" w:cs="Inter"/>
          <w:rFonts w:ascii="Inter" w:hAnsi="Inter"/>
          <w:b w:val="0"/>
          <w:i w:val="0"/>
          <w:color w:val="333333"/>
          <w:sz w:val="22"/>
        </w:rPr>
        <w:t>[Criterion 3]</w:t>
      </w:r>
    </w:p>
    <w:p>
      <w:pPr>
        <w:pBdr>
          <w:left w:val="single" w:sz="40" w:space="10" w:color="C5A55A"/>
        </w:pBdr>
        <w:spacing w:before="200" w:after="80"/>
      </w:pPr>
      <w:r>
        <w:rPr>
          <w:rFonts w:ascii="EB Garamond" w:hAnsi="EB Garamond" w:cs="EB Garamond"/>
          <w:rFonts w:ascii="EB Garamond" w:hAnsi="EB Garamond"/>
          <w:b/>
          <w:i w:val="0"/>
          <w:color w:val="000000"/>
          <w:sz w:val="28"/>
        </w:rPr>
        <w:t>How to Engage</w:t>
      </w:r>
    </w:p>
    <w:p>
      <w:pPr>
        <w:pBdr>
          <w:left w:val="single" w:sz="32" w:space="10" w:color="C5A55A"/>
        </w:pBdr>
        <w:spacing w:after="120" w:line="336" w:lineRule="auto"/>
        <w:jc w:val="left"/>
      </w:pPr>
      <w:r>
        <w:rPr>
          <w:rFonts w:ascii="Inter" w:hAnsi="Inter" w:cs="Inter"/>
          <w:rFonts w:ascii="Inter" w:hAnsi="Inter"/>
          <w:b w:val="0"/>
          <w:i w:val="0"/>
          <w:color w:val="333333"/>
          <w:sz w:val="22"/>
        </w:rPr>
        <w:t>Initiate contact directly. We respond within 48 hours on qualified enquiries.</w:t>
      </w:r>
    </w:p>
    <w:p>
      <w:r>
        <w:br w:type="page"/>
      </w:r>
    </w:p>
    <w:p>
      <w:pPr>
        <w:pBdr>
          <w:left w:val="single" w:sz="48" w:space="10" w:color="C5A55A"/>
        </w:pBdr>
        <w:spacing w:before="320" w:after="160"/>
      </w:pPr>
      <w:r>
        <w:rPr>
          <w:rFonts w:ascii="EB Garamond" w:hAnsi="EB Garamond" w:cs="EB Garamond"/>
          <w:rFonts w:ascii="EB Garamond" w:hAnsi="EB Garamond"/>
          <w:b/>
          <w:i w:val="0"/>
          <w:color w:val="000000"/>
          <w:sz w:val="36"/>
        </w:rPr>
        <w:t>PAGE  ·  IMPACT REAL ASSETS</w:t>
      </w:r>
    </w:p>
    <w:p>
      <w:pPr>
        <w:pBdr>
          <w:left w:val="single" w:sz="40" w:space="10" w:color="C5A55A"/>
        </w:pBdr>
        <w:spacing w:before="200" w:after="80"/>
      </w:pPr>
      <w:r>
        <w:rPr>
          <w:rFonts w:ascii="EB Garamond" w:hAnsi="EB Garamond" w:cs="EB Garamond"/>
          <w:rFonts w:ascii="EB Garamond" w:hAnsi="EB Garamond"/>
          <w:b/>
          <w:i w:val="0"/>
          <w:color w:val="000000"/>
          <w:sz w:val="28"/>
        </w:rPr>
        <w:t>SEO Brief</w:t>
      </w:r>
    </w:p>
    <w:p>
      <w:pPr>
        <w:pStyle w:val="ListBullet"/>
        <w:pBdr>
          <w:left w:val="single" w:sz="32" w:space="10" w:color="C5A55A"/>
        </w:pBdr>
        <w:spacing w:line="312" w:lineRule="auto" w:after="60"/>
        <w:ind w:left="340"/>
      </w:pPr>
      <w:r>
        <w:rPr>
          <w:rFonts w:ascii="Inter" w:hAnsi="Inter" w:cs="Inter"/>
          <w:rFonts w:ascii="Inter" w:hAnsi="Inter"/>
          <w:b w:val="0"/>
          <w:i w:val="0"/>
          <w:color w:val="333333"/>
          <w:sz w:val="22"/>
        </w:rPr>
        <w:t>Title: Impact Real Assets — Ascension Capital Partners</w:t>
      </w:r>
    </w:p>
    <w:p>
      <w:pPr>
        <w:pStyle w:val="ListBullet"/>
        <w:pBdr>
          <w:left w:val="single" w:sz="32" w:space="10" w:color="C5A55A"/>
        </w:pBdr>
        <w:spacing w:line="312" w:lineRule="auto" w:after="60"/>
        <w:ind w:left="340"/>
      </w:pPr>
      <w:r>
        <w:rPr>
          <w:rFonts w:ascii="Inter" w:hAnsi="Inter" w:cs="Inter"/>
          <w:rFonts w:ascii="Inter" w:hAnsi="Inter"/>
          <w:b w:val="0"/>
          <w:i w:val="0"/>
          <w:color w:val="333333"/>
          <w:sz w:val="22"/>
        </w:rPr>
        <w:t>Meta: Principal-aligned capital into real assets where financial returns and measurable impact compound. Senior living, agri-sustainability, social infrastructur</w:t>
      </w:r>
    </w:p>
    <w:p>
      <w:pPr>
        <w:pBdr>
          <w:left w:val="single" w:sz="40" w:space="10" w:color="C5A55A"/>
        </w:pBdr>
        <w:spacing w:before="200" w:after="80"/>
      </w:pPr>
      <w:r>
        <w:rPr>
          <w:rFonts w:ascii="EB Garamond" w:hAnsi="EB Garamond" w:cs="EB Garamond"/>
          <w:rFonts w:ascii="EB Garamond" w:hAnsi="EB Garamond"/>
          <w:b/>
          <w:i w:val="0"/>
          <w:color w:val="000000"/>
          <w:sz w:val="28"/>
        </w:rPr>
        <w:t>H1</w:t>
      </w:r>
    </w:p>
    <w:p>
      <w:pPr>
        <w:pBdr>
          <w:left w:val="single" w:sz="32" w:space="10" w:color="C5A55A"/>
        </w:pBdr>
        <w:spacing w:after="120" w:line="336" w:lineRule="auto"/>
        <w:jc w:val="left"/>
      </w:pPr>
      <w:r>
        <w:rPr>
          <w:rFonts w:ascii="EB Garamond" w:hAnsi="EB Garamond" w:cs="EB Garamond"/>
          <w:rFonts w:ascii="EB Garamond" w:hAnsi="EB Garamond"/>
          <w:b/>
          <w:i w:val="0"/>
          <w:color w:val="333333"/>
          <w:sz w:val="28"/>
        </w:rPr>
        <w:t>Impact Real Assets · institutional capital, institutionally papered.</w:t>
      </w:r>
    </w:p>
    <w:p>
      <w:pPr>
        <w:pBdr>
          <w:left w:val="single" w:sz="40" w:space="10" w:color="C5A55A"/>
        </w:pBdr>
        <w:spacing w:before="200" w:after="80"/>
      </w:pPr>
      <w:r>
        <w:rPr>
          <w:rFonts w:ascii="EB Garamond" w:hAnsi="EB Garamond" w:cs="EB Garamond"/>
          <w:rFonts w:ascii="EB Garamond" w:hAnsi="EB Garamond"/>
          <w:b/>
          <w:i w:val="0"/>
          <w:color w:val="000000"/>
          <w:sz w:val="28"/>
        </w:rPr>
        <w:t>Body</w:t>
      </w:r>
    </w:p>
    <w:p>
      <w:pPr>
        <w:pBdr>
          <w:left w:val="single" w:sz="32" w:space="10" w:color="C5A55A"/>
        </w:pBdr>
        <w:spacing w:after="120" w:line="360" w:lineRule="auto"/>
        <w:jc w:val="left"/>
      </w:pPr>
      <w:r>
        <w:rPr>
          <w:rFonts w:ascii="Inter" w:hAnsi="Inter" w:cs="Inter"/>
          <w:rFonts w:ascii="Inter" w:hAnsi="Inter"/>
          <w:b w:val="0"/>
          <w:i/>
          <w:color w:val="333333"/>
          <w:sz w:val="22"/>
        </w:rPr>
        <w:t>Principal-aligned capital into real assets where financial returns and measurable impact compound. Senior living, agri-sustainability, social infrastructure, regenerative and circular economy. Ticket size USD 5–200m. Senior debt, mezzanine, pref equity, green bonds, structured notes.</w:t>
      </w:r>
    </w:p>
    <w:p>
      <w:pPr>
        <w:pBdr>
          <w:left w:val="single" w:sz="40" w:space="10" w:color="C5A55A"/>
        </w:pBdr>
        <w:spacing w:before="200" w:after="80"/>
      </w:pPr>
      <w:r>
        <w:rPr>
          <w:rFonts w:ascii="EB Garamond" w:hAnsi="EB Garamond" w:cs="EB Garamond"/>
          <w:rFonts w:ascii="EB Garamond" w:hAnsi="EB Garamond"/>
          <w:b/>
          <w:i w:val="0"/>
          <w:color w:val="000000"/>
          <w:sz w:val="28"/>
        </w:rPr>
        <w:t>What We Screen For</w:t>
      </w:r>
    </w:p>
    <w:p>
      <w:pPr>
        <w:pStyle w:val="ListBullet"/>
        <w:pBdr>
          <w:left w:val="single" w:sz="32" w:space="10" w:color="C5A55A"/>
        </w:pBdr>
        <w:spacing w:line="312" w:lineRule="auto" w:after="60"/>
        <w:ind w:left="340"/>
      </w:pPr>
      <w:r>
        <w:rPr>
          <w:rFonts w:ascii="Inter" w:hAnsi="Inter" w:cs="Inter"/>
          <w:rFonts w:ascii="Inter" w:hAnsi="Inter"/>
          <w:b w:val="0"/>
          <w:i w:val="0"/>
          <w:color w:val="333333"/>
          <w:sz w:val="22"/>
        </w:rPr>
        <w:t>[Criterion 1 specific to this vertical]</w:t>
      </w:r>
    </w:p>
    <w:p>
      <w:pPr>
        <w:pStyle w:val="ListBullet"/>
        <w:pBdr>
          <w:left w:val="single" w:sz="32" w:space="10" w:color="C5A55A"/>
        </w:pBdr>
        <w:spacing w:line="312" w:lineRule="auto" w:after="60"/>
        <w:ind w:left="340"/>
      </w:pPr>
      <w:r>
        <w:rPr>
          <w:rFonts w:ascii="Inter" w:hAnsi="Inter" w:cs="Inter"/>
          <w:rFonts w:ascii="Inter" w:hAnsi="Inter"/>
          <w:b w:val="0"/>
          <w:i w:val="0"/>
          <w:color w:val="333333"/>
          <w:sz w:val="22"/>
        </w:rPr>
        <w:t>[Criterion 2]</w:t>
      </w:r>
    </w:p>
    <w:p>
      <w:pPr>
        <w:pStyle w:val="ListBullet"/>
        <w:pBdr>
          <w:left w:val="single" w:sz="32" w:space="10" w:color="C5A55A"/>
        </w:pBdr>
        <w:spacing w:line="312" w:lineRule="auto" w:after="60"/>
        <w:ind w:left="340"/>
      </w:pPr>
      <w:r>
        <w:rPr>
          <w:rFonts w:ascii="Inter" w:hAnsi="Inter" w:cs="Inter"/>
          <w:rFonts w:ascii="Inter" w:hAnsi="Inter"/>
          <w:b w:val="0"/>
          <w:i w:val="0"/>
          <w:color w:val="333333"/>
          <w:sz w:val="22"/>
        </w:rPr>
        <w:t>[Criterion 3]</w:t>
      </w:r>
    </w:p>
    <w:p>
      <w:pPr>
        <w:pBdr>
          <w:left w:val="single" w:sz="40" w:space="10" w:color="C5A55A"/>
        </w:pBdr>
        <w:spacing w:before="200" w:after="80"/>
      </w:pPr>
      <w:r>
        <w:rPr>
          <w:rFonts w:ascii="EB Garamond" w:hAnsi="EB Garamond" w:cs="EB Garamond"/>
          <w:rFonts w:ascii="EB Garamond" w:hAnsi="EB Garamond"/>
          <w:b/>
          <w:i w:val="0"/>
          <w:color w:val="000000"/>
          <w:sz w:val="28"/>
        </w:rPr>
        <w:t>How to Engage</w:t>
      </w:r>
    </w:p>
    <w:p>
      <w:pPr>
        <w:pBdr>
          <w:left w:val="single" w:sz="32" w:space="10" w:color="C5A55A"/>
        </w:pBdr>
        <w:spacing w:after="120" w:line="336" w:lineRule="auto"/>
        <w:jc w:val="left"/>
      </w:pPr>
      <w:r>
        <w:rPr>
          <w:rFonts w:ascii="Inter" w:hAnsi="Inter" w:cs="Inter"/>
          <w:rFonts w:ascii="Inter" w:hAnsi="Inter"/>
          <w:b w:val="0"/>
          <w:i w:val="0"/>
          <w:color w:val="333333"/>
          <w:sz w:val="22"/>
        </w:rPr>
        <w:t>Initiate contact directly. We respond within 48 hours on qualified enquiries.</w:t>
      </w:r>
    </w:p>
    <w:p>
      <w:r>
        <w:br w:type="page"/>
      </w:r>
    </w:p>
    <w:p>
      <w:pPr>
        <w:pBdr>
          <w:left w:val="single" w:sz="48" w:space="10" w:color="C5A55A"/>
        </w:pBdr>
        <w:spacing w:before="320" w:after="160"/>
      </w:pPr>
      <w:r>
        <w:rPr>
          <w:rFonts w:ascii="EB Garamond" w:hAnsi="EB Garamond" w:cs="EB Garamond"/>
          <w:rFonts w:ascii="EB Garamond" w:hAnsi="EB Garamond"/>
          <w:b/>
          <w:i w:val="0"/>
          <w:color w:val="000000"/>
          <w:sz w:val="36"/>
        </w:rPr>
        <w:t>PAGE 08  ·  CONTACT</w:t>
      </w:r>
    </w:p>
    <w:p>
      <w:pPr>
        <w:pBdr>
          <w:left w:val="single" w:sz="40" w:space="10" w:color="C5A55A"/>
        </w:pBdr>
        <w:spacing w:before="200" w:after="80"/>
      </w:pPr>
      <w:r>
        <w:rPr>
          <w:rFonts w:ascii="EB Garamond" w:hAnsi="EB Garamond" w:cs="EB Garamond"/>
          <w:rFonts w:ascii="EB Garamond" w:hAnsi="EB Garamond"/>
          <w:b/>
          <w:i w:val="0"/>
          <w:color w:val="000000"/>
          <w:sz w:val="28"/>
        </w:rPr>
        <w:t>SEO Brief</w:t>
      </w:r>
    </w:p>
    <w:p>
      <w:pPr>
        <w:pStyle w:val="ListBullet"/>
        <w:pBdr>
          <w:left w:val="single" w:sz="32" w:space="10" w:color="C5A55A"/>
        </w:pBdr>
        <w:spacing w:line="312" w:lineRule="auto" w:after="60"/>
        <w:ind w:left="340"/>
      </w:pPr>
      <w:r>
        <w:rPr>
          <w:rFonts w:ascii="Inter" w:hAnsi="Inter" w:cs="Inter"/>
          <w:rFonts w:ascii="Inter" w:hAnsi="Inter"/>
          <w:b w:val="0"/>
          <w:i w:val="0"/>
          <w:color w:val="333333"/>
          <w:sz w:val="22"/>
        </w:rPr>
        <w:t>Title: Contact — Ascension Capital Partners</w:t>
      </w:r>
    </w:p>
    <w:p>
      <w:pPr>
        <w:pStyle w:val="ListBullet"/>
        <w:pBdr>
          <w:left w:val="single" w:sz="32" w:space="10" w:color="C5A55A"/>
        </w:pBdr>
        <w:spacing w:line="312" w:lineRule="auto" w:after="60"/>
        <w:ind w:left="340"/>
      </w:pPr>
      <w:r>
        <w:rPr>
          <w:rFonts w:ascii="Inter" w:hAnsi="Inter" w:cs="Inter"/>
          <w:rFonts w:ascii="Inter" w:hAnsi="Inter"/>
          <w:b w:val="0"/>
          <w:i w:val="0"/>
          <w:color w:val="333333"/>
          <w:sz w:val="22"/>
        </w:rPr>
        <w:t>Meta: Initiate institutional conversation. Principal-to-principal engagement, NDA-gated, qualified institutional counterparties only.</w:t>
      </w:r>
    </w:p>
    <w:p>
      <w:pPr>
        <w:pBdr>
          <w:left w:val="single" w:sz="40" w:space="10" w:color="C5A55A"/>
        </w:pBdr>
        <w:spacing w:before="200" w:after="80"/>
      </w:pPr>
      <w:r>
        <w:rPr>
          <w:rFonts w:ascii="EB Garamond" w:hAnsi="EB Garamond" w:cs="EB Garamond"/>
          <w:rFonts w:ascii="EB Garamond" w:hAnsi="EB Garamond"/>
          <w:b/>
          <w:i w:val="0"/>
          <w:color w:val="000000"/>
          <w:sz w:val="28"/>
        </w:rPr>
        <w:t>H1</w:t>
      </w:r>
    </w:p>
    <w:p>
      <w:pPr>
        <w:pBdr>
          <w:left w:val="single" w:sz="32" w:space="10" w:color="C5A55A"/>
        </w:pBdr>
        <w:spacing w:after="120" w:line="336" w:lineRule="auto"/>
        <w:jc w:val="left"/>
      </w:pPr>
      <w:r>
        <w:rPr>
          <w:rFonts w:ascii="EB Garamond" w:hAnsi="EB Garamond" w:cs="EB Garamond"/>
          <w:rFonts w:ascii="EB Garamond" w:hAnsi="EB Garamond"/>
          <w:b/>
          <w:i w:val="0"/>
          <w:color w:val="333333"/>
          <w:sz w:val="36"/>
        </w:rPr>
        <w:t>Let's talk.</w:t>
      </w:r>
    </w:p>
    <w:p>
      <w:pPr>
        <w:pBdr>
          <w:left w:val="single" w:sz="40" w:space="10" w:color="C5A55A"/>
        </w:pBdr>
        <w:spacing w:before="200" w:after="80"/>
      </w:pPr>
      <w:r>
        <w:rPr>
          <w:rFonts w:ascii="EB Garamond" w:hAnsi="EB Garamond" w:cs="EB Garamond"/>
          <w:rFonts w:ascii="EB Garamond" w:hAnsi="EB Garamond"/>
          <w:b/>
          <w:i w:val="0"/>
          <w:color w:val="000000"/>
          <w:sz w:val="28"/>
        </w:rPr>
        <w:t>Body</w:t>
      </w:r>
    </w:p>
    <w:p>
      <w:pPr>
        <w:pBdr>
          <w:left w:val="single" w:sz="32" w:space="10" w:color="C5A55A"/>
        </w:pBdr>
        <w:spacing w:after="120" w:line="336" w:lineRule="auto"/>
        <w:jc w:val="left"/>
      </w:pPr>
      <w:r>
        <w:rPr>
          <w:rFonts w:ascii="Inter" w:hAnsi="Inter" w:cs="Inter"/>
          <w:rFonts w:ascii="Inter" w:hAnsi="Inter"/>
          <w:b w:val="0"/>
          <w:i w:val="0"/>
          <w:color w:val="333333"/>
          <w:sz w:val="22"/>
        </w:rPr>
        <w:t>We respond to every qualified institutional enquiry within 48 hours. If you are a sponsor seeking capital, an allocator seeking mandates, or a strategic partner seeking alliance — reach out.</w:t>
      </w:r>
    </w:p>
    <w:p>
      <w:pPr>
        <w:pBdr>
          <w:left w:val="single" w:sz="40" w:space="10" w:color="C5A55A"/>
        </w:pBdr>
        <w:spacing w:before="200" w:after="80"/>
      </w:pPr>
      <w:r>
        <w:rPr>
          <w:rFonts w:ascii="EB Garamond" w:hAnsi="EB Garamond" w:cs="EB Garamond"/>
          <w:rFonts w:ascii="EB Garamond" w:hAnsi="EB Garamond"/>
          <w:b/>
          <w:i w:val="0"/>
          <w:color w:val="000000"/>
          <w:sz w:val="28"/>
        </w:rPr>
        <w:t>Form Fields</w:t>
      </w:r>
    </w:p>
    <w:p>
      <w:pPr>
        <w:pStyle w:val="ListBullet"/>
        <w:pBdr>
          <w:left w:val="single" w:sz="32" w:space="10" w:color="C5A55A"/>
        </w:pBdr>
        <w:spacing w:line="312" w:lineRule="auto" w:after="60"/>
        <w:ind w:left="340"/>
      </w:pPr>
      <w:r>
        <w:rPr>
          <w:rFonts w:ascii="Inter" w:hAnsi="Inter" w:cs="Inter"/>
          <w:rFonts w:ascii="Inter" w:hAnsi="Inter"/>
          <w:b w:val="0"/>
          <w:i w:val="0"/>
          <w:color w:val="333333"/>
          <w:sz w:val="22"/>
        </w:rPr>
        <w:t>Name (required)</w:t>
      </w:r>
    </w:p>
    <w:p>
      <w:pPr>
        <w:pStyle w:val="ListBullet"/>
        <w:pBdr>
          <w:left w:val="single" w:sz="32" w:space="10" w:color="C5A55A"/>
        </w:pBdr>
        <w:spacing w:line="312" w:lineRule="auto" w:after="60"/>
        <w:ind w:left="340"/>
      </w:pPr>
      <w:r>
        <w:rPr>
          <w:rFonts w:ascii="Inter" w:hAnsi="Inter" w:cs="Inter"/>
          <w:rFonts w:ascii="Inter" w:hAnsi="Inter"/>
          <w:b w:val="0"/>
          <w:i w:val="0"/>
          <w:color w:val="333333"/>
          <w:sz w:val="22"/>
        </w:rPr>
        <w:t>Firm (required)</w:t>
      </w:r>
    </w:p>
    <w:p>
      <w:pPr>
        <w:pStyle w:val="ListBullet"/>
        <w:pBdr>
          <w:left w:val="single" w:sz="32" w:space="10" w:color="C5A55A"/>
        </w:pBdr>
        <w:spacing w:line="312" w:lineRule="auto" w:after="60"/>
        <w:ind w:left="340"/>
      </w:pPr>
      <w:r>
        <w:rPr>
          <w:rFonts w:ascii="Inter" w:hAnsi="Inter" w:cs="Inter"/>
          <w:rFonts w:ascii="Inter" w:hAnsi="Inter"/>
          <w:b w:val="0"/>
          <w:i w:val="0"/>
          <w:color w:val="333333"/>
          <w:sz w:val="22"/>
        </w:rPr>
        <w:t>Role (required)</w:t>
      </w:r>
    </w:p>
    <w:p>
      <w:pPr>
        <w:pStyle w:val="ListBullet"/>
        <w:pBdr>
          <w:left w:val="single" w:sz="32" w:space="10" w:color="C5A55A"/>
        </w:pBdr>
        <w:spacing w:line="312" w:lineRule="auto" w:after="60"/>
        <w:ind w:left="340"/>
      </w:pPr>
      <w:r>
        <w:rPr>
          <w:rFonts w:ascii="Inter" w:hAnsi="Inter" w:cs="Inter"/>
          <w:rFonts w:ascii="Inter" w:hAnsi="Inter"/>
          <w:b w:val="0"/>
          <w:i w:val="0"/>
          <w:color w:val="333333"/>
          <w:sz w:val="22"/>
        </w:rPr>
        <w:t>Email (required · validated institutional domains only)</w:t>
      </w:r>
    </w:p>
    <w:p>
      <w:pPr>
        <w:pStyle w:val="ListBullet"/>
        <w:pBdr>
          <w:left w:val="single" w:sz="32" w:space="10" w:color="C5A55A"/>
        </w:pBdr>
        <w:spacing w:line="312" w:lineRule="auto" w:after="60"/>
        <w:ind w:left="340"/>
      </w:pPr>
      <w:r>
        <w:rPr>
          <w:rFonts w:ascii="Inter" w:hAnsi="Inter" w:cs="Inter"/>
          <w:rFonts w:ascii="Inter" w:hAnsi="Inter"/>
          <w:b w:val="0"/>
          <w:i w:val="0"/>
          <w:color w:val="333333"/>
          <w:sz w:val="22"/>
        </w:rPr>
        <w:t>Phone (optional)</w:t>
      </w:r>
    </w:p>
    <w:p>
      <w:pPr>
        <w:pStyle w:val="ListBullet"/>
        <w:pBdr>
          <w:left w:val="single" w:sz="32" w:space="10" w:color="C5A55A"/>
        </w:pBdr>
        <w:spacing w:line="312" w:lineRule="auto" w:after="60"/>
        <w:ind w:left="340"/>
      </w:pPr>
      <w:r>
        <w:rPr>
          <w:rFonts w:ascii="Inter" w:hAnsi="Inter" w:cs="Inter"/>
          <w:rFonts w:ascii="Inter" w:hAnsi="Inter"/>
          <w:b w:val="0"/>
          <w:i w:val="0"/>
          <w:color w:val="333333"/>
          <w:sz w:val="22"/>
        </w:rPr>
        <w:t>Engagement type: [Sponsor / Allocator / Strategic Partner / Other]</w:t>
      </w:r>
    </w:p>
    <w:p>
      <w:pPr>
        <w:pStyle w:val="ListBullet"/>
        <w:pBdr>
          <w:left w:val="single" w:sz="32" w:space="10" w:color="C5A55A"/>
        </w:pBdr>
        <w:spacing w:line="312" w:lineRule="auto" w:after="60"/>
        <w:ind w:left="340"/>
      </w:pPr>
      <w:r>
        <w:rPr>
          <w:rFonts w:ascii="Inter" w:hAnsi="Inter" w:cs="Inter"/>
          <w:rFonts w:ascii="Inter" w:hAnsi="Inter"/>
          <w:b w:val="0"/>
          <w:i w:val="0"/>
          <w:color w:val="333333"/>
          <w:sz w:val="22"/>
        </w:rPr>
        <w:t>Short message (required · 140–500 chars)</w:t>
      </w:r>
    </w:p>
    <w:p>
      <w:pPr>
        <w:pStyle w:val="ListBullet"/>
        <w:pBdr>
          <w:left w:val="single" w:sz="32" w:space="10" w:color="C5A55A"/>
        </w:pBdr>
        <w:spacing w:line="312" w:lineRule="auto" w:after="60"/>
        <w:ind w:left="340"/>
      </w:pPr>
      <w:r>
        <w:rPr>
          <w:rFonts w:ascii="Inter" w:hAnsi="Inter" w:cs="Inter"/>
          <w:rFonts w:ascii="Inter" w:hAnsi="Inter"/>
          <w:b w:val="0"/>
          <w:i w:val="0"/>
          <w:color w:val="333333"/>
          <w:sz w:val="22"/>
        </w:rPr>
        <w:t>Confidentiality acknowledgement (required checkbox)</w:t>
      </w:r>
    </w:p>
    <w:p>
      <w:pPr>
        <w:pBdr>
          <w:left w:val="single" w:sz="40" w:space="10" w:color="C5A55A"/>
        </w:pBdr>
        <w:spacing w:before="200" w:after="80"/>
      </w:pPr>
      <w:r>
        <w:rPr>
          <w:rFonts w:ascii="EB Garamond" w:hAnsi="EB Garamond" w:cs="EB Garamond"/>
          <w:rFonts w:ascii="EB Garamond" w:hAnsi="EB Garamond"/>
          <w:b/>
          <w:i w:val="0"/>
          <w:color w:val="000000"/>
          <w:sz w:val="28"/>
        </w:rPr>
        <w:t>Direct Contact (below form)</w:t>
      </w:r>
    </w:p>
    <w:p>
      <w:pPr>
        <w:pBdr>
          <w:left w:val="single" w:sz="32" w:space="10" w:color="C5A55A"/>
        </w:pBdr>
        <w:spacing w:after="120" w:line="336" w:lineRule="auto"/>
        <w:jc w:val="left"/>
      </w:pPr>
      <w:r>
        <w:rPr>
          <w:rFonts w:ascii="Inter" w:hAnsi="Inter" w:cs="Inter"/>
          <w:rFonts w:ascii="Inter" w:hAnsi="Inter"/>
          <w:b/>
          <w:i w:val="0"/>
          <w:color w:val="333333"/>
          <w:sz w:val="22"/>
        </w:rPr>
        <w:t>Joshua Ting  ·  Executive Managing Partner</w:t>
      </w:r>
    </w:p>
    <w:p>
      <w:pPr>
        <w:pBdr>
          <w:left w:val="single" w:sz="32" w:space="10" w:color="C5A55A"/>
        </w:pBdr>
        <w:spacing w:after="120" w:line="336" w:lineRule="auto"/>
        <w:jc w:val="left"/>
      </w:pPr>
      <w:r>
        <w:rPr>
          <w:rFonts w:ascii="Inter" w:hAnsi="Inter" w:cs="Inter"/>
          <w:rFonts w:ascii="Inter" w:hAnsi="Inter"/>
          <w:b w:val="0"/>
          <w:i w:val="0"/>
          <w:color w:val="333333"/>
          <w:sz w:val="22"/>
        </w:rPr>
        <w:t>M:  +61 451 338 533</w:t>
      </w:r>
    </w:p>
    <w:p>
      <w:pPr>
        <w:pBdr>
          <w:left w:val="single" w:sz="32" w:space="10" w:color="C5A55A"/>
        </w:pBdr>
        <w:spacing w:after="120" w:line="336" w:lineRule="auto"/>
        <w:jc w:val="left"/>
      </w:pPr>
      <w:r>
        <w:rPr>
          <w:rFonts w:ascii="Inter" w:hAnsi="Inter" w:cs="Inter"/>
          <w:rFonts w:ascii="Inter" w:hAnsi="Inter"/>
          <w:b w:val="0"/>
          <w:i w:val="0"/>
          <w:color w:val="333333"/>
          <w:sz w:val="22"/>
        </w:rPr>
        <w:t>E:  joshuating53@outlook.com</w:t>
      </w:r>
    </w:p>
    <w:p>
      <w:pPr>
        <w:pBdr>
          <w:left w:val="single" w:sz="32" w:space="10" w:color="C5A55A"/>
        </w:pBdr>
        <w:spacing w:after="120" w:line="336" w:lineRule="auto"/>
        <w:jc w:val="left"/>
      </w:pPr>
      <w:r>
        <w:rPr>
          <w:rFonts w:ascii="Inter" w:hAnsi="Inter" w:cs="Inter"/>
          <w:rFonts w:ascii="Inter" w:hAnsi="Inter"/>
          <w:b w:val="0"/>
          <w:i w:val="0"/>
          <w:color w:val="333333"/>
          <w:sz w:val="22"/>
        </w:rPr>
        <w:t>Ascension Capital Partners  ·  t/a APEX Consulting Partners Pty Ltd  ·  ACN 674 649 417</w:t>
      </w:r>
    </w:p>
    <w:p>
      <w:pPr>
        <w:pBdr>
          <w:left w:val="single" w:sz="32" w:space="10" w:color="C5A55A"/>
        </w:pBdr>
        <w:spacing w:after="120" w:line="336" w:lineRule="auto"/>
        <w:jc w:val="left"/>
      </w:pPr>
      <w:r>
        <w:rPr>
          <w:rFonts w:ascii="Inter" w:hAnsi="Inter" w:cs="Inter"/>
          <w:rFonts w:ascii="Inter" w:hAnsi="Inter"/>
          <w:b w:val="0"/>
          <w:i w:val="0"/>
          <w:color w:val="333333"/>
          <w:sz w:val="22"/>
        </w:rPr>
        <w:t>Suite 3, 1 Cary Street  ·  Drummoyne NSW 2047  ·  Australia</w:t>
      </w:r>
    </w:p>
    <w:p>
      <w:r>
        <w:br w:type="page"/>
      </w:r>
    </w:p>
    <w:p>
      <w:pPr>
        <w:pBdr>
          <w:left w:val="single" w:sz="48" w:space="10" w:color="C5A55A"/>
        </w:pBdr>
        <w:spacing w:before="320" w:after="160"/>
      </w:pPr>
      <w:r>
        <w:rPr>
          <w:rFonts w:ascii="EB Garamond" w:hAnsi="EB Garamond" w:cs="EB Garamond"/>
          <w:rFonts w:ascii="EB Garamond" w:hAnsi="EB Garamond"/>
          <w:b/>
          <w:i w:val="0"/>
          <w:color w:val="000000"/>
          <w:sz w:val="36"/>
        </w:rPr>
        <w:t>MICROCOPY LIBRARY</w:t>
      </w:r>
    </w:p>
    <w:p>
      <w:pPr>
        <w:pBdr>
          <w:left w:val="single" w:sz="40" w:space="10" w:color="C5A55A"/>
        </w:pBdr>
        <w:spacing w:before="200" w:after="80"/>
      </w:pPr>
      <w:r>
        <w:rPr>
          <w:rFonts w:ascii="EB Garamond" w:hAnsi="EB Garamond" w:cs="EB Garamond"/>
          <w:rFonts w:ascii="EB Garamond" w:hAnsi="EB Garamond"/>
          <w:b/>
          <w:i w:val="0"/>
          <w:color w:val="000000"/>
          <w:sz w:val="28"/>
        </w:rPr>
        <w:t>Buttons / CTAs</w:t>
      </w:r>
    </w:p>
    <w:p>
      <w:pPr>
        <w:pStyle w:val="ListBullet"/>
        <w:pBdr>
          <w:left w:val="single" w:sz="32" w:space="10" w:color="C5A55A"/>
        </w:pBdr>
        <w:spacing w:line="312" w:lineRule="auto" w:after="60"/>
        <w:ind w:left="340"/>
      </w:pPr>
      <w:r>
        <w:rPr>
          <w:rFonts w:ascii="Inter" w:hAnsi="Inter" w:cs="Inter"/>
          <w:rFonts w:ascii="Inter" w:hAnsi="Inter"/>
          <w:b w:val="0"/>
          <w:i w:val="0"/>
          <w:color w:val="333333"/>
          <w:sz w:val="22"/>
        </w:rPr>
        <w:t>Primary: Request Institutional Access  →</w:t>
      </w:r>
    </w:p>
    <w:p>
      <w:pPr>
        <w:pStyle w:val="ListBullet"/>
        <w:pBdr>
          <w:left w:val="single" w:sz="32" w:space="10" w:color="C5A55A"/>
        </w:pBdr>
        <w:spacing w:line="312" w:lineRule="auto" w:after="60"/>
        <w:ind w:left="340"/>
      </w:pPr>
      <w:r>
        <w:rPr>
          <w:rFonts w:ascii="Inter" w:hAnsi="Inter" w:cs="Inter"/>
          <w:rFonts w:ascii="Inter" w:hAnsi="Inter"/>
          <w:b w:val="0"/>
          <w:i w:val="0"/>
          <w:color w:val="333333"/>
          <w:sz w:val="22"/>
        </w:rPr>
        <w:t>Secondary: Read the Market Letter</w:t>
      </w:r>
    </w:p>
    <w:p>
      <w:pPr>
        <w:pStyle w:val="ListBullet"/>
        <w:pBdr>
          <w:left w:val="single" w:sz="32" w:space="10" w:color="C5A55A"/>
        </w:pBdr>
        <w:spacing w:line="312" w:lineRule="auto" w:after="60"/>
        <w:ind w:left="340"/>
      </w:pPr>
      <w:r>
        <w:rPr>
          <w:rFonts w:ascii="Inter" w:hAnsi="Inter" w:cs="Inter"/>
          <w:rFonts w:ascii="Inter" w:hAnsi="Inter"/>
          <w:b w:val="0"/>
          <w:i w:val="0"/>
          <w:color w:val="333333"/>
          <w:sz w:val="22"/>
        </w:rPr>
        <w:t>Tertiary: Subscribe to The Ascension Note</w:t>
      </w:r>
    </w:p>
    <w:p>
      <w:pPr>
        <w:pStyle w:val="ListBullet"/>
        <w:pBdr>
          <w:left w:val="single" w:sz="32" w:space="10" w:color="C5A55A"/>
        </w:pBdr>
        <w:spacing w:line="312" w:lineRule="auto" w:after="60"/>
        <w:ind w:left="340"/>
      </w:pPr>
      <w:r>
        <w:rPr>
          <w:rFonts w:ascii="Inter" w:hAnsi="Inter" w:cs="Inter"/>
          <w:rFonts w:ascii="Inter" w:hAnsi="Inter"/>
          <w:b w:val="0"/>
          <w:i w:val="0"/>
          <w:color w:val="333333"/>
          <w:sz w:val="22"/>
        </w:rPr>
        <w:t>Contact: Initiate Contact  →</w:t>
      </w:r>
    </w:p>
    <w:p>
      <w:pPr>
        <w:pStyle w:val="ListBullet"/>
        <w:pBdr>
          <w:left w:val="single" w:sz="32" w:space="10" w:color="C5A55A"/>
        </w:pBdr>
        <w:spacing w:line="312" w:lineRule="auto" w:after="60"/>
        <w:ind w:left="340"/>
      </w:pPr>
      <w:r>
        <w:rPr>
          <w:rFonts w:ascii="Inter" w:hAnsi="Inter" w:cs="Inter"/>
          <w:rFonts w:ascii="Inter" w:hAnsi="Inter"/>
          <w:b w:val="0"/>
          <w:i w:val="0"/>
          <w:color w:val="333333"/>
          <w:sz w:val="22"/>
        </w:rPr>
        <w:t>NDA-gated: Request VDR Access</w:t>
      </w:r>
    </w:p>
    <w:p>
      <w:pPr>
        <w:pStyle w:val="ListBullet"/>
        <w:pBdr>
          <w:left w:val="single" w:sz="32" w:space="10" w:color="C5A55A"/>
        </w:pBdr>
        <w:spacing w:line="312" w:lineRule="auto" w:after="60"/>
        <w:ind w:left="340"/>
      </w:pPr>
      <w:r>
        <w:rPr>
          <w:rFonts w:ascii="Inter" w:hAnsi="Inter" w:cs="Inter"/>
          <w:rFonts w:ascii="Inter" w:hAnsi="Inter"/>
          <w:b w:val="0"/>
          <w:i w:val="0"/>
          <w:color w:val="333333"/>
          <w:sz w:val="22"/>
        </w:rPr>
        <w:t>Thought leadership: Read the Memo  →</w:t>
      </w:r>
    </w:p>
    <w:p>
      <w:pPr>
        <w:pBdr>
          <w:left w:val="single" w:sz="40" w:space="10" w:color="C5A55A"/>
        </w:pBdr>
        <w:spacing w:before="200" w:after="80"/>
      </w:pPr>
      <w:r>
        <w:rPr>
          <w:rFonts w:ascii="EB Garamond" w:hAnsi="EB Garamond" w:cs="EB Garamond"/>
          <w:rFonts w:ascii="EB Garamond" w:hAnsi="EB Garamond"/>
          <w:b/>
          <w:i w:val="0"/>
          <w:color w:val="000000"/>
          <w:sz w:val="28"/>
        </w:rPr>
        <w:t>Empty States / Errors</w:t>
      </w:r>
    </w:p>
    <w:p>
      <w:pPr>
        <w:pStyle w:val="ListBullet"/>
        <w:pBdr>
          <w:left w:val="single" w:sz="32" w:space="10" w:color="C5A55A"/>
        </w:pBdr>
        <w:spacing w:line="312" w:lineRule="auto" w:after="60"/>
        <w:ind w:left="340"/>
      </w:pPr>
      <w:r>
        <w:rPr>
          <w:rFonts w:ascii="Inter" w:hAnsi="Inter" w:cs="Inter"/>
          <w:rFonts w:ascii="Inter" w:hAnsi="Inter"/>
          <w:b w:val="0"/>
          <w:i w:val="0"/>
          <w:color w:val="333333"/>
          <w:sz w:val="22"/>
        </w:rPr>
        <w:t>Form not submitted: "The enquiry didn't reach us. Please try again, or email directly."</w:t>
      </w:r>
    </w:p>
    <w:p>
      <w:pPr>
        <w:pStyle w:val="ListBullet"/>
        <w:pBdr>
          <w:left w:val="single" w:sz="32" w:space="10" w:color="C5A55A"/>
        </w:pBdr>
        <w:spacing w:line="312" w:lineRule="auto" w:after="60"/>
        <w:ind w:left="340"/>
      </w:pPr>
      <w:r>
        <w:rPr>
          <w:rFonts w:ascii="Inter" w:hAnsi="Inter" w:cs="Inter"/>
          <w:rFonts w:ascii="Inter" w:hAnsi="Inter"/>
          <w:b w:val="0"/>
          <w:i w:val="0"/>
          <w:color w:val="333333"/>
          <w:sz w:val="22"/>
        </w:rPr>
        <w:t>Email validation: "We respond to institutional email addresses only. Please use your firm domain."</w:t>
      </w:r>
    </w:p>
    <w:p>
      <w:pPr>
        <w:pStyle w:val="ListBullet"/>
        <w:pBdr>
          <w:left w:val="single" w:sz="32" w:space="10" w:color="C5A55A"/>
        </w:pBdr>
        <w:spacing w:line="312" w:lineRule="auto" w:after="60"/>
        <w:ind w:left="340"/>
      </w:pPr>
      <w:r>
        <w:rPr>
          <w:rFonts w:ascii="Inter" w:hAnsi="Inter" w:cs="Inter"/>
          <w:rFonts w:ascii="Inter" w:hAnsi="Inter"/>
          <w:b w:val="0"/>
          <w:i w:val="0"/>
          <w:color w:val="333333"/>
          <w:sz w:val="22"/>
        </w:rPr>
        <w:t>Success: "Received. We respond to qualified institutional enquiries within 48 hours."</w:t>
      </w:r>
    </w:p>
    <w:p>
      <w:pPr>
        <w:pStyle w:val="ListBullet"/>
        <w:pBdr>
          <w:left w:val="single" w:sz="32" w:space="10" w:color="C5A55A"/>
        </w:pBdr>
        <w:spacing w:line="312" w:lineRule="auto" w:after="60"/>
        <w:ind w:left="340"/>
      </w:pPr>
      <w:r>
        <w:rPr>
          <w:rFonts w:ascii="Inter" w:hAnsi="Inter" w:cs="Inter"/>
          <w:rFonts w:ascii="Inter" w:hAnsi="Inter"/>
          <w:b w:val="0"/>
          <w:i w:val="0"/>
          <w:color w:val="333333"/>
          <w:sz w:val="22"/>
        </w:rPr>
        <w:t>404: "This page has moved. Return to the homepage or contact us directly."</w:t>
      </w:r>
    </w:p>
    <w:p>
      <w:pPr>
        <w:pBdr>
          <w:left w:val="single" w:sz="40" w:space="10" w:color="C5A55A"/>
        </w:pBdr>
        <w:spacing w:before="200" w:after="80"/>
      </w:pPr>
      <w:r>
        <w:rPr>
          <w:rFonts w:ascii="EB Garamond" w:hAnsi="EB Garamond" w:cs="EB Garamond"/>
          <w:rFonts w:ascii="EB Garamond" w:hAnsi="EB Garamond"/>
          <w:b/>
          <w:i w:val="0"/>
          <w:color w:val="000000"/>
          <w:sz w:val="28"/>
        </w:rPr>
        <w:t>Cookie / Legal</w:t>
      </w:r>
    </w:p>
    <w:p>
      <w:pPr>
        <w:pStyle w:val="ListBullet"/>
        <w:pBdr>
          <w:left w:val="single" w:sz="32" w:space="10" w:color="C5A55A"/>
        </w:pBdr>
        <w:spacing w:line="312" w:lineRule="auto" w:after="60"/>
        <w:ind w:left="340"/>
      </w:pPr>
      <w:r>
        <w:rPr>
          <w:rFonts w:ascii="Inter" w:hAnsi="Inter" w:cs="Inter"/>
          <w:rFonts w:ascii="Inter" w:hAnsi="Inter"/>
          <w:b w:val="0"/>
          <w:i w:val="0"/>
          <w:color w:val="333333"/>
          <w:sz w:val="22"/>
        </w:rPr>
        <w:t>Cookie banner: "This site uses essential cookies only. No tracking, no advertising. See our privacy notice."</w:t>
      </w:r>
    </w:p>
    <w:p>
      <w:pPr>
        <w:pStyle w:val="ListBullet"/>
        <w:pBdr>
          <w:left w:val="single" w:sz="32" w:space="10" w:color="C5A55A"/>
        </w:pBdr>
        <w:spacing w:line="312" w:lineRule="auto" w:after="60"/>
        <w:ind w:left="340"/>
      </w:pPr>
      <w:r>
        <w:rPr>
          <w:rFonts w:ascii="Inter" w:hAnsi="Inter" w:cs="Inter"/>
          <w:rFonts w:ascii="Inter" w:hAnsi="Inter"/>
          <w:b w:val="0"/>
          <w:i w:val="0"/>
          <w:color w:val="333333"/>
          <w:sz w:val="22"/>
        </w:rPr>
        <w:t>Privacy link footer: "Confidentiality · Privacy · Regulatory"</w:t>
      </w:r>
    </w:p>
    <w:p>
      <w:pPr>
        <w:pBdr>
          <w:left w:val="single" w:sz="40" w:space="10" w:color="C5A55A"/>
        </w:pBdr>
        <w:spacing w:before="200" w:after="80"/>
      </w:pPr>
      <w:r>
        <w:rPr>
          <w:rFonts w:ascii="EB Garamond" w:hAnsi="EB Garamond" w:cs="EB Garamond"/>
          <w:rFonts w:ascii="EB Garamond" w:hAnsi="EB Garamond"/>
          <w:b/>
          <w:i w:val="0"/>
          <w:color w:val="000000"/>
          <w:sz w:val="28"/>
        </w:rPr>
        <w:t>Footer</w:t>
      </w:r>
    </w:p>
    <w:p>
      <w:pPr>
        <w:pBdr>
          <w:left w:val="single" w:sz="32" w:space="10" w:color="C5A55A"/>
        </w:pBdr>
        <w:spacing w:after="120" w:line="336" w:lineRule="auto"/>
        <w:jc w:val="left"/>
      </w:pPr>
      <w:r>
        <w:rPr>
          <w:rFonts w:ascii="Inter" w:hAnsi="Inter" w:cs="Inter"/>
          <w:rFonts w:ascii="Inter" w:hAnsi="Inter"/>
          <w:b w:val="0"/>
          <w:i/>
          <w:color w:val="9B9B9B"/>
          <w:sz w:val="18"/>
        </w:rPr>
        <w:t>Ascension Capital Partners  ·  trading as APEX Consulting Partners Pty Ltd  ·  ACN 674 649 417  ·  Suite 3, 1 Cary Street, Drummoyne NSW 2047 Australia</w:t>
      </w:r>
    </w:p>
    <w:p>
      <w:pPr>
        <w:pBdr>
          <w:left w:val="single" w:sz="32" w:space="10" w:color="C5A55A"/>
        </w:pBdr>
        <w:spacing w:after="120" w:line="336" w:lineRule="auto"/>
        <w:jc w:val="left"/>
      </w:pPr>
      <w:r>
        <w:rPr>
          <w:rFonts w:ascii="Inter" w:hAnsi="Inter" w:cs="Inter"/>
          <w:rFonts w:ascii="Inter" w:hAnsi="Inter"/>
          <w:b w:val="0"/>
          <w:i/>
          <w:color w:val="9B9B9B"/>
          <w:sz w:val="18"/>
        </w:rPr>
        <w:t>Nothing on this website constitutes an offer, solicitation or recommendation to buy or sell any financial product. Materials available on request to qualified institutional counterparties only, under executed NDA and KYC/AML clearance.</w:t>
      </w:r>
    </w:p>
    <w:sectPr w:rsidR="00FC693F" w:rsidRPr="0006063C" w:rsidSect="00034616">
      <w:headerReference w:type="default" r:id="rId9"/>
      <w:footerReference w:type="default" r:id="rId10"/>
      <w:pgSz w:w="11906" w:h="16838"/>
      <w:pgMar w:top="1417" w:right="1417" w:bottom="1417" w:left="1701" w:header="680" w:footer="68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Inter" w:hAnsi="Inter" w:cs="Inter"/>
        <w:rFonts w:ascii="Inter" w:hAnsi="Inter"/>
        <w:b w:val="0"/>
        <w:i w:val="0"/>
        <w:color w:val="9B9B9B"/>
        <w:sz w:val="16"/>
      </w:rPr>
      <w:t>Ascension Capital Partners  |  Strictly Confidential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8787" w:val="left"/>
      </w:tabs>
      <w:pBdr>
        <w:bottom w:val="single" w:sz="8" w:space="1" w:color="C5A55A"/>
      </w:pBdr>
    </w:pPr>
    <w:r>
      <w:rPr>
        <w:rFonts w:ascii="Inter" w:hAnsi="Inter" w:cs="Inter"/>
        <w:rFonts w:ascii="Inter" w:hAnsi="Inter"/>
        <w:b/>
        <w:i w:val="0"/>
        <w:color w:val="333333"/>
        <w:sz w:val="18"/>
      </w:rPr>
      <w:t>ASCENSION CAPITAL PARTNERS</w:t>
    </w:r>
    <w:r>
      <w:rPr>
        <w:rFonts w:ascii="Inter" w:hAnsi="Inter" w:cs="Inter"/>
        <w:rFonts w:ascii="Inter" w:hAnsi="Inter"/>
        <w:b w:val="0"/>
        <w:i w:val="0"/>
        <w:color w:val="333333"/>
        <w:sz w:val="18"/>
      </w:rPr>
      <w:tab/>
    </w:r>
    <w:r>
      <w:rPr>
        <w:rFonts w:ascii="Inter" w:hAnsi="Inter" w:cs="Inter"/>
        <w:rFonts w:ascii="Inter" w:hAnsi="Inter"/>
        <w:b w:val="0"/>
        <w:i w:val="0"/>
        <w:color w:val="333333"/>
        <w:sz w:val="18"/>
      </w:rPr>
      <w:t>WEBSITE COPY SYSTEM V1.0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36" w:lineRule="auto" w:after="120"/>
    </w:pPr>
    <w:rPr>
      <w:rFonts w:ascii="Inter" w:hAnsi="Inter" w:cs="Inter"/>
      <w:rFonts w:ascii="Inter" w:hAnsi="Inter"/>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