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Video Game Localization Prioritization Tool</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Capstone Three Project Proposal - Joshua Ogden-Davis</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will build a tool to approximate a specific language market’s interest in a game based on its genre and price point. This tool could be used by game studios, publishers, or language service providers to instantly get a rough idea of the ROI for localizing a specific title into a specific language.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The test case will be a Suspense/Horror game priced at the equivalent of $19.99, and we will attempt to reliably determine whether it will receive above average or below average interest from the Simplified Chinese market on Steam.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Localization is an expensive gamble. Even when using generative AI, a large amount of personnel hours goes into re-creating a game (and all its assets) into a new language. If the game does not fit the target audience’s interests well enough, there is a real danger that the publisher will not recoup the localization costs.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While larger publishers my have a general idea of which markets to localize into, their approach might not be data-driven. At smaller publishers or at self-publishing studios, international market analysis expertise may not exist at all. A standalone tool that could give an indication of a specific market’s interest in similar games could help these companies quickly estimate the relative success potential of their game in various languages.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Criteria for Success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project will be successful if it can estimate a language market’s “Interest” in a game given the genre and price point as represented on Steam. Additional significant features may be discovered along the way.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“Interest” will be measured as a percentage of a game’s reviews that are in the target language minus the average number of reviews in that language for all games. This will give us an idea of whether a certain genre performs better or worse in that market than other genres.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Scope of Solution Space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result will consist of a numerical indicator of the market’s relevant interest based on publicly available sales &amp; review data.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relationship between “interest” and actual sales may not always be straightforward. We also will not know whether the relative percentage of reviews is a consistent indicator until the scraper is already built and implemented.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game publisher would provide the genres &amp; price points to be tested against the model. Steam, as the holder of the key data, will play a role in determining the availability of the data.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Key Data Sources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majority of our data will come from scraping the Steam platform. If this data proves insufficient for making reliable predictions, we can explore integrating other data sources (such as the “Video Game Sales” </w:t>
      </w:r>
      <w:hyperlink r:id="rId6">
        <w:r w:rsidDel="00000000" w:rsidR="00000000" w:rsidRPr="00000000">
          <w:rPr>
            <w:color w:val="1155cc"/>
            <w:sz w:val="24"/>
            <w:szCs w:val="24"/>
            <w:u w:val="single"/>
            <w:rtl w:val="0"/>
          </w:rPr>
          <w:t xml:space="preserve">dataset</w:t>
        </w:r>
      </w:hyperlink>
      <w:r w:rsidDel="00000000" w:rsidR="00000000" w:rsidRPr="00000000">
        <w:rPr>
          <w:sz w:val="24"/>
          <w:szCs w:val="24"/>
          <w:rtl w:val="0"/>
        </w:rPr>
        <w:t xml:space="preserve"> </w:t>
      </w:r>
      <w:r w:rsidDel="00000000" w:rsidR="00000000" w:rsidRPr="00000000">
        <w:rPr>
          <w:sz w:val="24"/>
          <w:szCs w:val="24"/>
          <w:rtl w:val="0"/>
        </w:rPr>
        <w:t xml:space="preserve">on Kaggle) to see if we can find relationships between a larger number of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