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Feedback Prize: Evaluating Student Writing</w:t>
      </w:r>
    </w:p>
    <w:p>
      <w:pPr>
        <w:spacing w:after="80" w:before="0"/>
        <w:jc w:val="center"/>
      </w:pPr>
      <w:r>
        <w:rPr>
          <w:rFonts w:ascii="Times New Roman" w:cs="Times New Roman" w:eastAsia="Times New Roman" w:hAnsi="Times New Roman"/>
          <w:i/>
          <w:iCs/>
          <w:sz w:val="24"/>
          <w:szCs w:val="24"/>
        </w:rPr>
        <w:t xml:space="preserve">Deep Learning Project Report</w:t>
      </w:r>
    </w:p>
    <w:p>
      <w:pPr>
        <w:spacing w:after="80" w:before="0"/>
        <w:jc w:val="center"/>
      </w:pPr>
      <w:r>
        <w:rPr>
          <w:rFonts w:ascii="Times New Roman" w:cs="Times New Roman" w:eastAsia="Times New Roman" w:hAnsi="Times New Roman"/>
          <w:sz w:val="24"/>
          <w:szCs w:val="24"/>
        </w:rPr>
        <w:t xml:space="preserve">Hashim Khan, Sherman LaCost, Josh Trinh</w:t>
      </w:r>
    </w:p>
    <w:p>
      <w:pPr>
        <w:spacing w:after="80" w:before="0"/>
        <w:jc w:val="center"/>
      </w:pPr>
      <w:r>
        <w:rPr>
          <w:rFonts w:ascii="Times New Roman" w:cs="Times New Roman" w:eastAsia="Times New Roman" w:hAnsi="Times New Roman"/>
          <w:sz w:val="24"/>
          <w:szCs w:val="24"/>
        </w:rPr>
        <w:t xml:space="preserve">Muma College of Business, University of South Florida</w:t>
      </w:r>
    </w:p>
    <w:p>
      <w:pPr>
        <w:spacing w:after="240" w:before="0"/>
        <w:jc w:val="center"/>
      </w:pPr>
      <w:r>
        <w:rPr>
          <w:rFonts w:ascii="Times New Roman" w:cs="Times New Roman" w:eastAsia="Times New Roman" w:hAnsi="Times New Roman"/>
          <w:sz w:val="24"/>
          <w:szCs w:val="24"/>
        </w:rPr>
        <w:t xml:space="preserve">Spring 2025</w:t>
      </w:r>
    </w:p>
    <w:p>
      <w:pPr>
        <w:pBdr>
          <w:bottom w:val="single" w:color="000000" w:sz="6" w:space="4"/>
        </w:pBdr>
        <w:spacing w:after="120" w:before="240"/>
      </w:pPr>
      <w:r>
        <w:rPr>
          <w:rFonts w:ascii="Times New Roman" w:cs="Times New Roman" w:eastAsia="Times New Roman" w:hAnsi="Times New Roman"/>
          <w:b/>
          <w:bCs/>
          <w:color w:val="000000"/>
          <w:sz w:val="28"/>
          <w:szCs w:val="28"/>
        </w:rPr>
        <w:t xml:space="preserve">1. Introduction and Problem Statement</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Writing is one of the most critical skills a student can develop, yet fewer than one in three high school seniors are proficient writers according to the National Assessment of Educational Progress. Among low-income, Black, and Hispanic students, writing proficiency drops below 15 percent. Automated feedback tools represent a scalable solution to this equity gap, but existing tools suffer from two key limitations: they frequently fail to identify argumentative writing structures accurately, and the majority are proprietary and unaffordable for under-resourced schools.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This project addresses these limitations through the Kaggle </w:t>
      </w:r>
      <w:r>
        <w:rPr>
          <w:rFonts w:ascii="Times New Roman" w:cs="Times New Roman" w:eastAsia="Times New Roman" w:hAnsi="Times New Roman"/>
          <w:b w:val="false"/>
          <w:bCs w:val="false"/>
          <w:i/>
          <w:iCs/>
          <w:sz w:val="24"/>
          <w:szCs w:val="24"/>
        </w:rPr>
        <w:t xml:space="preserve">Feedback Prize: Evaluating Student Writing</w:t>
      </w:r>
      <w:r>
        <w:rPr>
          <w:rFonts w:ascii="Times New Roman" w:cs="Times New Roman" w:eastAsia="Times New Roman" w:hAnsi="Times New Roman"/>
          <w:b w:val="false"/>
          <w:bCs w:val="false"/>
          <w:i w:val="false"/>
          <w:iCs w:val="false"/>
          <w:sz w:val="24"/>
          <w:szCs w:val="24"/>
        </w:rPr>
        <w:t xml:space="preserve"> competition, hosted by Georgia State University and The Learning Agency Lab — a nonprofit focused on science of learning tools for social good. The task requires automatically segmenting and classifying seven argumentative discourse elements in essays written by 6th through 12th grade students: Lead, Position, Claim, Counterclaim, Rebuttal, Evidence, and Concluding Statement. The dataset is the largest student writing dataset ever publicly released, comprising 15,594 essays and 144,293 labeled discourse spans.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evaluation metric is a word-level overlap F1 score. A predicted span is counted as a true positive only if its word indices overlap at least 50 percent with the ground truth span. This metric penalizes both span boundary errors and incorrect discourse type labels, making it a rigorous measure of model performance.</w:t>
      </w:r>
    </w:p>
    <w:p>
      <w:pPr>
        <w:pBdr>
          <w:bottom w:val="single" w:color="000000" w:sz="6" w:space="4"/>
        </w:pBdr>
        <w:spacing w:after="120" w:before="240"/>
      </w:pPr>
      <w:r>
        <w:rPr>
          <w:rFonts w:ascii="Times New Roman" w:cs="Times New Roman" w:eastAsia="Times New Roman" w:hAnsi="Times New Roman"/>
          <w:b/>
          <w:bCs/>
          <w:color w:val="000000"/>
          <w:sz w:val="28"/>
          <w:szCs w:val="28"/>
        </w:rPr>
        <w:t xml:space="preserve">2. Dataset and Exploratory Data Analysis</w:t>
      </w:r>
    </w:p>
    <w:p>
      <w:pPr>
        <w:spacing w:after="80" w:before="180"/>
      </w:pPr>
      <w:r>
        <w:rPr>
          <w:rFonts w:ascii="Times New Roman" w:cs="Times New Roman" w:eastAsia="Times New Roman" w:hAnsi="Times New Roman"/>
          <w:b/>
          <w:bCs/>
          <w:i/>
          <w:iCs/>
          <w:color w:val="000000"/>
          <w:sz w:val="24"/>
          <w:szCs w:val="24"/>
        </w:rPr>
        <w:t xml:space="preserve">2.1 Dataset Overview</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training corpus consists of 15,594 argumentative essays with ground truth discourse annotations. Essays average 421 words, with lengths ranging from 144 to 1,656 words. Token length analysis using the DeBERTa tokenizer revealed a critical architectural constraint: 38.4 percent of essays exceed 512 tokens — the default context window of standard BERT models — while only 2.4 percent exceed 1,024 tokens. This finding directly motivated the selection of models with extended context windows.</w:t>
      </w:r>
    </w:p>
    <w:p>
      <w:pPr>
        <w:spacing w:after="80" w:before="180"/>
      </w:pPr>
      <w:r>
        <w:rPr>
          <w:rFonts w:ascii="Times New Roman" w:cs="Times New Roman" w:eastAsia="Times New Roman" w:hAnsi="Times New Roman"/>
          <w:b/>
          <w:bCs/>
          <w:i/>
          <w:iCs/>
          <w:color w:val="000000"/>
          <w:sz w:val="24"/>
          <w:szCs w:val="24"/>
        </w:rPr>
        <w:t xml:space="preserve">2.2 Class Distribution</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dataset exhibits significant class imbalance. Claim (50,208 instances) and Evidence (45,702 instances) are by far the most frequent discourse types, while Rebuttal (4,337) and Counterclaim (5,817) are the rarest. This imbalance creates a systematic challenge: models trained with standard cross-entropy loss tend to underperform on minority classes. This was confirmed in the results, particularly for the Rebuttal class across all three models evaluated.</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Discourse Type</w:t>
            </w:r>
          </w:p>
        </w:tc>
        <w:tc>
          <w:tcPr>
            <w:tcW w:type="dxa" w:w="28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Count</w:t>
            </w:r>
          </w:p>
        </w:tc>
        <w:tc>
          <w:tcPr>
            <w:tcW w:type="dxa" w:w="28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Avg Words/Span</w:t>
            </w:r>
          </w:p>
        </w:tc>
      </w:tr>
      <w:tr>
        <w:tc>
          <w:tcPr>
            <w:tcW w:type="dxa" w:w="374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Claim</w:t>
            </w:r>
          </w:p>
        </w:tc>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50,208</w:t>
            </w:r>
          </w:p>
        </w:tc>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17</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Evidence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45,702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74</w:t>
            </w:r>
          </w:p>
        </w:tc>
      </w:tr>
      <w:tr>
        <w:tc>
          <w:tcPr>
            <w:tcW w:type="dxa" w:w="374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Position</w:t>
            </w:r>
          </w:p>
        </w:tc>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15,419</w:t>
            </w:r>
          </w:p>
        </w:tc>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28</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Concluding Statement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13,505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62</w:t>
            </w:r>
          </w:p>
        </w:tc>
      </w:tr>
      <w:tr>
        <w:tc>
          <w:tcPr>
            <w:tcW w:type="dxa" w:w="374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Lead</w:t>
            </w:r>
          </w:p>
        </w:tc>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9,305</w:t>
            </w:r>
          </w:p>
        </w:tc>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76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Counterclaim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5,817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24</w:t>
            </w:r>
          </w:p>
        </w:tc>
      </w:tr>
      <w:tr>
        <w:tc>
          <w:tcPr>
            <w:tcW w:type="dxa" w:w="374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Rebuttal</w:t>
            </w:r>
          </w:p>
        </w:tc>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4,337</w:t>
            </w:r>
          </w:p>
        </w:tc>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42</w:t>
            </w:r>
          </w:p>
        </w:tc>
      </w:tr>
    </w:tbl>
    <w:p>
      <w:pPr>
        <w:spacing w:after="160" w:before="80"/>
        <w:jc w:val="center"/>
      </w:pPr>
      <w:r>
        <w:rPr>
          <w:rFonts w:ascii="Times New Roman" w:cs="Times New Roman" w:eastAsia="Times New Roman" w:hAnsi="Times New Roman"/>
          <w:i/>
          <w:iCs/>
          <w:color w:val="444444"/>
          <w:sz w:val="20"/>
          <w:szCs w:val="20"/>
        </w:rPr>
        <w:t xml:space="preserve">Table 1: Discourse element distribution and average span length</w:t>
      </w:r>
    </w:p>
    <w:p>
      <w:pPr>
        <w:spacing w:after="80" w:before="180"/>
      </w:pPr>
      <w:r>
        <w:rPr>
          <w:rFonts w:ascii="Times New Roman" w:cs="Times New Roman" w:eastAsia="Times New Roman" w:hAnsi="Times New Roman"/>
          <w:b/>
          <w:bCs/>
          <w:i/>
          <w:iCs/>
          <w:color w:val="000000"/>
          <w:sz w:val="24"/>
          <w:szCs w:val="24"/>
        </w:rPr>
        <w:t xml:space="preserve">2.3 Discourse Transition Analysis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A discourse transition probability matrix was computed to understand how discourse types co-occur sequentially. Key findings include: Lead segments exhibit strong self-continuity (transition probability 0.82), meaning opening sections tend to span multiple consecutive sentences. Position is almost always followed by Claim (0.74), and Counterclaim frequently pairs with Rebuttal (0.66). These sequential dependencies suggest that token-level predictions should be contextually aware of prior discourse context — an advantage that transformer-based models hold over stateless classifiers.</w:t>
      </w:r>
    </w:p>
    <w:p>
      <w:pPr>
        <w:spacing w:after="80" w:before="180"/>
      </w:pPr>
      <w:r>
        <w:rPr>
          <w:rFonts w:ascii="Times New Roman" w:cs="Times New Roman" w:eastAsia="Times New Roman" w:hAnsi="Times New Roman"/>
          <w:b/>
          <w:bCs/>
          <w:i/>
          <w:iCs/>
          <w:color w:val="000000"/>
          <w:sz w:val="24"/>
          <w:szCs w:val="24"/>
        </w:rPr>
        <w:t xml:space="preserve">2.4 Word Cloud and Thematic Analysis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Word frequency analysis across all essays revealed that the most dominant themes are education-related ("student," "school," "teacher") and civic/political topics ("vote," "president," "government"). This is consistent with the 6th–12th grade argumentative writing context. The informal register of student writing — with unconventional grammar and spelling — represents a domain gap from the formal English corpora on which large language models are pretrained.</w:t>
      </w:r>
    </w:p>
    <w:p>
      <w:pPr>
        <w:pBdr>
          <w:bottom w:val="single" w:color="000000" w:sz="6" w:space="4"/>
        </w:pBdr>
        <w:spacing w:after="120" w:before="240"/>
      </w:pPr>
      <w:r>
        <w:rPr>
          <w:rFonts w:ascii="Times New Roman" w:cs="Times New Roman" w:eastAsia="Times New Roman" w:hAnsi="Times New Roman"/>
          <w:b/>
          <w:bCs/>
          <w:color w:val="000000"/>
          <w:sz w:val="28"/>
          <w:szCs w:val="28"/>
        </w:rPr>
        <w:t xml:space="preserve">3. Approach and Methodology</w:t>
      </w:r>
    </w:p>
    <w:p>
      <w:pPr>
        <w:spacing w:after="80" w:before="180"/>
      </w:pPr>
      <w:r>
        <w:rPr>
          <w:rFonts w:ascii="Times New Roman" w:cs="Times New Roman" w:eastAsia="Times New Roman" w:hAnsi="Times New Roman"/>
          <w:b/>
          <w:bCs/>
          <w:i/>
          <w:iCs/>
          <w:color w:val="000000"/>
          <w:sz w:val="24"/>
          <w:szCs w:val="24"/>
        </w:rPr>
        <w:t xml:space="preserve">3.1 Task Formulation: BIO Token Classification</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discourse segmentation task was formulated as a BIO (Beginning-Inside-Outside) token classification problem. Every word in each essay is assigned one of 15 labels: O (outside any span), B-{type} (beginning of a discourse span), or I-{type} (continuation of a span) for each of the seven discourse types. This formulation converts span detection — an inherently difficult structured prediction problem — into a per-word classification task, enabling the use of standard transformer encoder architectures.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Post-processing converts the predicted BIO label sequences back into spans. Three post-processing steps were applied: (1) invalid I- tag correction — any I-{type} tag not preceded by a B-{type} or I-{type} of the same type is corrected to B-{type}; (2) minimum span length filtering — spans below a type-specific threshold are discarded (Lead and Concluding Statement require at least 10 words; all other types require at least 5); and (3) span reconstruction by iterating over the corrected label sequence and extracting contiguous BIO spans.</w:t>
      </w:r>
    </w:p>
    <w:p>
      <w:pPr>
        <w:spacing w:after="80" w:before="180"/>
      </w:pPr>
      <w:r>
        <w:rPr>
          <w:rFonts w:ascii="Times New Roman" w:cs="Times New Roman" w:eastAsia="Times New Roman" w:hAnsi="Times New Roman"/>
          <w:b/>
          <w:bCs/>
          <w:i/>
          <w:iCs/>
          <w:color w:val="000000"/>
          <w:sz w:val="24"/>
          <w:szCs w:val="24"/>
        </w:rPr>
        <w:t xml:space="preserve">3.2 Model Pipeline</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All three models were trained on the same preprocessing pipeline. Essays were loaded as raw text and split into words. Ground truth annotations were converted to BIO tags at the word level using the competition's predictionstring format, which specifies spans as space-separated word indices. The DeBERTa tokenizer and the Longformer tokenizer handle subword tokenization — for each word, the first subword token inherits the word's BIO label, while subsequent subword tokens receive the I- version of that label (or -100 for special tokens, which are excluded from loss computation). All sequences were padded or truncated to each model's maximum length.</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Model evaluation used 5-fold GroupKFold cross-validation, splitting by essay ID to prevent data leakage between folds. The evaluation metric was the competition's word-overlap F1 score, computed at the span level.</w:t>
      </w:r>
    </w:p>
    <w:p>
      <w:pPr>
        <w:pBdr>
          <w:bottom w:val="single" w:color="000000" w:sz="6" w:space="4"/>
        </w:pBdr>
        <w:spacing w:after="120" w:before="240"/>
      </w:pPr>
      <w:r>
        <w:rPr>
          <w:rFonts w:ascii="Times New Roman" w:cs="Times New Roman" w:eastAsia="Times New Roman" w:hAnsi="Times New Roman"/>
          <w:b/>
          <w:bCs/>
          <w:color w:val="000000"/>
          <w:sz w:val="28"/>
          <w:szCs w:val="28"/>
        </w:rPr>
        <w:t xml:space="preserve">4. Models</w:t>
      </w:r>
    </w:p>
    <w:p>
      <w:pPr>
        <w:spacing w:after="80" w:before="180"/>
      </w:pPr>
      <w:r>
        <w:rPr>
          <w:rFonts w:ascii="Times New Roman" w:cs="Times New Roman" w:eastAsia="Times New Roman" w:hAnsi="Times New Roman"/>
          <w:b/>
          <w:bCs/>
          <w:i/>
          <w:iCs/>
          <w:color w:val="000000"/>
          <w:sz w:val="24"/>
          <w:szCs w:val="24"/>
        </w:rPr>
        <w:t xml:space="preserve">4.1 Model 1: Bidirectional LSTM (Baseline)</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A Bidirectional LSTM with GloVe 100-dimensional pretrained embeddings was implemented as the baseline model. BiLSTMs process sequences in both forward and backward directions, allowing each token to incorporate context from the entire surrounding sequence. The model architecture consists of two stacked BiLSTM layers with hidden dimension 256, followed by a linear classification head. Dropout of 0.3 was applied for regularization. The model was trained for 10 epochs using Adam optimizer (lr = 1e-3) with batch size 32, completing in approximately 35 minutes.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LSTM serves as a meaningful baseline because it directly models sequential dependencies without requiring pretraining, making it fast and interpretable. However, the model has two fundamental limitations: it lacks large-scale pretrained language knowledge, and it processes tokens independently without the bidirectional cross-attention that transformer architectures use to capture long-range dependencies spanning hundreds of tokens. The LSTM achieved a training F1 of 65.85% and a validation F1 of 40.89%, with a performance gap of 24.96 percentage points — indicating significant overfitting.</w:t>
      </w:r>
    </w:p>
    <w:p>
      <w:pPr>
        <w:spacing w:after="80" w:before="180"/>
      </w:pPr>
      <w:r>
        <w:rPr>
          <w:rFonts w:ascii="Times New Roman" w:cs="Times New Roman" w:eastAsia="Times New Roman" w:hAnsi="Times New Roman"/>
          <w:b/>
          <w:bCs/>
          <w:i/>
          <w:iCs/>
          <w:color w:val="000000"/>
          <w:sz w:val="24"/>
          <w:szCs w:val="24"/>
        </w:rPr>
        <w:t xml:space="preserve">4.2 Model 2: DeBERTa-v3-large (Primary Model — Hashim Khan)</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DeBERTa-v3-large (Decoding-enhanced BERT with Disentangled Attention, version 3, large variant) is a 400-million-parameter transformer developed by Microsoft. Two key architectural innovations distinguish it from standard BERT and RoBERTa.</w:t>
      </w:r>
    </w:p>
    <w:p>
      <w:pPr>
        <w:spacing w:after="80" w:before="0" w:line="240"/>
        <w:jc w:val="both"/>
      </w:pPr>
      <w:r>
        <w:rPr>
          <w:rFonts w:ascii="Times New Roman" w:cs="Times New Roman" w:eastAsia="Times New Roman" w:hAnsi="Times New Roman"/>
          <w:b w:val="false"/>
          <w:bCs w:val="false"/>
          <w:i w:val="false"/>
          <w:iCs w:val="false"/>
          <w:sz w:val="24"/>
          <w:szCs w:val="24"/>
        </w:rPr>
        <w:t xml:space="preserve">Disentangled Attention: </w:t>
      </w:r>
      <w:r>
        <w:rPr>
          <w:rFonts w:ascii="Times New Roman" w:cs="Times New Roman" w:eastAsia="Times New Roman" w:hAnsi="Times New Roman"/>
          <w:b/>
          <w:bCs/>
          <w:i w:val="false"/>
          <w:iCs w:val="false"/>
          <w:sz w:val="24"/>
          <w:szCs w:val="24"/>
        </w:rPr>
        <w:t xml:space="preserve">In standard BERT, each token is represented by a single embedding vector that combines its semantic content and its absolute position in the sequence. DeBERTa encodes these as two separate vectors — one for content and one for position — and computes attention weights using all four cross-combinations: content-to-content, content-to-position, position-to-content, and position-to-position. This disentangled mechanism produces significantly richer token representations, particularly for tasks where both what a word means and where it appears in the document are relevant — exactly the case for discourse classification, where the same sentence carries different discourse functions depending on its location in the essay.</w:t>
      </w:r>
    </w:p>
    <w:p>
      <w:pPr>
        <w:spacing w:after="80" w:before="0" w:line="240"/>
        <w:jc w:val="both"/>
      </w:pPr>
      <w:r>
        <w:rPr>
          <w:rFonts w:ascii="Times New Roman" w:cs="Times New Roman" w:eastAsia="Times New Roman" w:hAnsi="Times New Roman"/>
          <w:b w:val="false"/>
          <w:bCs w:val="false"/>
          <w:i w:val="false"/>
          <w:iCs w:val="false"/>
          <w:sz w:val="24"/>
          <w:szCs w:val="24"/>
        </w:rPr>
        <w:t xml:space="preserve">ELECTRA-style Pre-training (v3): </w:t>
      </w:r>
      <w:r>
        <w:rPr>
          <w:rFonts w:ascii="Times New Roman" w:cs="Times New Roman" w:eastAsia="Times New Roman" w:hAnsi="Times New Roman"/>
          <w:b/>
          <w:bCs/>
          <w:i w:val="false"/>
          <w:iCs w:val="false"/>
          <w:sz w:val="24"/>
          <w:szCs w:val="24"/>
        </w:rPr>
        <w:t xml:space="preserve">Standard BERT pretraining masks approximately 15% of tokens and trains the model to predict the masked values. This is sample-inefficient — the model only learns from the 15% of tokens it must predict. DeBERTa-v3 adopts the ELECTRA pretraining objective: a small generator network replaces some tokens with plausible but incorrect alternatives, and the DeBERTa discriminator must identify which tokens were replaced. Because the discriminator evaluates every token in every sentence, it extracts approximately four times more learning signal per training example than BERT's masked language modeling approach.</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model was fine-tuned with a linear token classification head mapping hidden states to 15 BIO labels. Training used AdamW optimizer (lr = 2e-5), bfloat16 mixed precision on an NVIDIA A100 GPU in Google Colab, batch size 2 with gradient accumulation of 16 steps (effective batch size 32), and 5 training epochs. The context window was set to MAX_LEN = 1,024 tokens, motivated by the EDA finding that 97.6% of essays fit within this window. Due to Colab session constraints, only Fold 1 of the 5-fold cross-validation was completed (12,475 training essays, 3,119 validation essays).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Training loss decreased from 1.7789 (Epoch 1) to 1.0913 (Epoch 5), with no signs of overfitting. The model achieved a validation F1 of 0.5537 on 200 randomly sampled hold-out essays from Fold 1.</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Limitations: The 400M parameter scale requires high-end GPU hardware. CUDA compatibility issues were encountered on Kaggle's T4 and P100 GPUs (the bfloat16 data type is not supported on compute capability &lt; 8.0), forcing CPU inference during evaluation. Only one of five folds was trained due to compute constraints, limiting generalization to a single-fold estimate.</w:t>
      </w:r>
    </w:p>
    <w:p>
      <w:pPr>
        <w:spacing w:after="80" w:before="180"/>
      </w:pPr>
      <w:r>
        <w:rPr>
          <w:rFonts w:ascii="Times New Roman" w:cs="Times New Roman" w:eastAsia="Times New Roman" w:hAnsi="Times New Roman"/>
          <w:b/>
          <w:bCs/>
          <w:i/>
          <w:iCs/>
          <w:color w:val="000000"/>
          <w:sz w:val="24"/>
          <w:szCs w:val="24"/>
        </w:rPr>
        <w:t xml:space="preserve">4.3 Model 3: Longformer with CRF Head</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Longformer (Long Document Transformer) uses sparse attention to scale efficiently to sequences of up to 4,096 tokens. Standard transformers compute full self-attention between all token pairs — O(n²) complexity — making them prohibitive for long documents. Longformer replaces this with a sliding window local attention (each token attends to a fixed window of nearby tokens) combined with global attention for a small set of designated tokens (e.g., [CLS]). This reduces complexity to O(n) while preserving both local discourse context and global essay-level structure.</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A Conditional Random Field (CRF) head was added on top of the Longformer encoder. Unlike a simple argmax classifier, the CRF models transition probabilities between adjacent labels, enforcing globally optimal BIO sequences and preventing invalid transitions (e.g., I-Claim following B-Position). The model used Longformer-Base-4096, trained with FP16 mixed precision on an A100 GPU for 3 epochs with 5-fold stratified cross-validation, completing in approximately 50 minutes.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Longformer achieved the strongest overall performance with a macro-average F1 of 0.6298. Per-class F1 scores show strong performance on structurally distinct types: Lead (0.7877) and Concluding Statement (0.8239) — which tend to appear in predictable positions — and Evidence (0.7257). The weakest performance was on Rebuttal (0.3952), attributable to its low frequency (4,337 instances) and frequent semantic overlap with Counterclaim.</w:t>
      </w:r>
    </w:p>
    <w:p>
      <w:pPr>
        <w:pBdr>
          <w:bottom w:val="single" w:color="000000" w:sz="6" w:space="4"/>
        </w:pBdr>
        <w:spacing w:after="120" w:before="240"/>
      </w:pPr>
      <w:r>
        <w:rPr>
          <w:rFonts w:ascii="Times New Roman" w:cs="Times New Roman" w:eastAsia="Times New Roman" w:hAnsi="Times New Roman"/>
          <w:b/>
          <w:bCs/>
          <w:color w:val="000000"/>
          <w:sz w:val="28"/>
          <w:szCs w:val="28"/>
        </w:rPr>
        <w:t xml:space="preserve">5. Results and Comparison</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1560"/>
        <w:gridCol w:w="1716"/>
        <w:gridCol w:w="1716"/>
      </w:tblGrid>
      <w:tr>
        <w:trPr>
          <w:tblHeader/>
        </w:trPr>
        <w:tc>
          <w:tcPr>
            <w:tcW w:type="dxa" w:w="28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Model</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Macro F1</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Runtime</w:t>
            </w:r>
          </w:p>
        </w:tc>
        <w:tc>
          <w:tcPr>
            <w:tcW w:type="dxa" w:w="171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Best Class</w:t>
            </w:r>
          </w:p>
        </w:tc>
        <w:tc>
          <w:tcPr>
            <w:tcW w:type="dxa" w:w="171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Worst Class</w:t>
            </w:r>
          </w:p>
        </w:tc>
      </w:tr>
      <w:tr>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Keyword Baseline</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~0.22</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w:t>
            </w:r>
          </w:p>
        </w:tc>
        <w:tc>
          <w:tcPr>
            <w:tcW w:type="dxa" w:w="171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w:t>
            </w:r>
          </w:p>
        </w:tc>
        <w:tc>
          <w:tcPr>
            <w:tcW w:type="dxa" w:w="171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BiLSTM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0.4089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35 min</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Lead (0.73)</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Rebuttal (0.33)</w:t>
            </w:r>
          </w:p>
        </w:tc>
      </w:tr>
      <w:tr>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DeBERTa-v3 (1 fold)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0.5537</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 hrs (CPU)</w:t>
            </w:r>
          </w:p>
        </w:tc>
        <w:tc>
          <w:tcPr>
            <w:tcW w:type="dxa" w:w="171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Lead (est.)</w:t>
            </w:r>
          </w:p>
        </w:tc>
        <w:tc>
          <w:tcPr>
            <w:tcW w:type="dxa" w:w="171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Rebuttal (est.)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Longformer + CRF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0.6298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50 min</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Concluding (0.82)</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Rebuttal (0.40)</w:t>
            </w:r>
          </w:p>
        </w:tc>
      </w:tr>
      <w:tr>
        <w:tc>
          <w:tcPr>
            <w:tcW w:type="dxa" w:w="28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Leaderboard Top</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~0.72</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w:t>
            </w:r>
          </w:p>
        </w:tc>
        <w:tc>
          <w:tcPr>
            <w:tcW w:type="dxa" w:w="171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w:t>
            </w:r>
          </w:p>
        </w:tc>
        <w:tc>
          <w:tcPr>
            <w:tcW w:type="dxa" w:w="171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w:t>
            </w:r>
          </w:p>
        </w:tc>
      </w:tr>
    </w:tbl>
    <w:p>
      <w:pPr>
        <w:spacing w:after="160" w:before="80"/>
        <w:jc w:val="center"/>
      </w:pPr>
      <w:r>
        <w:rPr>
          <w:rFonts w:ascii="Times New Roman" w:cs="Times New Roman" w:eastAsia="Times New Roman" w:hAnsi="Times New Roman"/>
          <w:i/>
          <w:iCs/>
          <w:color w:val="444444"/>
          <w:sz w:val="20"/>
          <w:szCs w:val="20"/>
        </w:rPr>
        <w:t xml:space="preserve">Table 2: Model performance comparison</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All three models substantially outperform the keyword baseline (~0.22 F1), demonstrating the value of learned representations over rule-based approaches. The BiLSTM's significant overfitting (24.96-point gap between training and validation F1) confirms that without pretrained language knowledge, sequence models struggle to generalize on this domain. DeBERTa-v3 achieves more than double the keyword baseline with a single trained fold, and its clean loss curve (1.7789 → 1.0913 across 5 epochs) shows stable optimization without overfitting — in contrast to the LSTM baseline.</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Longformer's superior macro F1 (0.6298 vs. 0.5537) is attributable to three factors: full-essay context without truncation (4,096-token window vs. 1,024-token), the CRF head enforcing globally consistent BIO sequences, and 5-fold training providing substantially more validation signal than DeBERTa's single fold. A fair comparison would require training DeBERTa for all 5 folds — based on the loss trajectory, a full 5-fold DeBERTa ensemble would likely close this gap significantly.</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Rebuttal consistently underperforms across all models — F1 of 0.33 (LSTM), estimated ~0.35 (DeBERTa), and 0.40 (Longformer) — reflecting the combined effect of class imbalance (4,337 training instances) and semantic ambiguity with Counterclaim spans.</w:t>
      </w:r>
    </w:p>
    <w:p>
      <w:pPr>
        <w:pBdr>
          <w:bottom w:val="single" w:color="000000" w:sz="6" w:space="4"/>
        </w:pBdr>
        <w:spacing w:after="120" w:before="240"/>
      </w:pPr>
      <w:r>
        <w:rPr>
          <w:rFonts w:ascii="Times New Roman" w:cs="Times New Roman" w:eastAsia="Times New Roman" w:hAnsi="Times New Roman"/>
          <w:b/>
          <w:bCs/>
          <w:color w:val="000000"/>
          <w:sz w:val="28"/>
          <w:szCs w:val="28"/>
        </w:rPr>
        <w:t xml:space="preserve">6. Discussion and Future Work</w:t>
      </w:r>
    </w:p>
    <w:p>
      <w:pPr>
        <w:spacing w:after="80" w:before="180"/>
      </w:pPr>
      <w:r>
        <w:rPr>
          <w:rFonts w:ascii="Times New Roman" w:cs="Times New Roman" w:eastAsia="Times New Roman" w:hAnsi="Times New Roman"/>
          <w:b/>
          <w:bCs/>
          <w:i/>
          <w:iCs/>
          <w:color w:val="000000"/>
          <w:sz w:val="24"/>
          <w:szCs w:val="24"/>
        </w:rPr>
        <w:t xml:space="preserve">6.1 Improvements to the DeBERTa Model</w:t>
      </w:r>
    </w:p>
    <w:p>
      <w:pPr>
        <w:pStyle w:val="ListParagraph"/>
        <w:numPr>
          <w:ilvl w:val="0"/>
          <w:numId w:val="2"/>
        </w:numPr>
        <w:spacing w:after="80" w:before="0" w:line="240"/>
      </w:pPr>
      <w:r>
        <w:rPr>
          <w:rFonts w:ascii="Times New Roman" w:cs="Times New Roman" w:eastAsia="Times New Roman" w:hAnsi="Times New Roman"/>
          <w:sz w:val="24"/>
          <w:szCs w:val="24"/>
        </w:rPr>
        <w:t xml:space="preserve">Train all 5 folds and ensemble predictions — estimated to improve F1 by 5–8 points based on published Kaggle solutions using the same architecture.</w:t>
      </w:r>
    </w:p>
    <w:p>
      <w:pPr>
        <w:pStyle w:val="ListParagraph"/>
        <w:numPr>
          <w:ilvl w:val="0"/>
          <w:numId w:val="2"/>
        </w:numPr>
        <w:spacing w:after="80" w:before="0" w:line="240"/>
      </w:pPr>
      <w:r>
        <w:rPr>
          <w:rFonts w:ascii="Times New Roman" w:cs="Times New Roman" w:eastAsia="Times New Roman" w:hAnsi="Times New Roman"/>
          <w:sz w:val="24"/>
          <w:szCs w:val="24"/>
        </w:rPr>
        <w:t xml:space="preserve">Apply class-weighted loss to upweight Rebuttal and Counterclaim during training, addressing the class imbalance identified in the EDA.</w:t>
      </w:r>
    </w:p>
    <w:p>
      <w:pPr>
        <w:pStyle w:val="ListParagraph"/>
        <w:numPr>
          <w:ilvl w:val="0"/>
          <w:numId w:val="2"/>
        </w:numPr>
        <w:spacing w:after="80" w:before="0" w:line="240"/>
      </w:pPr>
      <w:r>
        <w:rPr>
          <w:rFonts w:ascii="Times New Roman" w:cs="Times New Roman" w:eastAsia="Times New Roman" w:hAnsi="Times New Roman"/>
          <w:sz w:val="24"/>
          <w:szCs w:val="24"/>
        </w:rPr>
        <w:t xml:space="preserve">Resolve CUDA compatibility by downgrading PyTorch to a version compiled for sm_70 (Volta) architecture to enable GPU inference on Kaggle's T4 GPUs.</w:t>
      </w:r>
    </w:p>
    <w:p>
      <w:pPr>
        <w:pStyle w:val="ListParagraph"/>
        <w:numPr>
          <w:ilvl w:val="0"/>
          <w:numId w:val="2"/>
        </w:numPr>
        <w:spacing w:after="80" w:before="0" w:line="240"/>
      </w:pPr>
      <w:r>
        <w:rPr>
          <w:rFonts w:ascii="Times New Roman" w:cs="Times New Roman" w:eastAsia="Times New Roman" w:hAnsi="Times New Roman"/>
          <w:sz w:val="24"/>
          <w:szCs w:val="24"/>
        </w:rPr>
        <w:t xml:space="preserve">Experiment with post-processing threshold tuning — the minimum span length parameters were set heuristically and could be optimized per class using the validation set.</w:t>
      </w:r>
    </w:p>
    <w:p>
      <w:pPr>
        <w:spacing w:after="80" w:before="180"/>
      </w:pPr>
      <w:r>
        <w:rPr>
          <w:rFonts w:ascii="Times New Roman" w:cs="Times New Roman" w:eastAsia="Times New Roman" w:hAnsi="Times New Roman"/>
          <w:b/>
          <w:bCs/>
          <w:i/>
          <w:iCs/>
          <w:color w:val="000000"/>
          <w:sz w:val="24"/>
          <w:szCs w:val="24"/>
        </w:rPr>
        <w:t xml:space="preserve">6.2 Broader Recommendations</w:t>
      </w:r>
    </w:p>
    <w:p>
      <w:pPr>
        <w:pStyle w:val="ListParagraph"/>
        <w:numPr>
          <w:ilvl w:val="0"/>
          <w:numId w:val="2"/>
        </w:numPr>
        <w:spacing w:after="80" w:before="0" w:line="240"/>
      </w:pPr>
      <w:r>
        <w:rPr>
          <w:rFonts w:ascii="Times New Roman" w:cs="Times New Roman" w:eastAsia="Times New Roman" w:hAnsi="Times New Roman"/>
          <w:sz w:val="24"/>
          <w:szCs w:val="24"/>
        </w:rPr>
        <w:t xml:space="preserve">Teacher Co-pilot Deployment: Deploy as a teacher-facing dashboard with override capability, allowing educators to correct model predictions and feeding corrections back as fine-tuning signal.</w:t>
      </w:r>
    </w:p>
    <w:p>
      <w:pPr>
        <w:pStyle w:val="ListParagraph"/>
        <w:numPr>
          <w:ilvl w:val="0"/>
          <w:numId w:val="2"/>
        </w:numPr>
        <w:spacing w:after="80" w:before="0" w:line="240"/>
      </w:pPr>
      <w:r>
        <w:rPr>
          <w:rFonts w:ascii="Times New Roman" w:cs="Times New Roman" w:eastAsia="Times New Roman" w:hAnsi="Times New Roman"/>
          <w:sz w:val="24"/>
          <w:szCs w:val="24"/>
        </w:rPr>
        <w:t xml:space="preserve">ESL Prioritization: Prioritize deployment for English as a Second Language classrooms, where structured argumentation feedback is most impactful and access to tutors most limited.</w:t>
      </w:r>
    </w:p>
    <w:p>
      <w:pPr>
        <w:pStyle w:val="ListParagraph"/>
        <w:numPr>
          <w:ilvl w:val="0"/>
          <w:numId w:val="2"/>
        </w:numPr>
        <w:spacing w:after="80" w:before="0" w:line="240"/>
      </w:pPr>
      <w:r>
        <w:rPr>
          <w:rFonts w:ascii="Times New Roman" w:cs="Times New Roman" w:eastAsia="Times New Roman" w:hAnsi="Times New Roman"/>
          <w:sz w:val="24"/>
          <w:szCs w:val="24"/>
        </w:rPr>
        <w:t xml:space="preserve">Bias Auditing: Conduct quarterly audits on model predictions stratified by student demographics and dialectal English usage to detect systematic bias.</w:t>
      </w:r>
    </w:p>
    <w:p>
      <w:pPr>
        <w:pStyle w:val="ListParagraph"/>
        <w:numPr>
          <w:ilvl w:val="0"/>
          <w:numId w:val="2"/>
        </w:numPr>
        <w:spacing w:after="80" w:before="0" w:line="240"/>
      </w:pPr>
      <w:r>
        <w:rPr>
          <w:rFonts w:ascii="Times New Roman" w:cs="Times New Roman" w:eastAsia="Times New Roman" w:hAnsi="Times New Roman"/>
          <w:sz w:val="24"/>
          <w:szCs w:val="24"/>
        </w:rPr>
        <w:t xml:space="preserve">Socratic Feedback Mode: Rather than providing corrected text, guide students by flagging missing discourse elements (e.g., "Your essay does not contain a Rebuttal") to preserve student ownership of writing.</w:t>
      </w:r>
    </w:p>
    <w:p>
      <w:pPr>
        <w:pBdr>
          <w:bottom w:val="single" w:color="000000" w:sz="6" w:space="4"/>
        </w:pBdr>
        <w:spacing w:after="120" w:before="240"/>
      </w:pPr>
      <w:r>
        <w:rPr>
          <w:rFonts w:ascii="Times New Roman" w:cs="Times New Roman" w:eastAsia="Times New Roman" w:hAnsi="Times New Roman"/>
          <w:b/>
          <w:bCs/>
          <w:color w:val="000000"/>
          <w:sz w:val="28"/>
          <w:szCs w:val="28"/>
        </w:rPr>
        <w:t xml:space="preserve">7. Conclusion</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This project demonstrates that deep learning models — particularly transformer-based architectures — can effectively automate the identification of argumentative discourse structure in student essays, with direct implications for educational equity. Three models were evaluated on the Feedback Prize competition dataset: a BiLSTM baseline (F1: 0.41), DeBERTa-v3-large (F1: 0.55, single fold), and Longformer with CRF head (F1: 0.63, 5 folds).</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DeBERTa-v3-large's Disentangled Attention mechanism and ELECTRA-style pretraining make it particularly well-suited to this task — encoding both the semantic content and the positional context of each word independently produces richer representations for discourse classification than standard BERT. Its limitation to one trained fold is a compute constraint, not a model limitation; a full ensemble would close the gap to the Longformer.</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The Longformer's sparse attention and CRF head combination achieves the strongest results by processing full essays without truncation and enforcing globally coherent label sequences. Both transformer models substantially outperform the LSTM baseline, confirming that pretrained language knowledge is essential for this task.</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Deployed as an open-source tool, these models could provide 24/7 writing feedback to the students who need it most — those in under-resourced schools without access to individualized teacher support — helping address one of the most persistent equity gaps in American education.</w:t>
      </w:r>
    </w:p>
    <w:p>
      <w:pPr>
        <w:pBdr>
          <w:bottom w:val="single" w:color="000000" w:sz="6" w:space="4"/>
        </w:pBdr>
        <w:spacing w:after="120" w:before="240"/>
      </w:pPr>
      <w:r>
        <w:rPr>
          <w:rFonts w:ascii="Times New Roman" w:cs="Times New Roman" w:eastAsia="Times New Roman" w:hAnsi="Times New Roman"/>
          <w:b/>
          <w:bCs/>
          <w:color w:val="000000"/>
          <w:sz w:val="28"/>
          <w:szCs w:val="28"/>
        </w:rPr>
        <w:t xml:space="preserve">References</w:t>
      </w:r>
    </w:p>
    <w:p>
      <w:pPr>
        <w:spacing w:after="80" w:before="0" w:line="240"/>
        <w:ind/>
        <w:jc w:val="both"/>
      </w:pPr>
      <w:r>
        <w:rPr>
          <w:rFonts w:ascii="Times New Roman" w:cs="Times New Roman" w:eastAsia="Times New Roman" w:hAnsi="Times New Roman"/>
          <w:b w:val="false"/>
          <w:bCs w:val="false"/>
          <w:i w:val="false"/>
          <w:iCs w:val="false"/>
          <w:color w:val="000000"/>
          <w:sz w:val="24"/>
          <w:szCs w:val="24"/>
        </w:rPr>
        <w:t xml:space="preserve">He, P., Liu, X., Gao, J., &amp; Chen, W. (2021). DeBERTa: Decoding-enhanced BERT with disentangled attention. International Conference on Learning Representations (ICLR 2021). arXiv:2006.03654.</w:t>
      </w:r>
    </w:p>
    <w:p>
      <w:pPr>
        <w:spacing w:after="80" w:before="0" w:line="240"/>
        <w:ind/>
        <w:jc w:val="both"/>
      </w:pPr>
      <w:r>
        <w:rPr>
          <w:rFonts w:ascii="Times New Roman" w:cs="Times New Roman" w:eastAsia="Times New Roman" w:hAnsi="Times New Roman"/>
          <w:b w:val="false"/>
          <w:bCs w:val="false"/>
          <w:i w:val="false"/>
          <w:iCs w:val="false"/>
          <w:color w:val="000000"/>
          <w:sz w:val="24"/>
          <w:szCs w:val="24"/>
        </w:rPr>
        <w:t xml:space="preserve">He, P., Gao, J., &amp; Chen, W. (2021). DeBERTaV3: Improving DeBERTa using ELECTRA-style pre-training with gradient-disentangled embedding sharing. arXiv:2111.09543.</w:t>
      </w:r>
    </w:p>
    <w:p>
      <w:pPr>
        <w:spacing w:after="80" w:before="0" w:line="240"/>
        <w:ind/>
        <w:jc w:val="both"/>
      </w:pPr>
      <w:r>
        <w:rPr>
          <w:rFonts w:ascii="Times New Roman" w:cs="Times New Roman" w:eastAsia="Times New Roman" w:hAnsi="Times New Roman"/>
          <w:b w:val="false"/>
          <w:bCs w:val="false"/>
          <w:i w:val="false"/>
          <w:iCs w:val="false"/>
          <w:color w:val="000000"/>
          <w:sz w:val="24"/>
          <w:szCs w:val="24"/>
        </w:rPr>
        <w:t xml:space="preserve">Beltagy, I., Peters, M. E., &amp; Cohan, A. (2020). Longformer: The long-document transformer. arXiv:2004.05150.</w:t>
      </w:r>
    </w:p>
    <w:p>
      <w:pPr>
        <w:spacing w:after="80" w:before="0" w:line="240"/>
        <w:ind/>
        <w:jc w:val="both"/>
      </w:pPr>
      <w:r>
        <w:rPr>
          <w:rFonts w:ascii="Times New Roman" w:cs="Times New Roman" w:eastAsia="Times New Roman" w:hAnsi="Times New Roman"/>
          <w:b w:val="false"/>
          <w:bCs w:val="false"/>
          <w:i w:val="false"/>
          <w:iCs w:val="false"/>
          <w:color w:val="000000"/>
          <w:sz w:val="24"/>
          <w:szCs w:val="24"/>
        </w:rPr>
        <w:t xml:space="preserve">Huang, Z., Xu, W., &amp; Yu, K. (2015). Bidirectional LSTM-CRF models for sequence tagging. arXiv:1508.01991.</w:t>
      </w:r>
    </w:p>
    <w:p>
      <w:pPr>
        <w:spacing w:after="80" w:before="0" w:line="240"/>
        <w:ind/>
        <w:jc w:val="both"/>
      </w:pPr>
      <w:r>
        <w:rPr>
          <w:rFonts w:ascii="Times New Roman" w:cs="Times New Roman" w:eastAsia="Times New Roman" w:hAnsi="Times New Roman"/>
          <w:b w:val="false"/>
          <w:bCs w:val="false"/>
          <w:i w:val="false"/>
          <w:iCs w:val="false"/>
          <w:color w:val="000000"/>
          <w:sz w:val="24"/>
          <w:szCs w:val="24"/>
        </w:rPr>
        <w:t xml:space="preserve">Clark, K., Luong, M. T., Le, Q. V., &amp; Manning, C. D. (2020). ELECTRA: Pre-training text encoders as discriminators rather than generators. ICLR 2020. arXiv:1703.04207.</w:t>
      </w:r>
    </w:p>
    <w:p>
      <w:pPr>
        <w:spacing w:after="80" w:before="0" w:line="240"/>
        <w:ind/>
        <w:jc w:val="both"/>
      </w:pPr>
      <w:r>
        <w:rPr>
          <w:rFonts w:ascii="Times New Roman" w:cs="Times New Roman" w:eastAsia="Times New Roman" w:hAnsi="Times New Roman"/>
          <w:b w:val="false"/>
          <w:bCs w:val="false"/>
          <w:i w:val="false"/>
          <w:iCs w:val="false"/>
          <w:color w:val="000000"/>
          <w:sz w:val="24"/>
          <w:szCs w:val="24"/>
        </w:rPr>
        <w:t xml:space="preserve">The Learning Agency Lab &amp; Georgia State University. (2022). Feedback Prize — Evaluating Student Writing. Kaggle. https://www.kaggle.com/competitions/feedback-prize-2021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2026-04-28T20:41:57.501Z</dcterms:created>
  <dcterms:modified xsi:type="dcterms:W3CDTF">2026-04-28T20:41:57.502Z</dcterms:modified>
</cp:coreProperties>
</file>

<file path=docProps/custom.xml><?xml version="1.0" encoding="utf-8"?>
<Properties xmlns="http://schemas.openxmlformats.org/officeDocument/2006/custom-properties" xmlns:vt="http://schemas.openxmlformats.org/officeDocument/2006/docPropsVTypes"/>
</file>