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6"/>
          <w:szCs w:val="36"/>
        </w:rPr>
        <w:t xml:space="preserve">Google Play Store — App Market &amp; Growth Analytics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A data-driven growth strategy recommendation for the Play Store App Growth team</w:t>
      </w:r>
    </w:p>
    <w:p>
      <w:pPr>
        <w:spacing w:after="300"/>
      </w:pPr>
      <w:r>
        <w:rPr>
          <w:color w:val="777777"/>
          <w:sz w:val="20"/>
          <w:szCs w:val="20"/>
        </w:rPr>
        <w:t xml:space="preserve">Prepared by Antony Joshua A  |  Data Analyst Portfolio Project  |  July 2026</w:t>
      </w:r>
    </w:p>
    <w:p>
      <w:pPr>
        <w:pStyle w:val="Heading1"/>
        <w:spacing w:after="120" w:before="240"/>
      </w:pPr>
      <w:r>
        <w:t xml:space="preserve">1. Business Problem</w:t>
      </w:r>
    </w:p>
    <w:p>
      <w:pPr>
        <w:spacing w:after="160"/>
      </w:pPr>
      <w:r>
        <w:rPr>
          <w:b w:val="false"/>
          <w:bCs w:val="false"/>
        </w:rPr>
        <w:t xml:space="preserve">Google Play hosts millions of apps competing for visibility and installs. New app teams and developers need to know: which categories, pricing models, and update practices actually drive installs and ratings — and where is there still room to win? This analysis uses a public dataset of 9,659 cleaned Play Store app records (ratings, installs, price, size, category, update history) to answer that question and produce concrete recommendations.</w:t>
      </w:r>
    </w:p>
    <w:p>
      <w:pPr>
        <w:pStyle w:val="Heading1"/>
        <w:spacing w:after="120" w:before="240"/>
      </w:pPr>
      <w:r>
        <w:t xml:space="preserve">2. Key Findings</w:t>
      </w:r>
    </w:p>
    <w:p>
      <w:pPr>
        <w:spacing w:after="160"/>
      </w:pPr>
      <w:r>
        <w:rPr>
          <w:b/>
          <w:bCs/>
        </w:rPr>
        <w:t xml:space="preserve">Finding 1 — Update frequency is the single strongest lever tied to installs.</w:t>
      </w:r>
    </w:p>
    <w:p>
      <w:pPr>
        <w:spacing w:after="160"/>
      </w:pPr>
      <w:r>
        <w:rPr>
          <w:b w:val="false"/>
          <w:bCs w:val="false"/>
        </w:rPr>
        <w:t xml:space="preserve">Apps updated within the last 3 months average 15.1M installs, compared to just 1.2M installs for apps not updated in over a year — a 12x gap. This holds even controlling for category, suggesting Play Store's ranking/discovery algorithm and user trust both favor actively maintained apps.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285F4" w:val="clear"/>
          </w:tcPr>
          <w:p>
            <w:r>
              <w:rPr>
                <w:b/>
                <w:bCs/>
                <w:color w:val="FFFFFF"/>
              </w:rPr>
              <w:t xml:space="preserve">Last Updated</w:t>
            </w:r>
          </w:p>
        </w:tc>
        <w:tc>
          <w:tcPr>
            <w:tcW w:type="dxa" w:w="2340"/>
            <w:shd w:fill="4285F4" w:val="clear"/>
          </w:tcPr>
          <w:p>
            <w:r>
              <w:rPr>
                <w:b/>
                <w:bCs/>
                <w:color w:val="FFFFFF"/>
              </w:rPr>
              <w:t xml:space="preserve">App Count</w:t>
            </w:r>
          </w:p>
        </w:tc>
        <w:tc>
          <w:tcPr>
            <w:tcW w:type="dxa" w:w="2340"/>
            <w:shd w:fill="4285F4" w:val="clear"/>
          </w:tcPr>
          <w:p>
            <w:r>
              <w:rPr>
                <w:b/>
                <w:bCs/>
                <w:color w:val="FFFFFF"/>
              </w:rPr>
              <w:t xml:space="preserve">Avg. Rating</w:t>
            </w:r>
          </w:p>
        </w:tc>
        <w:tc>
          <w:tcPr>
            <w:tcW w:type="dxa" w:w="2340"/>
            <w:shd w:fill="4285F4" w:val="clear"/>
          </w:tcPr>
          <w:p>
            <w:r>
              <w:rPr>
                <w:b/>
                <w:bCs/>
                <w:color w:val="FFFFFF"/>
              </w:rPr>
              <w:t xml:space="preserve">Avg. Installs</w:t>
            </w:r>
          </w:p>
        </w:tc>
      </w:tr>
      <w:tr>
        <w:tc>
          <w:tcPr>
            <w:tcW w:type="dxa" w:w="2340"/>
          </w:tcPr>
          <w:p>
            <w:r>
              <w:t xml:space="preserve">&lt; 3 months</w:t>
            </w:r>
          </w:p>
        </w:tc>
        <w:tc>
          <w:tcPr>
            <w:tcW w:type="dxa" w:w="2340"/>
          </w:tcPr>
          <w:p>
            <w:r>
              <w:t xml:space="preserve">4,183</w:t>
            </w:r>
          </w:p>
        </w:tc>
        <w:tc>
          <w:tcPr>
            <w:tcW w:type="dxa" w:w="2340"/>
          </w:tcPr>
          <w:p>
            <w:r>
              <w:t xml:space="preserve">4.25</w:t>
            </w:r>
          </w:p>
        </w:tc>
        <w:tc>
          <w:tcPr>
            <w:tcW w:type="dxa" w:w="2340"/>
          </w:tcPr>
          <w:p>
            <w:r>
              <w:t xml:space="preserve">15,126,930</w:t>
            </w:r>
          </w:p>
        </w:tc>
      </w:tr>
      <w:tr>
        <w:tc>
          <w:tcPr>
            <w:tcW w:type="dxa" w:w="2340"/>
          </w:tcPr>
          <w:p>
            <w:r>
              <w:t xml:space="preserve">3–6 months</w:t>
            </w:r>
          </w:p>
        </w:tc>
        <w:tc>
          <w:tcPr>
            <w:tcW w:type="dxa" w:w="2340"/>
          </w:tcPr>
          <w:p>
            <w:r>
              <w:t xml:space="preserve">1,495</w:t>
            </w:r>
          </w:p>
        </w:tc>
        <w:tc>
          <w:tcPr>
            <w:tcW w:type="dxa" w:w="2340"/>
          </w:tcPr>
          <w:p>
            <w:r>
              <w:t xml:space="preserve">4.18</w:t>
            </w:r>
          </w:p>
        </w:tc>
        <w:tc>
          <w:tcPr>
            <w:tcW w:type="dxa" w:w="2340"/>
          </w:tcPr>
          <w:p>
            <w:r>
              <w:t xml:space="preserve">3,565,856</w:t>
            </w:r>
          </w:p>
        </w:tc>
      </w:tr>
      <w:tr>
        <w:tc>
          <w:tcPr>
            <w:tcW w:type="dxa" w:w="2340"/>
          </w:tcPr>
          <w:p>
            <w:r>
              <w:t xml:space="preserve">6–12 months</w:t>
            </w:r>
          </w:p>
        </w:tc>
        <w:tc>
          <w:tcPr>
            <w:tcW w:type="dxa" w:w="2340"/>
          </w:tcPr>
          <w:p>
            <w:r>
              <w:t xml:space="preserve">1,438</w:t>
            </w:r>
          </w:p>
        </w:tc>
        <w:tc>
          <w:tcPr>
            <w:tcW w:type="dxa" w:w="2340"/>
          </w:tcPr>
          <w:p>
            <w:r>
              <w:t xml:space="preserve">4.11</w:t>
            </w:r>
          </w:p>
        </w:tc>
        <w:tc>
          <w:tcPr>
            <w:tcW w:type="dxa" w:w="2340"/>
          </w:tcPr>
          <w:p>
            <w:r>
              <w:t xml:space="preserve">2,442,371</w:t>
            </w:r>
          </w:p>
        </w:tc>
      </w:tr>
      <w:tr>
        <w:tc>
          <w:tcPr>
            <w:tcW w:type="dxa" w:w="2340"/>
          </w:tcPr>
          <w:p>
            <w:r>
              <w:t xml:space="preserve">12+ months</w:t>
            </w:r>
          </w:p>
        </w:tc>
        <w:tc>
          <w:tcPr>
            <w:tcW w:type="dxa" w:w="2340"/>
          </w:tcPr>
          <w:p>
            <w:r>
              <w:t xml:space="preserve">2,543</w:t>
            </w:r>
          </w:p>
        </w:tc>
        <w:tc>
          <w:tcPr>
            <w:tcW w:type="dxa" w:w="2340"/>
          </w:tcPr>
          <w:p>
            <w:r>
              <w:t xml:space="preserve">4.06</w:t>
            </w:r>
          </w:p>
        </w:tc>
        <w:tc>
          <w:tcPr>
            <w:tcW w:type="dxa" w:w="2340"/>
          </w:tcPr>
          <w:p>
            <w:r>
              <w:t xml:space="preserve">1,181,241</w:t>
            </w:r>
          </w:p>
        </w:tc>
      </w:tr>
    </w:tbl>
    <w:p>
      <w:pPr>
        <w:spacing w:after="160"/>
      </w:pPr>
      <w:r>
        <w:rPr>
          <w:b w:val="false"/>
          <w:bCs w:val="false"/>
        </w:rPr>
        <w:t xml:space="preserve"> </w:t>
      </w:r>
    </w:p>
    <w:p>
      <w:pPr>
        <w:spacing w:after="160"/>
      </w:pPr>
      <w:r>
        <w:rPr>
          <w:b/>
          <w:bCs/>
        </w:rPr>
        <w:t xml:space="preserve">Finding 2 — Category saturation matters more than category popularity.</w:t>
      </w:r>
    </w:p>
    <w:p>
      <w:pPr>
        <w:spacing w:after="160"/>
      </w:pPr>
      <w:r>
        <w:rPr>
          <w:b w:val="false"/>
          <w:bCs w:val="false"/>
        </w:rPr>
        <w:t xml:space="preserve">Games and Communication have the highest total installs, but they're also the most saturated (959 and 315 apps respectively). Categories like Video Players, Entertainment, Weather, and Education show high installs-per-app with far fewer competing apps — indicating unmet demand rather than pure popularity.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285F4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shd w:fill="4285F4" w:val="clear"/>
          </w:tcPr>
          <w:p>
            <w:r>
              <w:rPr>
                <w:b/>
                <w:bCs/>
                <w:color w:val="FFFFFF"/>
              </w:rPr>
              <w:t xml:space="preserve">App Count</w:t>
            </w:r>
          </w:p>
        </w:tc>
        <w:tc>
          <w:tcPr>
            <w:tcW w:type="dxa" w:w="2340"/>
            <w:shd w:fill="4285F4" w:val="clear"/>
          </w:tcPr>
          <w:p>
            <w:r>
              <w:rPr>
                <w:b/>
                <w:bCs/>
                <w:color w:val="FFFFFF"/>
              </w:rPr>
              <w:t xml:space="preserve">Avg. Rating</w:t>
            </w:r>
          </w:p>
        </w:tc>
        <w:tc>
          <w:tcPr>
            <w:tcW w:type="dxa" w:w="2340"/>
            <w:shd w:fill="4285F4" w:val="clear"/>
          </w:tcPr>
          <w:p>
            <w:r>
              <w:rPr>
                <w:b/>
                <w:bCs/>
                <w:color w:val="FFFFFF"/>
              </w:rPr>
              <w:t xml:space="preserve">Installs per App</w:t>
            </w:r>
          </w:p>
        </w:tc>
      </w:tr>
      <w:tr>
        <w:tc>
          <w:tcPr>
            <w:tcW w:type="dxa" w:w="2340"/>
          </w:tcPr>
          <w:p>
            <w:r>
              <w:t xml:space="preserve">Video Players</w:t>
            </w:r>
          </w:p>
        </w:tc>
        <w:tc>
          <w:tcPr>
            <w:tcW w:type="dxa" w:w="2340"/>
          </w:tcPr>
          <w:p>
            <w:r>
              <w:t xml:space="preserve">163</w:t>
            </w:r>
          </w:p>
        </w:tc>
        <w:tc>
          <w:tcPr>
            <w:tcW w:type="dxa" w:w="2340"/>
          </w:tcPr>
          <w:p>
            <w:r>
              <w:t xml:space="preserve">4.04</w:t>
            </w:r>
          </w:p>
        </w:tc>
        <w:tc>
          <w:tcPr>
            <w:tcW w:type="dxa" w:w="2340"/>
          </w:tcPr>
          <w:p>
            <w:r>
              <w:t xml:space="preserve">24,091,430</w:t>
            </w:r>
          </w:p>
        </w:tc>
      </w:tr>
      <w:tr>
        <w:tc>
          <w:tcPr>
            <w:tcW w:type="dxa" w:w="2340"/>
          </w:tcPr>
          <w:p>
            <w:r>
              <w:t xml:space="preserve">Entertainment</w:t>
            </w:r>
          </w:p>
        </w:tc>
        <w:tc>
          <w:tcPr>
            <w:tcW w:type="dxa" w:w="2340"/>
          </w:tcPr>
          <w:p>
            <w:r>
              <w:t xml:space="preserve">102</w:t>
            </w:r>
          </w:p>
        </w:tc>
        <w:tc>
          <w:tcPr>
            <w:tcW w:type="dxa" w:w="2340"/>
          </w:tcPr>
          <w:p>
            <w:r>
              <w:t xml:space="preserve">4.14</w:t>
            </w:r>
          </w:p>
        </w:tc>
        <w:tc>
          <w:tcPr>
            <w:tcW w:type="dxa" w:w="2340"/>
          </w:tcPr>
          <w:p>
            <w:r>
              <w:t xml:space="preserve">20,722,160</w:t>
            </w:r>
          </w:p>
        </w:tc>
      </w:tr>
      <w:tr>
        <w:tc>
          <w:tcPr>
            <w:tcW w:type="dxa" w:w="2340"/>
          </w:tcPr>
          <w:p>
            <w:r>
              <w:t xml:space="preserve">Shopping</w:t>
            </w:r>
          </w:p>
        </w:tc>
        <w:tc>
          <w:tcPr>
            <w:tcW w:type="dxa" w:w="2340"/>
          </w:tcPr>
          <w:p>
            <w:r>
              <w:t xml:space="preserve">202</w:t>
            </w:r>
          </w:p>
        </w:tc>
        <w:tc>
          <w:tcPr>
            <w:tcW w:type="dxa" w:w="2340"/>
          </w:tcPr>
          <w:p>
            <w:r>
              <w:t xml:space="preserve">4.23</w:t>
            </w:r>
          </w:p>
        </w:tc>
        <w:tc>
          <w:tcPr>
            <w:tcW w:type="dxa" w:w="2340"/>
          </w:tcPr>
          <w:p>
            <w:r>
              <w:t xml:space="preserve">6,932,420</w:t>
            </w:r>
          </w:p>
        </w:tc>
      </w:tr>
      <w:tr>
        <w:tc>
          <w:tcPr>
            <w:tcW w:type="dxa" w:w="2340"/>
          </w:tcPr>
          <w:p>
            <w:r>
              <w:t xml:space="preserve">Weather</w:t>
            </w:r>
          </w:p>
        </w:tc>
        <w:tc>
          <w:tcPr>
            <w:tcW w:type="dxa" w:w="2340"/>
          </w:tcPr>
          <w:p>
            <w:r>
              <w:t xml:space="preserve">79</w:t>
            </w:r>
          </w:p>
        </w:tc>
        <w:tc>
          <w:tcPr>
            <w:tcW w:type="dxa" w:w="2340"/>
          </w:tcPr>
          <w:p>
            <w:r>
              <w:t xml:space="preserve">4.24</w:t>
            </w:r>
          </w:p>
        </w:tc>
        <w:tc>
          <w:tcPr>
            <w:tcW w:type="dxa" w:w="2340"/>
          </w:tcPr>
          <w:p>
            <w:r>
              <w:t xml:space="preserve">4,570,893</w:t>
            </w:r>
          </w:p>
        </w:tc>
      </w:tr>
      <w:tr>
        <w:tc>
          <w:tcPr>
            <w:tcW w:type="dxa" w:w="2340"/>
          </w:tcPr>
          <w:p>
            <w:r>
              <w:t xml:space="preserve">Education</w:t>
            </w:r>
          </w:p>
        </w:tc>
        <w:tc>
          <w:tcPr>
            <w:tcW w:type="dxa" w:w="2340"/>
          </w:tcPr>
          <w:p>
            <w:r>
              <w:t xml:space="preserve">119</w:t>
            </w:r>
          </w:p>
        </w:tc>
        <w:tc>
          <w:tcPr>
            <w:tcW w:type="dxa" w:w="2340"/>
          </w:tcPr>
          <w:p>
            <w:r>
              <w:t xml:space="preserve">4.36</w:t>
            </w:r>
          </w:p>
        </w:tc>
        <w:tc>
          <w:tcPr>
            <w:tcW w:type="dxa" w:w="2340"/>
          </w:tcPr>
          <w:p>
            <w:r>
              <w:t xml:space="preserve">2,965,983</w:t>
            </w:r>
          </w:p>
        </w:tc>
      </w:tr>
    </w:tbl>
    <w:p>
      <w:pPr>
        <w:spacing w:after="160"/>
      </w:pPr>
      <w:r>
        <w:rPr>
          <w:b w:val="false"/>
          <w:bCs w:val="false"/>
        </w:rPr>
        <w:t xml:space="preserve"> </w:t>
      </w:r>
    </w:p>
    <w:p>
      <w:pPr>
        <w:spacing w:after="160"/>
      </w:pPr>
      <w:r>
        <w:rPr>
          <w:b/>
          <w:bCs/>
        </w:rPr>
        <w:t xml:space="preserve">Finding 3 — Free-to-install with in-app monetization outperforms upfront pricing by orders of magnitude.</w:t>
      </w:r>
    </w:p>
    <w:p>
      <w:pPr>
        <w:spacing w:after="160"/>
      </w:pPr>
      <w:r>
        <w:rPr>
          <w:b w:val="false"/>
          <w:bCs w:val="false"/>
        </w:rPr>
        <w:t xml:space="preserve">Free apps average 8.4M installs vs. 75,900 for paid apps. Within paid apps, pricing under $5 clearly maximizes installs without sacrificing rating; pricing above $20 correlates with both fewer installs and a rating drop (3.99 avg vs 4.2-4.3 for cheaper tiers) — likely a smaller, more critical user 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4285F4" w:val="clear"/>
          </w:tcPr>
          <w:p>
            <w:r>
              <w:rPr>
                <w:b/>
                <w:bCs/>
                <w:color w:val="FFFFFF"/>
              </w:rPr>
              <w:t xml:space="preserve">Price Band</w:t>
            </w:r>
          </w:p>
        </w:tc>
        <w:tc>
          <w:tcPr>
            <w:tcW w:type="dxa" w:w="2340"/>
            <w:shd w:fill="4285F4" w:val="clear"/>
          </w:tcPr>
          <w:p>
            <w:r>
              <w:rPr>
                <w:b/>
                <w:bCs/>
                <w:color w:val="FFFFFF"/>
              </w:rPr>
              <w:t xml:space="preserve">App Count</w:t>
            </w:r>
          </w:p>
        </w:tc>
        <w:tc>
          <w:tcPr>
            <w:tcW w:type="dxa" w:w="2340"/>
            <w:shd w:fill="4285F4" w:val="clear"/>
          </w:tcPr>
          <w:p>
            <w:r>
              <w:rPr>
                <w:b/>
                <w:bCs/>
                <w:color w:val="FFFFFF"/>
              </w:rPr>
              <w:t xml:space="preserve">Avg. Rating</w:t>
            </w:r>
          </w:p>
        </w:tc>
        <w:tc>
          <w:tcPr>
            <w:tcW w:type="dxa" w:w="2340"/>
            <w:shd w:fill="4285F4" w:val="clear"/>
          </w:tcPr>
          <w:p>
            <w:r>
              <w:rPr>
                <w:b/>
                <w:bCs/>
                <w:color w:val="FFFFFF"/>
              </w:rPr>
              <w:t xml:space="preserve">Avg. Installs</w:t>
            </w:r>
          </w:p>
        </w:tc>
      </w:tr>
      <w:tr>
        <w:tc>
          <w:tcPr>
            <w:tcW w:type="dxa" w:w="2340"/>
          </w:tcPr>
          <w:p>
            <w:r>
              <w:t xml:space="preserve">Under $1</w:t>
            </w:r>
          </w:p>
        </w:tc>
        <w:tc>
          <w:tcPr>
            <w:tcW w:type="dxa" w:w="2340"/>
          </w:tcPr>
          <w:p>
            <w:r>
              <w:t xml:space="preserve">148</w:t>
            </w:r>
          </w:p>
        </w:tc>
        <w:tc>
          <w:tcPr>
            <w:tcW w:type="dxa" w:w="2340"/>
          </w:tcPr>
          <w:p>
            <w:r>
              <w:t xml:space="preserve">4.30</w:t>
            </w:r>
          </w:p>
        </w:tc>
        <w:tc>
          <w:tcPr>
            <w:tcW w:type="dxa" w:w="2340"/>
          </w:tcPr>
          <w:p>
            <w:r>
              <w:t xml:space="preserve">131,067</w:t>
            </w:r>
          </w:p>
        </w:tc>
      </w:tr>
      <w:tr>
        <w:tc>
          <w:tcPr>
            <w:tcW w:type="dxa" w:w="2340"/>
          </w:tcPr>
          <w:p>
            <w:r>
              <w:t xml:space="preserve">$1 – $5</w:t>
            </w:r>
          </w:p>
        </w:tc>
        <w:tc>
          <w:tcPr>
            <w:tcW w:type="dxa" w:w="2340"/>
          </w:tcPr>
          <w:p>
            <w:r>
              <w:t xml:space="preserve">449</w:t>
            </w:r>
          </w:p>
        </w:tc>
        <w:tc>
          <w:tcPr>
            <w:tcW w:type="dxa" w:w="2340"/>
          </w:tcPr>
          <w:p>
            <w:r>
              <w:t xml:space="preserve">4.27</w:t>
            </w:r>
          </w:p>
        </w:tc>
        <w:tc>
          <w:tcPr>
            <w:tcW w:type="dxa" w:w="2340"/>
          </w:tcPr>
          <w:p>
            <w:r>
              <w:t xml:space="preserve">49,534</w:t>
            </w:r>
          </w:p>
        </w:tc>
      </w:tr>
      <w:tr>
        <w:tc>
          <w:tcPr>
            <w:tcW w:type="dxa" w:w="2340"/>
          </w:tcPr>
          <w:p>
            <w:r>
              <w:t xml:space="preserve">$5 – $10</w:t>
            </w:r>
          </w:p>
        </w:tc>
        <w:tc>
          <w:tcPr>
            <w:tcW w:type="dxa" w:w="2340"/>
          </w:tcPr>
          <w:p>
            <w:r>
              <w:t xml:space="preserve">85</w:t>
            </w:r>
          </w:p>
        </w:tc>
        <w:tc>
          <w:tcPr>
            <w:tcW w:type="dxa" w:w="2340"/>
          </w:tcPr>
          <w:p>
            <w:r>
              <w:t xml:space="preserve">4.23</w:t>
            </w:r>
          </w:p>
        </w:tc>
        <w:tc>
          <w:tcPr>
            <w:tcW w:type="dxa" w:w="2340"/>
          </w:tcPr>
          <w:p>
            <w:r>
              <w:t xml:space="preserve">174,711</w:t>
            </w:r>
          </w:p>
        </w:tc>
      </w:tr>
      <w:tr>
        <w:tc>
          <w:tcPr>
            <w:tcW w:type="dxa" w:w="2340"/>
          </w:tcPr>
          <w:p>
            <w:r>
              <w:t xml:space="preserve">$10 – $20</w:t>
            </w:r>
          </w:p>
        </w:tc>
        <w:tc>
          <w:tcPr>
            <w:tcW w:type="dxa" w:w="2340"/>
          </w:tcPr>
          <w:p>
            <w:r>
              <w:t xml:space="preserve">35</w:t>
            </w:r>
          </w:p>
        </w:tc>
        <w:tc>
          <w:tcPr>
            <w:tcW w:type="dxa" w:w="2340"/>
          </w:tcPr>
          <w:p>
            <w:r>
              <w:t xml:space="preserve">4.25</w:t>
            </w:r>
          </w:p>
        </w:tc>
        <w:tc>
          <w:tcPr>
            <w:tcW w:type="dxa" w:w="2340"/>
          </w:tcPr>
          <w:p>
            <w:r>
              <w:t xml:space="preserve">14,017</w:t>
            </w:r>
          </w:p>
        </w:tc>
      </w:tr>
      <w:tr>
        <w:tc>
          <w:tcPr>
            <w:tcW w:type="dxa" w:w="2340"/>
          </w:tcPr>
          <w:p>
            <w:r>
              <w:t xml:space="preserve">$20+</w:t>
            </w:r>
          </w:p>
        </w:tc>
        <w:tc>
          <w:tcPr>
            <w:tcW w:type="dxa" w:w="2340"/>
          </w:tcPr>
          <w:p>
            <w:r>
              <w:t xml:space="preserve">39</w:t>
            </w:r>
          </w:p>
        </w:tc>
        <w:tc>
          <w:tcPr>
            <w:tcW w:type="dxa" w:w="2340"/>
          </w:tcPr>
          <w:p>
            <w:r>
              <w:t xml:space="preserve">3.99</w:t>
            </w:r>
          </w:p>
        </w:tc>
        <w:tc>
          <w:tcPr>
            <w:tcW w:type="dxa" w:w="2340"/>
          </w:tcPr>
          <w:p>
            <w:r>
              <w:t xml:space="preserve">9,881</w:t>
            </w:r>
          </w:p>
        </w:tc>
      </w:tr>
    </w:tbl>
    <w:p>
      <w:pPr>
        <w:spacing w:after="160"/>
      </w:pPr>
      <w:r>
        <w:rPr>
          <w:b w:val="false"/>
          <w:bCs w:val="false"/>
        </w:rPr>
        <w:t xml:space="preserve"> </w:t>
      </w:r>
    </w:p>
    <w:p>
      <w:pPr>
        <w:spacing w:after="160"/>
      </w:pPr>
      <w:r>
        <w:rPr>
          <w:b/>
          <w:bCs/>
        </w:rPr>
        <w:t xml:space="preserve">Finding 4 — App size has minimal correlation with installs or ratings.</w:t>
      </w:r>
    </w:p>
    <w:p>
      <w:pPr>
        <w:spacing w:after="160"/>
      </w:pPr>
      <w:r>
        <w:rPr>
          <w:b w:val="false"/>
          <w:bCs w:val="false"/>
        </w:rPr>
        <w:t xml:space="preserve">The correlation between app size and installs is weak (r = 0.13), and between size and rating is negligible (r = 0.06). Contrary to common assumption, users are not clearly biased against larger apps — build quality and category fit matter far more than app footprint.</w:t>
      </w:r>
    </w:p>
    <w:p>
      <w:pPr>
        <w:spacing w:after="160"/>
      </w:pPr>
      <w:r>
        <w:rPr>
          <w:b w:val="false"/>
          <w:bCs w:val="false"/>
        </w:rPr>
        <w:t xml:space="preserve"> </w:t>
      </w:r>
    </w:p>
    <w:p>
      <w:pPr>
        <w:spacing w:after="160"/>
      </w:pPr>
      <w:r>
        <w:rPr>
          <w:b/>
          <w:bCs/>
        </w:rPr>
        <w:t xml:space="preserve">Finding 5 — Teen and 10+ content ratings show the strongest install performance.</w:t>
      </w:r>
    </w:p>
    <w:p>
      <w:pPr>
        <w:spacing w:after="160"/>
      </w:pPr>
      <w:r>
        <w:rPr>
          <w:b w:val="false"/>
          <w:bCs w:val="false"/>
        </w:rPr>
        <w:t xml:space="preserve">Apps rated 'Teen' and 'Everyone 10+' average 15.9M and 12.5M installs respectively, both well above the 'Everyone' category average (6.6M) — suggesting these audience segments are comparatively underserved relative to demand.</w:t>
      </w:r>
    </w:p>
    <w:p>
      <w:pPr>
        <w:pStyle w:val="Heading1"/>
        <w:spacing w:after="120" w:before="240"/>
      </w:pPr>
      <w:r>
        <w:t xml:space="preserve">3.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Prioritize update cadence as a core KPI for app teams — treat 90-day inactivity as a churn-risk flag, not just a maintenance backlog item.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Direct new app investment toward Video Players, Entertainment, Weather, and Education — categories with proven demand-per-app but lower competitive density than Games or Tools.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Default new monetization strategy to free-with-in-app-purchase; reserve upfront pricing for niche/professional tools where the &lt; $5 band still captures the bulk of paid demand.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Don't over-invest engineering effort in minimizing app size purely for install-rate reasons — optimize for load speed and stability instead, which more directly affects retention and rating.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 underserved Teen / 10+ audience segments when scoping new app content and features.</w:t>
      </w:r>
    </w:p>
    <w:p>
      <w:pPr>
        <w:pStyle w:val="Heading1"/>
        <w:spacing w:after="120" w:before="240"/>
      </w:pPr>
      <w:r>
        <w:t xml:space="preserve">4. Methodology</w:t>
      </w:r>
    </w:p>
    <w:p>
      <w:pPr>
        <w:spacing w:after="160"/>
      </w:pPr>
      <w:r>
        <w:rPr>
          <w:b w:val="false"/>
          <w:bCs w:val="false"/>
        </w:rPr>
        <w:t xml:space="preserve">Dataset: Public Google Play Store dataset (10,841 raw app records; L. Gupta, Kaggle, 2019). Cleaning steps included: removing one malformed record with shifted columns, de-duplicating app names, converting Installs/Price/Size to numeric types, parsing 'Varies with device' size values as missing, and validating rating values against the 0–5 scale. Final analysis set: 9,659 records. Analysis performed in Python (pandas) with group-level aggregation, correlation analysis, and price/recency binning. Dashboard visualization built in Power BI.</w:t>
      </w:r>
    </w:p>
    <w:p>
      <w:pPr>
        <w:spacing w:after="160"/>
      </w:pPr>
      <w:r>
        <w:rPr>
          <w:b w:val="false"/>
          <w:bCs w:val="false"/>
        </w:rPr>
        <w:t xml:space="preserve"> </w:t>
      </w:r>
    </w:p>
    <w:p>
      <w:pPr>
        <w:spacing w:after="160"/>
      </w:pPr>
      <w:r>
        <w:rPr>
          <w:b w:val="false"/>
          <w:bCs w:val="false"/>
        </w:rPr>
        <w:t xml:space="preserve">Note: This is an independent portfolio analysis using public data, not affiliated with or commissioned by Google.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2026-07-04T07:28:51.152Z</dcterms:created>
  <dcterms:modified xsi:type="dcterms:W3CDTF">2026-07-04T07:28:51.152Z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