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tbl>
      <w:tblPr>
        <w:tblStyle w:val="Table1"/>
        <w:tblW w:w="9360.0" w:type="dxa"/>
        <w:jc w:val="left"/>
        <w:tblLayout w:type="fixed"/>
        <w:tblLook w:val="0600"/>
      </w:tblPr>
      <w:tblGrid>
        <w:gridCol w:w="2430"/>
        <w:gridCol w:w="6930"/>
        <w:tblGridChange w:id="0">
          <w:tblGrid>
            <w:gridCol w:w="2430"/>
            <w:gridCol w:w="6930"/>
          </w:tblGrid>
        </w:tblGridChange>
      </w:tblGrid>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2">
            <w:pPr>
              <w:pStyle w:val="Heading1"/>
              <w:keepNext w:val="0"/>
              <w:keepLines w:val="0"/>
              <w:spacing w:before="480" w:lineRule="auto"/>
              <w:jc w:val="center"/>
              <w:rPr>
                <w:b w:val="0"/>
                <w:bCs w:val="0"/>
              </w:rPr>
            </w:pPr>
            <w:bookmarkStart w:colFirst="0" w:colLast="0" w:name="_qqylgkq8cmwp" w:id="0"/>
            <w:bookmarkEnd w:id="0"/>
            <w:r w:rsidDel="00000000" w:rsidR="00000000" w:rsidRPr="00000000">
              <w:rPr>
                <w:b w:val="0"/>
                <w:bCs w:val="0"/>
                <w:sz w:val="36"/>
                <w:szCs w:val="36"/>
              </w:rPr>
              <w:drawing>
                <wp:inline distB="114300" distT="114300" distL="114300" distR="114300">
                  <wp:extent cx="676371" cy="749712"/>
                  <wp:effectExtent b="0" l="0" r="0" t="0"/>
                  <wp:docPr id="1" name="image1.png"/>
                  <a:graphic>
                    <a:graphicData uri="http://schemas.openxmlformats.org/drawingml/2006/picture">
                      <pic:pic>
                        <pic:nvPicPr>
                          <pic:cNvPr id="0" name="image1.png"/>
                          <pic:cNvPicPr preferRelativeResize="0"/>
                        </pic:nvPicPr>
                        <pic:blipFill>
                          <a:blip r:embed="rId6"/>
                          <a:srcRect b="24794" l="26603" r="25641" t="22631"/>
                          <a:stretch>
                            <a:fillRect/>
                          </a:stretch>
                        </pic:blipFill>
                        <pic:spPr>
                          <a:xfrm>
                            <a:off x="0" y="0"/>
                            <a:ext cx="676371" cy="749712"/>
                          </a:xfrm>
                          <a:prstGeom prst="rect"/>
                          <a:ln/>
                        </pic:spPr>
                      </pic:pic>
                    </a:graphicData>
                  </a:graphic>
                </wp:inline>
              </w:drawing>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3">
            <w:pPr>
              <w:widowControl w:val="0"/>
              <w:spacing w:line="240" w:lineRule="auto"/>
              <w:rPr/>
            </w:pPr>
            <w:r w:rsidDel="00000000" w:rsidR="00000000" w:rsidRPr="00000000">
              <w:rPr>
                <w:color w:val="1e265d"/>
                <w:sz w:val="60"/>
                <w:szCs w:val="60"/>
                <w:rtl w:val="0"/>
              </w:rPr>
              <w:t xml:space="preserve">Factr AI</w:t>
            </w:r>
            <w:r w:rsidDel="00000000" w:rsidR="00000000" w:rsidRPr="00000000">
              <w:rPr>
                <w:sz w:val="60"/>
                <w:szCs w:val="60"/>
                <w:rtl w:val="0"/>
              </w:rPr>
              <w:t xml:space="preserve"> – </w:t>
            </w:r>
            <w:r w:rsidDel="00000000" w:rsidR="00000000" w:rsidRPr="00000000">
              <w:rPr>
                <w:color w:val="03bfd7"/>
                <w:sz w:val="60"/>
                <w:szCs w:val="60"/>
                <w:rtl w:val="0"/>
              </w:rPr>
              <w:t xml:space="preserve">Business Solution Analysis</w:t>
            </w:r>
            <w:r w:rsidDel="00000000" w:rsidR="00000000" w:rsidRPr="00000000">
              <w:rPr>
                <w:rtl w:val="0"/>
              </w:rPr>
            </w:r>
          </w:p>
        </w:tc>
      </w:tr>
    </w:tbl>
    <w:p w:rsidR="00000000" w:rsidDel="00000000" w:rsidP="00000000" w:rsidRDefault="00000000" w:rsidRPr="00000000" w14:paraId="00000004">
      <w:pPr>
        <w:pStyle w:val="Heading1"/>
        <w:keepNext w:val="0"/>
        <w:keepLines w:val="0"/>
        <w:spacing w:after="80" w:lineRule="auto"/>
        <w:rPr/>
      </w:pPr>
      <w:bookmarkStart w:colFirst="0" w:colLast="0" w:name="_j6943m2vwr0g" w:id="1"/>
      <w:bookmarkEnd w:id="1"/>
      <w:r w:rsidDel="00000000" w:rsidR="00000000" w:rsidRPr="00000000">
        <w:rPr>
          <w:rtl w:val="0"/>
        </w:rPr>
        <w:t xml:space="preserve">1. Solution Statement</w:t>
      </w:r>
    </w:p>
    <w:p w:rsidR="00000000" w:rsidDel="00000000" w:rsidP="00000000" w:rsidRDefault="00000000" w:rsidRPr="00000000" w14:paraId="00000005">
      <w:pPr>
        <w:rPr/>
      </w:pPr>
      <w:r w:rsidDel="00000000" w:rsidR="00000000" w:rsidRPr="00000000">
        <w:rPr>
          <w:rtl w:val="0"/>
        </w:rPr>
        <w:t xml:space="preserve">FactrAI is a frictionless, credit-based access layer that utilizes browser-level identity (FedCM) to unlock premium journalism across the web with a single "Universal Key." It restores the economic bridge between publishers and high-intent readers by replacing rigid, high-friction paywalls with a dynamic yield-optimization engine.</w:t>
      </w:r>
    </w:p>
    <w:p w:rsidR="00000000" w:rsidDel="00000000" w:rsidP="00000000" w:rsidRDefault="00000000" w:rsidRPr="00000000" w14:paraId="00000006">
      <w:pPr>
        <w:pStyle w:val="Heading1"/>
        <w:spacing w:after="80" w:lineRule="auto"/>
        <w:rPr/>
      </w:pPr>
      <w:bookmarkStart w:colFirst="0" w:colLast="0" w:name="_aujqmgh65phq" w:id="2"/>
      <w:bookmarkEnd w:id="2"/>
      <w:r w:rsidDel="00000000" w:rsidR="00000000" w:rsidRPr="00000000">
        <w:rPr>
          <w:rtl w:val="0"/>
        </w:rPr>
        <w:t xml:space="preserve">2. Quantifiable Impact</w:t>
      </w:r>
    </w:p>
    <w:p w:rsidR="00000000" w:rsidDel="00000000" w:rsidP="00000000" w:rsidRDefault="00000000" w:rsidRPr="00000000" w14:paraId="00000007">
      <w:pPr>
        <w:rPr/>
      </w:pPr>
      <w:r w:rsidDel="00000000" w:rsidR="00000000" w:rsidRPr="00000000">
        <w:rPr>
          <w:rtl w:val="0"/>
        </w:rPr>
        <w:t xml:space="preserve">FactrAI transforms the current "Subscription Trap" into a high-signal monetization network for both the customer and the industry:</w:t>
      </w:r>
    </w:p>
    <w:p w:rsidR="00000000" w:rsidDel="00000000" w:rsidP="00000000" w:rsidRDefault="00000000" w:rsidRPr="00000000" w14:paraId="00000008">
      <w:pPr>
        <w:numPr>
          <w:ilvl w:val="0"/>
          <w:numId w:val="4"/>
        </w:numPr>
        <w:ind w:left="720" w:hanging="360"/>
      </w:pPr>
      <w:r w:rsidDel="00000000" w:rsidR="00000000" w:rsidRPr="00000000">
        <w:rPr>
          <w:rtl w:val="0"/>
        </w:rPr>
        <w:t xml:space="preserve">For the Industry (Publishers):</w:t>
      </w:r>
    </w:p>
    <w:p w:rsidR="00000000" w:rsidDel="00000000" w:rsidP="00000000" w:rsidRDefault="00000000" w:rsidRPr="00000000" w14:paraId="00000009">
      <w:pPr>
        <w:numPr>
          <w:ilvl w:val="1"/>
          <w:numId w:val="4"/>
        </w:numPr>
        <w:spacing w:after="0" w:before="0" w:lineRule="auto"/>
        <w:ind w:left="1440" w:hanging="360"/>
      </w:pPr>
      <w:r w:rsidDel="00000000" w:rsidR="00000000" w:rsidRPr="00000000">
        <w:rPr>
          <w:rtl w:val="0"/>
        </w:rPr>
        <w:t xml:space="preserve">Monetization of the "Bounce": Recovers a significant portion of the 95% of potential revenue currently lost when non-subscribers hit a paywall and leave.</w:t>
      </w:r>
    </w:p>
    <w:p w:rsidR="00000000" w:rsidDel="00000000" w:rsidP="00000000" w:rsidRDefault="00000000" w:rsidRPr="00000000" w14:paraId="0000000A">
      <w:pPr>
        <w:numPr>
          <w:ilvl w:val="1"/>
          <w:numId w:val="4"/>
        </w:numPr>
        <w:spacing w:after="0" w:before="0" w:lineRule="auto"/>
        <w:ind w:left="1440" w:hanging="360"/>
      </w:pPr>
      <w:r w:rsidDel="00000000" w:rsidR="00000000" w:rsidRPr="00000000">
        <w:rPr>
          <w:rtl w:val="0"/>
        </w:rPr>
        <w:t xml:space="preserve">Yield Improvement: Offers a "Yield Floor" for the 69% of searches that are currently "zero-click," turning AI-cannibalized traffic back into authenticated, paying human sessions.</w:t>
      </w:r>
    </w:p>
    <w:p w:rsidR="00000000" w:rsidDel="00000000" w:rsidP="00000000" w:rsidRDefault="00000000" w:rsidRPr="00000000" w14:paraId="0000000B">
      <w:pPr>
        <w:numPr>
          <w:ilvl w:val="1"/>
          <w:numId w:val="4"/>
        </w:numPr>
        <w:spacing w:after="0" w:before="0" w:lineRule="auto"/>
        <w:ind w:left="1440" w:hanging="360"/>
      </w:pPr>
      <w:r w:rsidDel="00000000" w:rsidR="00000000" w:rsidRPr="00000000">
        <w:rPr>
          <w:rtl w:val="0"/>
        </w:rPr>
        <w:t xml:space="preserve">Ad Revenue Restoration: Addresses the $2 billion annual sector loss by providing a "Human-Only" verified network for advertisers.</w:t>
      </w:r>
    </w:p>
    <w:p w:rsidR="00000000" w:rsidDel="00000000" w:rsidP="00000000" w:rsidRDefault="00000000" w:rsidRPr="00000000" w14:paraId="0000000C">
      <w:pPr>
        <w:ind w:left="720" w:firstLine="0"/>
        <w:rPr/>
      </w:pPr>
      <w:r w:rsidDel="00000000" w:rsidR="00000000" w:rsidRPr="00000000">
        <w:rPr>
          <w:rtl w:val="0"/>
        </w:rPr>
        <w:t xml:space="preserve">Early modeling suggests even a 5–10% recovery of bounced sessions would translate into a material uplift in per-publisher ARPU without increasing editorial output.</w:t>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For the Customer (Information Workers):</w:t>
      </w:r>
    </w:p>
    <w:p w:rsidR="00000000" w:rsidDel="00000000" w:rsidP="00000000" w:rsidRDefault="00000000" w:rsidRPr="00000000" w14:paraId="0000000E">
      <w:pPr>
        <w:numPr>
          <w:ilvl w:val="1"/>
          <w:numId w:val="4"/>
        </w:numPr>
        <w:spacing w:after="0" w:before="0" w:lineRule="auto"/>
        <w:ind w:left="1440" w:hanging="360"/>
      </w:pPr>
      <w:r w:rsidDel="00000000" w:rsidR="00000000" w:rsidRPr="00000000">
        <w:rPr>
          <w:rtl w:val="0"/>
        </w:rPr>
        <w:t xml:space="preserve">Productivity Reclamation: Eliminates the "digital hide-and-seek" that causes professionals to waste 9 hours weekly (25% of their work week) searching for accessible data.</w:t>
      </w:r>
    </w:p>
    <w:p w:rsidR="00000000" w:rsidDel="00000000" w:rsidP="00000000" w:rsidRDefault="00000000" w:rsidRPr="00000000" w14:paraId="0000000F">
      <w:pPr>
        <w:numPr>
          <w:ilvl w:val="1"/>
          <w:numId w:val="4"/>
        </w:numPr>
        <w:spacing w:after="0" w:before="0" w:lineRule="auto"/>
        <w:ind w:left="1440" w:hanging="360"/>
      </w:pPr>
      <w:r w:rsidDel="00000000" w:rsidR="00000000" w:rsidRPr="00000000">
        <w:rPr>
          <w:rtl w:val="0"/>
        </w:rPr>
        <w:t xml:space="preserve">Financial Efficiency: Replaces the need for 10+ separate $15–$40/mo subscriptions, offering a consolidated $15/mo "Lite" or $40/mo "Pro" credit pool that covers cross-disciplinary needs.</w:t>
      </w:r>
    </w:p>
    <w:p w:rsidR="00000000" w:rsidDel="00000000" w:rsidP="00000000" w:rsidRDefault="00000000" w:rsidRPr="00000000" w14:paraId="00000010">
      <w:pPr>
        <w:spacing w:after="0" w:before="0" w:lineRule="auto"/>
        <w:ind w:left="720" w:firstLine="0"/>
        <w:rPr/>
      </w:pPr>
      <w:r w:rsidDel="00000000" w:rsidR="00000000" w:rsidRPr="00000000">
        <w:rPr>
          <w:rtl w:val="0"/>
        </w:rPr>
        <w:t xml:space="preserve">This compresses both time cost and monetary spend into one predictable access layer, lowering cognitive overhead while increasing content reach.</w:t>
      </w:r>
    </w:p>
    <w:p w:rsidR="00000000" w:rsidDel="00000000" w:rsidP="00000000" w:rsidRDefault="00000000" w:rsidRPr="00000000" w14:paraId="00000011">
      <w:pPr>
        <w:pStyle w:val="Heading1"/>
        <w:keepNext w:val="0"/>
        <w:keepLines w:val="0"/>
        <w:spacing w:after="80" w:lineRule="auto"/>
        <w:rPr/>
      </w:pPr>
      <w:bookmarkStart w:colFirst="0" w:colLast="0" w:name="_bulvxhz6yqsu" w:id="3"/>
      <w:bookmarkEnd w:id="3"/>
      <w:r w:rsidDel="00000000" w:rsidR="00000000" w:rsidRPr="00000000">
        <w:rPr>
          <w:rtl w:val="0"/>
        </w:rPr>
        <w:t xml:space="preserve">3. Convenience &amp; Value Proposition</w:t>
      </w:r>
    </w:p>
    <w:p w:rsidR="00000000" w:rsidDel="00000000" w:rsidP="00000000" w:rsidRDefault="00000000" w:rsidRPr="00000000" w14:paraId="00000012">
      <w:pPr>
        <w:rPr/>
      </w:pPr>
      <w:r w:rsidDel="00000000" w:rsidR="00000000" w:rsidRPr="00000000">
        <w:rPr>
          <w:rtl w:val="0"/>
        </w:rPr>
        <w:t xml:space="preserve">FactrAI is exponentially more convenient than the status quo, which requires multiple logins, redundant billing cycles, and high-friction "Mental Transaction Costs."</w:t>
      </w:r>
    </w:p>
    <w:p w:rsidR="00000000" w:rsidDel="00000000" w:rsidP="00000000" w:rsidRDefault="00000000" w:rsidRPr="00000000" w14:paraId="00000013">
      <w:pPr>
        <w:rPr/>
      </w:pPr>
      <w:r w:rsidDel="00000000" w:rsidR="00000000" w:rsidRPr="00000000">
        <w:rPr>
          <w:rtl w:val="0"/>
        </w:rPr>
        <w:t xml:space="preserve">Key Value Propositions: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"One Key, All Paywalls" (The Universal Key): A single OAuth/JWT-based identity that auto-unlocks partner content. Users no longer manage 20 different logins or encounter "access denied" barriers during critical task initiation.</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The Credit Economy (Predictive Pricing): Unlike failed micropayment models that force a "buy/don't buy" decision for every article, FactrAI uses a monthly credit pool. This eliminates decision fatigue and allows for dynamic pricing (e.g., lower credit costs for evergreen content, higher for breaking premium reports).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Data Reciprocity &amp; Lead Generation: Unlike "walled garden" aggregators (Apple News+), FactrAI shares 1st-party user signals back with publishers. This allows publishers to convert "unconvertible" casual readers into direct subscribers, aligning FactrAI as a partner rather than a parasite.</w:t>
      </w:r>
    </w:p>
    <w:p w:rsidR="00000000" w:rsidDel="00000000" w:rsidP="00000000" w:rsidRDefault="00000000" w:rsidRPr="00000000" w14:paraId="00000017">
      <w:pPr>
        <w:pStyle w:val="Heading1"/>
        <w:keepNext w:val="0"/>
        <w:keepLines w:val="0"/>
        <w:spacing w:after="80" w:lineRule="auto"/>
        <w:rPr/>
      </w:pPr>
      <w:bookmarkStart w:colFirst="0" w:colLast="0" w:name="_7dv8vmqksyfs" w:id="4"/>
      <w:bookmarkEnd w:id="4"/>
      <w:r w:rsidDel="00000000" w:rsidR="00000000" w:rsidRPr="00000000">
        <w:rPr>
          <w:rtl w:val="0"/>
        </w:rPr>
        <w:t xml:space="preserve">4. Technology Utilized</w:t>
      </w:r>
    </w:p>
    <w:p w:rsidR="00000000" w:rsidDel="00000000" w:rsidP="00000000" w:rsidRDefault="00000000" w:rsidRPr="00000000" w14:paraId="00000018">
      <w:pPr>
        <w:rPr/>
      </w:pPr>
      <w:r w:rsidDel="00000000" w:rsidR="00000000" w:rsidRPr="00000000">
        <w:rPr>
          <w:rtl w:val="0"/>
        </w:rPr>
        <w:t xml:space="preserve">The solution leverages emerging standards in web identity and machine learning to create a seamless transactional layer:</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Federated Credential Management (FedCM) API: A privacy-preserving identity standard that allows the browser to act as a mediator for sign-ins, enabling "one-tap" access without intrusive 3rd-party cookies.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SmartReader Yield Algorithm: A predictive ML engine (modeled after ClassPass’s SmartTools) that analyzes real-time publisher traffic to identify "trending" articles that are not converting direct subscribers and offering them to FactrAI users at a market-clearing credit price.</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Authenticated API Gateways (JWT/OAuth 2.0): Secure, decentralized access control that allows FactrAI to "auto-unlock" content sessions on publisher sites via immutable tokens.</w:t>
      </w:r>
    </w:p>
    <w:p w:rsidR="00000000" w:rsidDel="00000000" w:rsidP="00000000" w:rsidRDefault="00000000" w:rsidRPr="00000000" w14:paraId="0000001C">
      <w:pPr>
        <w:rPr/>
      </w:pPr>
      <w:r w:rsidDel="00000000" w:rsidR="00000000" w:rsidRPr="00000000">
        <w:rPr>
          <w:rtl w:val="0"/>
        </w:rPr>
        <w:t xml:space="preserve">Supporting infrastructure includes event-driven ingestion (for traffic signals), lightweight feature stores for pricing inference, and publisher-side SDKs for session validation.</w:t>
      </w:r>
    </w:p>
    <w:p w:rsidR="00000000" w:rsidDel="00000000" w:rsidP="00000000" w:rsidRDefault="00000000" w:rsidRPr="00000000" w14:paraId="0000001D">
      <w:pPr>
        <w:pStyle w:val="Heading1"/>
        <w:keepNext w:val="0"/>
        <w:keepLines w:val="0"/>
        <w:spacing w:after="80" w:lineRule="auto"/>
        <w:rPr/>
      </w:pPr>
      <w:bookmarkStart w:colFirst="0" w:colLast="0" w:name="_4ndy5f2ra9jr" w:id="5"/>
      <w:bookmarkEnd w:id="5"/>
      <w:r w:rsidDel="00000000" w:rsidR="00000000" w:rsidRPr="00000000">
        <w:rPr>
          <w:rtl w:val="0"/>
        </w:rPr>
        <w:t xml:space="preserve">5. References &amp; Cross-Industry Validation</w:t>
      </w:r>
    </w:p>
    <w:p w:rsidR="00000000" w:rsidDel="00000000" w:rsidP="00000000" w:rsidRDefault="00000000" w:rsidRPr="00000000" w14:paraId="0000001E">
      <w:pPr>
        <w:rPr/>
      </w:pPr>
      <w:r w:rsidDel="00000000" w:rsidR="00000000" w:rsidRPr="00000000">
        <w:rPr>
          <w:rtl w:val="0"/>
        </w:rPr>
        <w:t xml:space="preserve">The technology and business model proposed for FactrAI are heavily validated by the ClassPass evolution and recent shifts in the Web Identity landscape:</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ClassPass (Fitness/Wellness): Successfully transitioned from an "unlimited" model to a credit-based economy to solve unit economics. Their use of "SmartRate" and "SmartSpot" algorithms to fill perishable inventory (fitness spots) is the direct blueprint for FactrAI’s management of perishable information (breaking news).</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FedCM Implementation (Google Chrome): The Federated Credential Management API is currently being utilized by major identity providers to replace 3rd-party cookies, proving the technical viability of a browser-level "Universal Key" for cross-domain access.</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Wellhub (formerly Gympass): Demonstrates the high-margin potential of the B2B Enterprise play, selling aggregation as a corporate benefit—a model FactrAI will replicate for consulting and VC firms to reduce organizational productivity drain.</w: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jc w:val="left"/>
        <w:rPr>
          <w:b w:val="0"/>
          <w:bCs w:val="0"/>
          <w:sz w:val="24"/>
          <w:szCs w:val="24"/>
        </w:rPr>
      </w:pPr>
      <w:bookmarkStart w:colFirst="0" w:colLast="0" w:name="_h1xgggmqauhx" w:id="6"/>
      <w:bookmarkEnd w:id="6"/>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spacing w:before="48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40" w:before="240"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Rule="auto"/>
    </w:pPr>
    <w:rPr>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