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Oswald Medium" w:cs="Oswald Medium" w:eastAsia="Oswald Medium" w:hAnsi="Oswald Medium"/>
          <w:color w:val="06bfd6"/>
          <w:sz w:val="36"/>
          <w:szCs w:val="36"/>
        </w:rPr>
      </w:pPr>
      <w:bookmarkStart w:colFirst="0" w:colLast="0" w:name="_h1xgggmqauh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Lean Canvas: </w:t>
      </w:r>
      <w:r w:rsidDel="00000000" w:rsidR="00000000" w:rsidRPr="00000000">
        <w:rPr>
          <w:rFonts w:ascii="Oswald Medium" w:cs="Oswald Medium" w:eastAsia="Oswald Medium" w:hAnsi="Oswald Medium"/>
          <w:color w:val="06bfd6"/>
          <w:sz w:val="36"/>
          <w:szCs w:val="36"/>
          <w:rtl w:val="0"/>
        </w:rPr>
        <w:t xml:space="preserve">FactrAI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6t70w5w5eq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universal access to premium journalism—restoring the economic bridge between world-class journalism and the everyday consumer.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tzgdbgelx3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Problem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publishers are trapped in a "Subscription Trap" where high paywalls drive away 95% of potential revenue, while AI scrapers further erode the value of their content.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Subscription Fatigue: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want diverse sources but can't justify 10+ separate $15–$40/mo subscriptions.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"Bounce" Loss: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Publishers lose 95%+ of potential revenue when non-subscribers hit a paywall and leave.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Cannibalization: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LLMs are scraping content, reducing direct site traffic and "human-verified" revenue.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Friction: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Micropayment "mental tax" (deciding if an article is worth $0.50) kills the reading flow.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3b88bus0tc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Customer Segments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are targeting high-intent "Information Workers" who require cross-disciplinary insights and are currently underserved by single-source subscriptions.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Primary: The Knowledge Worker.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Consultants, VCs, Lawyers, and Analysts who need high-signal data across multiple industries.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Secondary: The "Polymath" News Junkie.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High-income individuals who value diverse perspectives (Left/Right/Center) without managing 20 logins.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Early Adopters: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of "Read-it-later" apps (Pocket/Instapaper) and professional newsletter subscribers (Substack).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5nw6sypj61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Unique Value Proposition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FactrAI acts as a "Universal Key" for users and a "Yield Optimizer" for publishers, turning lost bounces into authenticated, paying human sessions.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Users: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"One Key, All Paywalls." A seamless, credit-based pass that unlocks premium journalism across the web without a 'buy' button.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Publishers: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"Found Money." Monetize the 'unconvertible' 95% of traffic using AI-driven dynamic pricing without cannibalizing your core $150/year subscribers.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o94sv8ee9q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Solution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provide a frictionless technical bridge—utilizing a browser-level identity layer and a predictive credit economy—to automate access and payments.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Universal Browser Key: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browser extension/mobile wrapper that auto-unlocks partner content via a single OAuth/JWT token.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Predictive Credit System: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buy a monthly "Credit Pool." AI handles the valuation of articles based on length, impact, and publisher demand.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Lead-Gen Onramp: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"Credit-to-Subscription" bridge that allows users to apply FactrAI spend toward a full direct publisher membership.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6zucbd7iuq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Channels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leverage existing professional ecosystems and the "Point of Friction" (the paywall itself) to acquire users at the moment their need is highest.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B2B Partnerships: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Selling "FactrAI for Teams" to consulting firms (McKinsey/BCG) as a corporate perk.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Publisher Exit-Intent: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Integration at the paywall level ("Read this one article for 2 FactrAI credits").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Browser Extension Stores: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Organic SEO for "Bypass Paywall" (the legal way).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4fhq4sfd90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Revenue Streams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model shifts from simple aggregation to a high-margin "Platform Play," combining recurring consumer revenue with B2B enterprise seats and affiliate conversion fees.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Subscription Tiers: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Lite ($15/mo):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 Credits (Approx. 15-20 articles).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 ($40/mo):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100 Credits + Professional Research Tools.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Enterprise: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$100/user/mo for unlimited access for firms (Revenue shared based on aggregate firm usage).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Affiliate Fees: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Commission from publishers when a FactrAI user converts to a full direct subscriber.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v7p3mhvzjo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Cost Structure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prioritize high payouts to publishers to secure top-tier inventory, while scaling tech infrastructure to handle authenticated identity at the edge.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Publisher Payouts: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"Yield Floor" (paying publishers $0.20 - $0.80 per "read").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Acquisition (CAC):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Strategic partnerships and performance marketing.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 Infrastructure: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Authenticated API gateways and AI models for usage-prediction.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Legal/Partnership Ops: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High initial cost for publisher business development.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zb0ohj7xcb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Key Metrics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 is defined by our ability to prove "Subscriber Growth" for publishers while maintaining high "Credit Velocity" for our users.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"Yield" Rate: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Revenue generated per 1,000 paywall hits vs. traditional bounce rates.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Churn Rate: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Percentage of users who stop their monthly credit top-up.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Conversion to Direct: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 of users who upgrade to a partner's full subscription (proves we aren't a parasite).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Stickiness: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 of different domains a user visits per week.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wvv39ssxlz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Unfair Advantage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Apple or Google, we share 1st-party data back with the publisher, aligning our incentives with their long-term growth rather than trapping them in our garden.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Yield Management AI: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proprietary algorithm that tells a publisher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exactly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user will never subscribe and should be offered a "per-article" price instead.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Reciprocity: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Unlike Apple News+, we share 1st-party user data (email/interests) with publishers, making us their #1 lead-gen tool.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"Human-Only" Verified Network: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"Clean Room" for advertisers and publishers to interact with verified paying humans in an age of bot-generated traffic.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 Medium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Style w:val="Heading1"/>
      <w:keepNext w:val="0"/>
      <w:keepLines w:val="0"/>
      <w:spacing w:before="480" w:lineRule="auto"/>
      <w:jc w:val="center"/>
      <w:rPr/>
    </w:pPr>
    <w:bookmarkStart w:colFirst="0" w:colLast="0" w:name="_xupvif1pkdfy" w:id="11"/>
    <w:bookmarkEnd w:id="11"/>
    <w:r w:rsidDel="00000000" w:rsidR="00000000" w:rsidRPr="00000000">
      <w:rPr>
        <w:rFonts w:ascii="Helvetica Neue" w:cs="Helvetica Neue" w:eastAsia="Helvetica Neue" w:hAnsi="Helvetica Neue"/>
        <w:sz w:val="36"/>
        <w:szCs w:val="36"/>
      </w:rPr>
      <w:drawing>
        <wp:inline distB="114300" distT="114300" distL="114300" distR="114300">
          <wp:extent cx="781567" cy="86024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794" l="26603" r="25641" t="22631"/>
                  <a:stretch>
                    <a:fillRect/>
                  </a:stretch>
                </pic:blipFill>
                <pic:spPr>
                  <a:xfrm>
                    <a:off x="0" y="0"/>
                    <a:ext cx="781567" cy="8602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Medium-regular.ttf"/><Relationship Id="rId2" Type="http://schemas.openxmlformats.org/officeDocument/2006/relationships/font" Target="fonts/OswaldMedium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